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44B5F" w:rsidRPr="00844B5F" w:rsidRDefault="00844B5F" w:rsidP="00844B5F">
      <w:pPr>
        <w:spacing w:before="100" w:beforeAutospacing="1" w:after="100" w:afterAutospacing="1" w:line="240" w:lineRule="auto"/>
        <w:outlineLvl w:val="0"/>
        <w:rPr>
          <w:rFonts w:ascii="Times New Roman" w:eastAsia="Times New Roman" w:hAnsi="Times New Roman" w:cs="Times New Roman"/>
          <w:b/>
          <w:bCs/>
          <w:kern w:val="36"/>
          <w:sz w:val="48"/>
          <w:szCs w:val="48"/>
          <w:lang w:eastAsia="ru-RU"/>
        </w:rPr>
      </w:pPr>
      <w:r w:rsidRPr="00844B5F">
        <w:rPr>
          <w:rFonts w:ascii="Times New Roman" w:eastAsia="Times New Roman" w:hAnsi="Times New Roman" w:cs="Times New Roman"/>
          <w:b/>
          <w:bCs/>
          <w:kern w:val="36"/>
          <w:sz w:val="48"/>
          <w:szCs w:val="48"/>
          <w:lang w:eastAsia="ru-RU"/>
        </w:rPr>
        <w:t>Тематический и спектральный анализ космических снимков высокого разрешения для решения прогнозно-поисковых задач геологии</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данной статье описываются наиболее высокоэффективные методы спектрального анализа для идентификации минералов гидротермального изменения. Выбранными методами </w:t>
      </w:r>
      <w:proofErr w:type="spellStart"/>
      <w:proofErr w:type="gramStart"/>
      <w:r w:rsidRPr="00844B5F">
        <w:rPr>
          <w:rFonts w:ascii="Times New Roman" w:eastAsia="Times New Roman" w:hAnsi="Times New Roman" w:cs="Times New Roman"/>
          <w:sz w:val="24"/>
          <w:szCs w:val="24"/>
          <w:lang w:eastAsia="ru-RU"/>
        </w:rPr>
        <w:t>яв-ляются</w:t>
      </w:r>
      <w:proofErr w:type="spellEnd"/>
      <w:proofErr w:type="gramEnd"/>
      <w:r w:rsidRPr="00844B5F">
        <w:rPr>
          <w:rFonts w:ascii="Times New Roman" w:eastAsia="Times New Roman" w:hAnsi="Times New Roman" w:cs="Times New Roman"/>
          <w:sz w:val="24"/>
          <w:szCs w:val="24"/>
          <w:lang w:eastAsia="ru-RU"/>
        </w:rPr>
        <w:t xml:space="preserve">: анализ главных компонентов (PCA), метод спектрального угла (SAM) и расчёт минералогических индексов (BR). За последние 10–15 лет произошел существенный технологический прорыв, связанный с повышением качества и доступности космических снимков. Это позволило пересмотреть традиционные подходы к прогнозированию полезных ископаемых. Актуальность задачи крупномасштабного прогноза и поисков полезных ископаемых с применением дистанционных методов обусловлена необходимостью получения качественно новых данных как по новым, так и по ранее изучаемым объектам без существенных затрат на проведение полевых работ. Таким образом, создание новых методов прогноза </w:t>
      </w:r>
      <w:proofErr w:type="spellStart"/>
      <w:r w:rsidRPr="00844B5F">
        <w:rPr>
          <w:rFonts w:ascii="Times New Roman" w:eastAsia="Times New Roman" w:hAnsi="Times New Roman" w:cs="Times New Roman"/>
          <w:sz w:val="24"/>
          <w:szCs w:val="24"/>
          <w:lang w:eastAsia="ru-RU"/>
        </w:rPr>
        <w:t>оруденения</w:t>
      </w:r>
      <w:proofErr w:type="spellEnd"/>
      <w:r w:rsidRPr="00844B5F">
        <w:rPr>
          <w:rFonts w:ascii="Times New Roman" w:eastAsia="Times New Roman" w:hAnsi="Times New Roman" w:cs="Times New Roman"/>
          <w:sz w:val="24"/>
          <w:szCs w:val="24"/>
          <w:lang w:eastAsia="ru-RU"/>
        </w:rPr>
        <w:t xml:space="preserve"> представляет собой важную задачу для поисковой геологии. В основу работы положено создание методики, направленной на поиск полезных ископаемых с применением данных дистанционного зондирования Земли (ДЗЗ). Спектральные характеристики VNIR и SWIR ASTER использовались для выявления геологических особенностей территории. Изучены методы спектрального дешифрирования: анализ главных компонентов (PCA); метод спектрального угла (SAM); расчёт минералогических индексов (BR), которые апробированы на территории Урала и Ирана. Главная цель работы — усовершенствование методики прогнозирования полезных ископаемых на ранних этапах геологоразведочных работ. </w:t>
      </w:r>
    </w:p>
    <w:p w:rsidR="00844B5F" w:rsidRPr="00844B5F" w:rsidRDefault="00844B5F" w:rsidP="00844B5F">
      <w:pPr>
        <w:spacing w:after="0"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19 апреля 2020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bookmarkStart w:id="0" w:name="_GoBack"/>
      <w:bookmarkEnd w:id="0"/>
      <w:r w:rsidRPr="00844B5F">
        <w:rPr>
          <w:rFonts w:ascii="Times New Roman" w:eastAsia="Times New Roman" w:hAnsi="Times New Roman" w:cs="Times New Roman"/>
          <w:noProof/>
          <w:sz w:val="24"/>
          <w:szCs w:val="24"/>
          <w:lang w:eastAsia="ru-RU"/>
        </w:rPr>
        <w:drawing>
          <wp:anchor distT="0" distB="0" distL="0" distR="0" simplePos="0" relativeHeight="251659264" behindDoc="0" locked="0" layoutInCell="1" allowOverlap="0" wp14:anchorId="220C0A1C" wp14:editId="16D6CE5B">
            <wp:simplePos x="0" y="0"/>
            <wp:positionH relativeFrom="column">
              <wp:align>left</wp:align>
            </wp:positionH>
            <wp:positionV relativeFrom="line">
              <wp:posOffset>0</wp:posOffset>
            </wp:positionV>
            <wp:extent cx="857250" cy="1066800"/>
            <wp:effectExtent l="0" t="0" r="0" b="0"/>
            <wp:wrapSquare wrapText="bothSides"/>
            <wp:docPr id="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57250" cy="1066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44B5F">
        <w:rPr>
          <w:rFonts w:ascii="Times New Roman" w:eastAsia="Times New Roman" w:hAnsi="Times New Roman" w:cs="Times New Roman"/>
          <w:b/>
          <w:bCs/>
          <w:i/>
          <w:iCs/>
          <w:sz w:val="24"/>
          <w:szCs w:val="24"/>
          <w:lang w:eastAsia="ru-RU"/>
        </w:rPr>
        <w:t>Е. М. Шемякина</w:t>
      </w:r>
      <w:r w:rsidRPr="00844B5F">
        <w:rPr>
          <w:rFonts w:ascii="Times New Roman" w:eastAsia="Times New Roman" w:hAnsi="Times New Roman" w:cs="Times New Roman"/>
          <w:i/>
          <w:iCs/>
          <w:sz w:val="24"/>
          <w:szCs w:val="24"/>
          <w:lang w:eastAsia="ru-RU"/>
        </w:rPr>
        <w:t> — научный сотрудник геологического факультета МГУ им. Ломоносова, ассистент инженерной академии РУДН, ведущий специалист отдела ГИС — геолог ООО «</w:t>
      </w:r>
      <w:proofErr w:type="spellStart"/>
      <w:r w:rsidRPr="00844B5F">
        <w:rPr>
          <w:rFonts w:ascii="Times New Roman" w:eastAsia="Times New Roman" w:hAnsi="Times New Roman" w:cs="Times New Roman"/>
          <w:i/>
          <w:iCs/>
          <w:sz w:val="24"/>
          <w:szCs w:val="24"/>
          <w:lang w:eastAsia="ru-RU"/>
        </w:rPr>
        <w:t>Иннотер</w:t>
      </w:r>
      <w:proofErr w:type="spellEnd"/>
      <w:r w:rsidRPr="00844B5F">
        <w:rPr>
          <w:rFonts w:ascii="Times New Roman" w:eastAsia="Times New Roman" w:hAnsi="Times New Roman" w:cs="Times New Roman"/>
          <w:i/>
          <w:iCs/>
          <w:sz w:val="24"/>
          <w:szCs w:val="24"/>
          <w:lang w:eastAsia="ru-RU"/>
        </w:rPr>
        <w:t>»</w:t>
      </w:r>
      <w:r w:rsidRPr="00844B5F">
        <w:rPr>
          <w:rFonts w:ascii="Times New Roman" w:eastAsia="Times New Roman" w:hAnsi="Times New Roman" w:cs="Times New Roman"/>
          <w:sz w:val="24"/>
          <w:szCs w:val="24"/>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i/>
          <w:iCs/>
          <w:sz w:val="24"/>
          <w:szCs w:val="24"/>
          <w:lang w:eastAsia="ru-RU"/>
        </w:rPr>
        <w:t>Ключевые слова:</w:t>
      </w:r>
      <w:r w:rsidRPr="00844B5F">
        <w:rPr>
          <w:rFonts w:ascii="Times New Roman" w:eastAsia="Times New Roman" w:hAnsi="Times New Roman" w:cs="Times New Roman"/>
          <w:i/>
          <w:iCs/>
          <w:sz w:val="24"/>
          <w:szCs w:val="24"/>
          <w:lang w:eastAsia="ru-RU"/>
        </w:rPr>
        <w:t xml:space="preserve"> дистанционное зондирование, благородные металлы, поиски полезных ископаемых, </w:t>
      </w:r>
      <w:proofErr w:type="spellStart"/>
      <w:r w:rsidRPr="00844B5F">
        <w:rPr>
          <w:rFonts w:ascii="Times New Roman" w:eastAsia="Times New Roman" w:hAnsi="Times New Roman" w:cs="Times New Roman"/>
          <w:i/>
          <w:iCs/>
          <w:sz w:val="24"/>
          <w:szCs w:val="24"/>
          <w:lang w:eastAsia="ru-RU"/>
        </w:rPr>
        <w:t>cпектральный</w:t>
      </w:r>
      <w:proofErr w:type="spellEnd"/>
      <w:r w:rsidRPr="00844B5F">
        <w:rPr>
          <w:rFonts w:ascii="Times New Roman" w:eastAsia="Times New Roman" w:hAnsi="Times New Roman" w:cs="Times New Roman"/>
          <w:i/>
          <w:iCs/>
          <w:sz w:val="24"/>
          <w:szCs w:val="24"/>
          <w:lang w:eastAsia="ru-RU"/>
        </w:rPr>
        <w:t xml:space="preserve"> анализ, анализ главных компонентов (PCA), метод спектрального угла (SAM), расчёт минералогических индексов (BR).</w:t>
      </w:r>
      <w:r w:rsidRPr="00844B5F">
        <w:rPr>
          <w:rFonts w:ascii="Times New Roman" w:eastAsia="Times New Roman" w:hAnsi="Times New Roman" w:cs="Times New Roman"/>
          <w:sz w:val="24"/>
          <w:szCs w:val="24"/>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Дистанционные методы не позволяют с достаточным уровнем достоверности обнаружить благородные металлы, но широко распространённые минералы гидротермального изменения, связанные с </w:t>
      </w:r>
      <w:proofErr w:type="spellStart"/>
      <w:r w:rsidRPr="00844B5F">
        <w:rPr>
          <w:rFonts w:ascii="Times New Roman" w:eastAsia="Times New Roman" w:hAnsi="Times New Roman" w:cs="Times New Roman"/>
          <w:sz w:val="24"/>
          <w:szCs w:val="24"/>
          <w:lang w:eastAsia="ru-RU"/>
        </w:rPr>
        <w:t>оруденением</w:t>
      </w:r>
      <w:proofErr w:type="spellEnd"/>
      <w:r w:rsidRPr="00844B5F">
        <w:rPr>
          <w:rFonts w:ascii="Times New Roman" w:eastAsia="Times New Roman" w:hAnsi="Times New Roman" w:cs="Times New Roman"/>
          <w:sz w:val="24"/>
          <w:szCs w:val="24"/>
          <w:lang w:eastAsia="ru-RU"/>
        </w:rPr>
        <w:t xml:space="preserve"> — могут. Определенная диагностическая группа гидротермальных минералов может быть идентифицирована на основе их спектральных сигнатур, причем диагностические признаки имеются в основном в коротковолновом инфракрасном диапазоне (SWIR) части электромагнитного спектра. Оксиды и гидроксиды железа обычно имеют более низкую отражательную способность в видимой области и более высокую отражательную способность в ближней инфракрасной области, что делает видимую и ближнюю инфракрасную (VNIR) часть спектра критической для изучения этих минералов. </w:t>
      </w:r>
    </w:p>
    <w:p w:rsidR="00844B5F" w:rsidRPr="00844B5F" w:rsidRDefault="00844B5F" w:rsidP="00844B5F">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844B5F">
        <w:rPr>
          <w:rFonts w:ascii="Times New Roman" w:eastAsia="Times New Roman" w:hAnsi="Times New Roman" w:cs="Times New Roman"/>
          <w:b/>
          <w:bCs/>
          <w:sz w:val="36"/>
          <w:szCs w:val="36"/>
          <w:lang w:eastAsia="ru-RU"/>
        </w:rPr>
        <w:lastRenderedPageBreak/>
        <w:t xml:space="preserve">Методика анализа космических снимков высокого разрешения для решения прогнозно-поисковых задач в геологии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Исходные космические снимки получены с портала Геологической службы США USGS, с помощью программного продукта ENVI была проведена предварительная обработка, включающая радиометрическую калибровку, атмосферную коррекцию. После первичной обработки создается новый набор данных на основе каналов VNIR и SWIR.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На сегодняшний день мультиспектральные данные являются оптимальными (с точки зрения соотношения цена-качество) для решения задач, связанных как с дешифрированием, так и с определением вещественного состава пород. Причем при обработке данных такого типа применимы хорошо зарекомендовавшие себя методы статистической обработки и спектральный анализ снимков.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Степень поглощения и рассеивания солнечного света любого объекта непосредственно связаны с его длинной волны. Спектральный образ — это величина взаимодействия </w:t>
      </w:r>
      <w:proofErr w:type="gramStart"/>
      <w:r w:rsidRPr="00844B5F">
        <w:rPr>
          <w:rFonts w:ascii="Times New Roman" w:eastAsia="Times New Roman" w:hAnsi="Times New Roman" w:cs="Times New Roman"/>
          <w:sz w:val="24"/>
          <w:szCs w:val="24"/>
          <w:lang w:eastAsia="ru-RU"/>
        </w:rPr>
        <w:t>солнечно-</w:t>
      </w:r>
      <w:proofErr w:type="spellStart"/>
      <w:r w:rsidRPr="00844B5F">
        <w:rPr>
          <w:rFonts w:ascii="Times New Roman" w:eastAsia="Times New Roman" w:hAnsi="Times New Roman" w:cs="Times New Roman"/>
          <w:sz w:val="24"/>
          <w:szCs w:val="24"/>
          <w:lang w:eastAsia="ru-RU"/>
        </w:rPr>
        <w:t>го</w:t>
      </w:r>
      <w:proofErr w:type="spellEnd"/>
      <w:proofErr w:type="gramEnd"/>
      <w:r w:rsidRPr="00844B5F">
        <w:rPr>
          <w:rFonts w:ascii="Times New Roman" w:eastAsia="Times New Roman" w:hAnsi="Times New Roman" w:cs="Times New Roman"/>
          <w:sz w:val="24"/>
          <w:szCs w:val="24"/>
          <w:lang w:eastAsia="ru-RU"/>
        </w:rPr>
        <w:t xml:space="preserve"> излучения с поверхностью Земли. Так каждый минерал имеет свою индивидуальную отражательную характеристику (спектральная кривая), которая связана с его химическим составом, степенью и температурой кристаллизации, генезисом. Спектральная информация может быть получена лабораторным способом, наземным измерением с помощью портативного спектрометра и дистанционно с космического аппарата или самолета.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Анализ главных компонент (PCA) — это надежный статистический метод, который используется для подавления эффектов излучения, доминирующих во всех диапазонах, в результате чего улучшается спектральная отражательная способность и усиливаются отображения геологических особенностей. Метод главных компонент предназначен для выделения некоррелированных комбинаций признаков среди коррелированных данных, в том числе в задачах обработки мультиспектральных изображений. Результатом работы инструмента является многоканальный растр, где количество каналов равняется заданному числу компонент (один канал на ось или компонента в новом многомерном пространстве). Первая главная компонента будет характеризоваться наибольшей дисперсией, вторая — будет соответствовать второму по величине значению дисперсии, не охарактеризованному первой главной компонентой, и так далее. В большинстве случаев, первые три или четыре растра результирующего многоканального растра, полученного в результате инструмента Метод главных компонент, будут описывать более 95 % дисперсии. Остальные индивидуальные каналы растра могут быть отброшены. Поскольку новый многоканальный растр содержит меньшее число каналов, и более 95 % дисперсии исходного многоканального растра осталась нетронутой, вычисления будут выполняться быстрее, а их точность при этом сохраняется.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PC1 изображает наибольшую дисперсию, т.к. это самый крупный разрез, который можно сделать через эллипс. Направлением PC1 является собственный вектор, а его величиной — собственное значение.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результате использования этого метода получили собственные векторы ковариационной матрицы (PC), представленные в таблице 1.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lastRenderedPageBreak/>
        <w:drawing>
          <wp:inline distT="0" distB="0" distL="0" distR="0" wp14:anchorId="09BD5EB8" wp14:editId="7500CBEF">
            <wp:extent cx="3973830" cy="1759585"/>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973830" cy="175958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Табл. 1. </w:t>
      </w:r>
      <w:r w:rsidRPr="00844B5F">
        <w:rPr>
          <w:rFonts w:ascii="Times New Roman" w:eastAsia="Times New Roman" w:hAnsi="Times New Roman" w:cs="Times New Roman"/>
          <w:sz w:val="24"/>
          <w:szCs w:val="24"/>
          <w:lang w:eastAsia="ru-RU"/>
        </w:rPr>
        <w:t>Значения векторов PCA на основе каналов VNIR+SWIR на территорию Урала</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Были выбраны минералы группы </w:t>
      </w:r>
      <w:proofErr w:type="spell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 xml:space="preserve"> (OH), такие как каолинит, алунит, мусковит и </w:t>
      </w:r>
      <w:proofErr w:type="spellStart"/>
      <w:r w:rsidRPr="00844B5F">
        <w:rPr>
          <w:rFonts w:ascii="Times New Roman" w:eastAsia="Times New Roman" w:hAnsi="Times New Roman" w:cs="Times New Roman"/>
          <w:sz w:val="24"/>
          <w:szCs w:val="24"/>
          <w:lang w:eastAsia="ru-RU"/>
        </w:rPr>
        <w:t>иллит</w:t>
      </w:r>
      <w:proofErr w:type="spellEnd"/>
      <w:r w:rsidRPr="00844B5F">
        <w:rPr>
          <w:rFonts w:ascii="Times New Roman" w:eastAsia="Times New Roman" w:hAnsi="Times New Roman" w:cs="Times New Roman"/>
          <w:sz w:val="24"/>
          <w:szCs w:val="24"/>
          <w:lang w:eastAsia="ru-RU"/>
        </w:rPr>
        <w:t xml:space="preserve">, которые демонстрируют значительное поглощение в каналах 5, 6 и 7 (2,14-2,28 µm) (рис. 1).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40E766A0" wp14:editId="1DFA67DA">
            <wp:extent cx="3904615" cy="2284095"/>
            <wp:effectExtent l="0" t="0" r="63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04615" cy="228409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Рис. 1.</w:t>
      </w:r>
      <w:r w:rsidRPr="00844B5F">
        <w:rPr>
          <w:rFonts w:ascii="Times New Roman" w:eastAsia="Times New Roman" w:hAnsi="Times New Roman" w:cs="Times New Roman"/>
          <w:sz w:val="24"/>
          <w:szCs w:val="24"/>
          <w:lang w:eastAsia="ru-RU"/>
        </w:rPr>
        <w:t xml:space="preserve"> Лабораторные спектры мусковита, каолинита, алунита, эпидота, кальцита и хлорита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Вероятнее всего, PC5 идентифицирует </w:t>
      </w:r>
      <w:proofErr w:type="spell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 xml:space="preserve"> (OH), так как она имеет наибольшие веса в каналах 5, 6, 7. Знак показывает яркость пикселей: отрицательный знак (минус) при картировании покажет нужные значения темными пикселями; положительный знак (плюс) — соответственно, светлыми. В результате были выявлены аномалии — зоны распространения минералов группы </w:t>
      </w:r>
      <w:proofErr w:type="spell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 xml:space="preserve"> (OH) (рис. 2).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lastRenderedPageBreak/>
        <w:drawing>
          <wp:inline distT="0" distB="0" distL="0" distR="0" wp14:anchorId="0858E14B" wp14:editId="0C8134CA">
            <wp:extent cx="3904615" cy="2686685"/>
            <wp:effectExtent l="0" t="0" r="63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04615" cy="268668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2. </w:t>
      </w:r>
      <w:r w:rsidRPr="00844B5F">
        <w:rPr>
          <w:rFonts w:ascii="Times New Roman" w:eastAsia="Times New Roman" w:hAnsi="Times New Roman" w:cs="Times New Roman"/>
          <w:sz w:val="24"/>
          <w:szCs w:val="24"/>
          <w:lang w:eastAsia="ru-RU"/>
        </w:rPr>
        <w:t>Композит PC5, PC6, PC4. Группа фиолетовых пикселей характеризуют наличие AI (OH) группы. Северный Урал</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Метод спектрального угла (SAM). </w:t>
      </w:r>
      <w:r w:rsidRPr="00844B5F">
        <w:rPr>
          <w:rFonts w:ascii="Times New Roman" w:eastAsia="Times New Roman" w:hAnsi="Times New Roman" w:cs="Times New Roman"/>
          <w:sz w:val="24"/>
          <w:szCs w:val="24"/>
          <w:lang w:eastAsia="ru-RU"/>
        </w:rPr>
        <w:t>Метод сравнения спектров изображения с отдельными спектрами или со спектральной библиотекой (</w:t>
      </w:r>
      <w:proofErr w:type="spellStart"/>
      <w:r w:rsidRPr="00844B5F">
        <w:rPr>
          <w:rFonts w:ascii="Times New Roman" w:eastAsia="Times New Roman" w:hAnsi="Times New Roman" w:cs="Times New Roman"/>
          <w:sz w:val="24"/>
          <w:szCs w:val="24"/>
          <w:lang w:eastAsia="ru-RU"/>
        </w:rPr>
        <w:t>Boardman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unpublished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data</w:t>
      </w:r>
      <w:proofErr w:type="spellEnd"/>
      <w:r w:rsidRPr="00844B5F">
        <w:rPr>
          <w:rFonts w:ascii="Times New Roman" w:eastAsia="Times New Roman" w:hAnsi="Times New Roman" w:cs="Times New Roman"/>
          <w:sz w:val="24"/>
          <w:szCs w:val="24"/>
          <w:lang w:eastAsia="ru-RU"/>
        </w:rPr>
        <w:t xml:space="preserve">; CSES, 1992; </w:t>
      </w:r>
      <w:proofErr w:type="spellStart"/>
      <w:r w:rsidRPr="00844B5F">
        <w:rPr>
          <w:rFonts w:ascii="Times New Roman" w:eastAsia="Times New Roman" w:hAnsi="Times New Roman" w:cs="Times New Roman"/>
          <w:sz w:val="24"/>
          <w:szCs w:val="24"/>
          <w:lang w:eastAsia="ru-RU"/>
        </w:rPr>
        <w:t>Kruse</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et</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 xml:space="preserve">., 1993a) основан на оценке </w:t>
      </w:r>
      <w:proofErr w:type="gramStart"/>
      <w:r w:rsidRPr="00844B5F">
        <w:rPr>
          <w:rFonts w:ascii="Times New Roman" w:eastAsia="Times New Roman" w:hAnsi="Times New Roman" w:cs="Times New Roman"/>
          <w:sz w:val="24"/>
          <w:szCs w:val="24"/>
          <w:lang w:eastAsia="ru-RU"/>
        </w:rPr>
        <w:t>спек-трального</w:t>
      </w:r>
      <w:proofErr w:type="gramEnd"/>
      <w:r w:rsidRPr="00844B5F">
        <w:rPr>
          <w:rFonts w:ascii="Times New Roman" w:eastAsia="Times New Roman" w:hAnsi="Times New Roman" w:cs="Times New Roman"/>
          <w:sz w:val="24"/>
          <w:szCs w:val="24"/>
          <w:lang w:eastAsia="ru-RU"/>
        </w:rPr>
        <w:t xml:space="preserve"> сходства в (n — мерном) пространстве характеристик путем вычисления спектрального угла между ними.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SAM вычисляет спектральный угол между ближайшим набором спектров и эталонными спектрами, где A — эталонный спектр, B, C, D — набор пиксельных спектров, А— спектральный угол между векторами. (рис.3)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54C7B391" wp14:editId="46AE09F3">
            <wp:extent cx="3913505" cy="2106295"/>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913505" cy="210629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3. </w:t>
      </w:r>
      <w:r w:rsidRPr="00844B5F">
        <w:rPr>
          <w:rFonts w:ascii="Times New Roman" w:eastAsia="Times New Roman" w:hAnsi="Times New Roman" w:cs="Times New Roman"/>
          <w:sz w:val="24"/>
          <w:szCs w:val="24"/>
          <w:lang w:eastAsia="ru-RU"/>
        </w:rPr>
        <w:t>Концепция метода спектрального угла</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Данный метод, конечно, имеет свои преимущества и недостатки. Метод быстрый и простой в использовании, позволяет сопоставляет спектры космического снимка с лабораторными спектрами. К недостаткам этого метода относится нечувствительность к вариациям яркости и вероятность ошибочной классификации сходных спектров.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Применив метод SAM на территорию Урала, мы получили карту группы минералов </w:t>
      </w:r>
      <w:proofErr w:type="spell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 xml:space="preserve"> (OH) (рис. 4).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lastRenderedPageBreak/>
        <w:drawing>
          <wp:inline distT="0" distB="0" distL="0" distR="0" wp14:anchorId="0C4099CC" wp14:editId="0A085625">
            <wp:extent cx="3904615" cy="2678430"/>
            <wp:effectExtent l="0" t="0" r="635"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04615" cy="267843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4. </w:t>
      </w:r>
      <w:r w:rsidRPr="00844B5F">
        <w:rPr>
          <w:rFonts w:ascii="Times New Roman" w:eastAsia="Times New Roman" w:hAnsi="Times New Roman" w:cs="Times New Roman"/>
          <w:sz w:val="24"/>
          <w:szCs w:val="24"/>
          <w:lang w:eastAsia="ru-RU"/>
        </w:rPr>
        <w:t>Мусковит и каолинит, полученный с помощью метода спектрального угла (SAM). Северный Урал</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Используя в качестве сравнения эталонные спектры </w:t>
      </w:r>
      <w:proofErr w:type="spellStart"/>
      <w:r w:rsidRPr="00844B5F">
        <w:rPr>
          <w:rFonts w:ascii="Times New Roman" w:eastAsia="Times New Roman" w:hAnsi="Times New Roman" w:cs="Times New Roman"/>
          <w:sz w:val="24"/>
          <w:szCs w:val="24"/>
          <w:lang w:eastAsia="ru-RU"/>
        </w:rPr>
        <w:t>Spectral</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Library</w:t>
      </w:r>
      <w:proofErr w:type="spellEnd"/>
      <w:r w:rsidRPr="00844B5F">
        <w:rPr>
          <w:rFonts w:ascii="Times New Roman" w:eastAsia="Times New Roman" w:hAnsi="Times New Roman" w:cs="Times New Roman"/>
          <w:sz w:val="24"/>
          <w:szCs w:val="24"/>
          <w:lang w:eastAsia="ru-RU"/>
        </w:rPr>
        <w:t xml:space="preserve">, метод спектрального угла на данной территории обнаружил возможное расположение мусковита и каолинита, кальцита.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Расчёт минералогических индексов. </w:t>
      </w:r>
      <w:r w:rsidRPr="00844B5F">
        <w:rPr>
          <w:rFonts w:ascii="Times New Roman" w:eastAsia="Times New Roman" w:hAnsi="Times New Roman" w:cs="Times New Roman"/>
          <w:sz w:val="24"/>
          <w:szCs w:val="24"/>
          <w:lang w:eastAsia="ru-RU"/>
        </w:rPr>
        <w:t xml:space="preserve">Минералогические индексы позволяют идентифицировать область определенных минеральных групп. Для составления математических операций с каналами космического аппарата следует учитывать спектральные характеристики минерала, а именно зону поглощения. Группа </w:t>
      </w:r>
      <w:proofErr w:type="spellStart"/>
      <w:proofErr w:type="gram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w:t>
      </w:r>
      <w:proofErr w:type="gramEnd"/>
      <w:r w:rsidRPr="00844B5F">
        <w:rPr>
          <w:rFonts w:ascii="Times New Roman" w:eastAsia="Times New Roman" w:hAnsi="Times New Roman" w:cs="Times New Roman"/>
          <w:sz w:val="24"/>
          <w:szCs w:val="24"/>
          <w:lang w:eastAsia="ru-RU"/>
        </w:rPr>
        <w:t xml:space="preserve">OH) была определена с помощью операции над каналами AL(OH)=(B4/ (B6)*(B8*B8)). Данные ASTER в 4-м канале имеет высокий показатель спектра отражения, а в 6-м и 8-м поглощения. (рис. 5)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2558CB9A" wp14:editId="7A40C996">
            <wp:extent cx="3904615" cy="2678430"/>
            <wp:effectExtent l="0" t="0" r="63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04615" cy="267843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5. </w:t>
      </w:r>
      <w:r w:rsidRPr="00844B5F">
        <w:rPr>
          <w:rFonts w:ascii="Times New Roman" w:eastAsia="Times New Roman" w:hAnsi="Times New Roman" w:cs="Times New Roman"/>
          <w:sz w:val="24"/>
          <w:szCs w:val="24"/>
          <w:lang w:eastAsia="ru-RU"/>
        </w:rPr>
        <w:t xml:space="preserve">Минералогический индекс </w:t>
      </w:r>
      <w:proofErr w:type="spellStart"/>
      <w:proofErr w:type="gram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w:t>
      </w:r>
      <w:proofErr w:type="gramEnd"/>
      <w:r w:rsidRPr="00844B5F">
        <w:rPr>
          <w:rFonts w:ascii="Times New Roman" w:eastAsia="Times New Roman" w:hAnsi="Times New Roman" w:cs="Times New Roman"/>
          <w:sz w:val="24"/>
          <w:szCs w:val="24"/>
          <w:lang w:eastAsia="ru-RU"/>
        </w:rPr>
        <w:t>OH) группы. Северный Урал</w:t>
      </w:r>
    </w:p>
    <w:p w:rsidR="00844B5F" w:rsidRPr="00844B5F" w:rsidRDefault="00844B5F" w:rsidP="00844B5F">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844B5F">
        <w:rPr>
          <w:rFonts w:ascii="Times New Roman" w:eastAsia="Times New Roman" w:hAnsi="Times New Roman" w:cs="Times New Roman"/>
          <w:b/>
          <w:bCs/>
          <w:sz w:val="36"/>
          <w:szCs w:val="36"/>
          <w:lang w:eastAsia="ru-RU"/>
        </w:rPr>
        <w:t>Апробация методики спектрального дешифрирования </w:t>
      </w:r>
      <w:r w:rsidRPr="00844B5F">
        <w:rPr>
          <w:rFonts w:ascii="Times New Roman" w:eastAsia="Times New Roman" w:hAnsi="Times New Roman" w:cs="Times New Roman"/>
          <w:b/>
          <w:bCs/>
          <w:i/>
          <w:iCs/>
          <w:sz w:val="36"/>
          <w:szCs w:val="36"/>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lastRenderedPageBreak/>
        <w:t>Уральский регион</w:t>
      </w:r>
      <w:r w:rsidRPr="00844B5F">
        <w:rPr>
          <w:rFonts w:ascii="Times New Roman" w:eastAsia="Times New Roman" w:hAnsi="Times New Roman" w:cs="Times New Roman"/>
          <w:sz w:val="24"/>
          <w:szCs w:val="24"/>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Степень изученности Уральского региона такова, что ожидать открытия новых крупных месторождений не приходится, но мелкие и, возможно, средние месторождения могут быть найдены, в том числе во многом благодаря применению дистанционных методов исследования. Кроме того, необходима системная переоценка ресурсного потенциала Уральского региона, в связи с кардинальными изменениями представлений о геологии района. На сегодняшний день Уральский складчатый пояс рассматривается как коллизионное сооружение со сложной </w:t>
      </w:r>
      <w:proofErr w:type="spellStart"/>
      <w:r w:rsidRPr="00844B5F">
        <w:rPr>
          <w:rFonts w:ascii="Times New Roman" w:eastAsia="Times New Roman" w:hAnsi="Times New Roman" w:cs="Times New Roman"/>
          <w:sz w:val="24"/>
          <w:szCs w:val="24"/>
          <w:lang w:eastAsia="ru-RU"/>
        </w:rPr>
        <w:t>палеогеодинамической</w:t>
      </w:r>
      <w:proofErr w:type="spellEnd"/>
      <w:r w:rsidRPr="00844B5F">
        <w:rPr>
          <w:rFonts w:ascii="Times New Roman" w:eastAsia="Times New Roman" w:hAnsi="Times New Roman" w:cs="Times New Roman"/>
          <w:sz w:val="24"/>
          <w:szCs w:val="24"/>
          <w:lang w:eastAsia="ru-RU"/>
        </w:rPr>
        <w:t xml:space="preserve"> историей, а не как подвижная геосинклинальная зона, учение о которой развивалось в конце XIX- середине XX веков. Все основные вопросы ресурсного потенциала Урала к настоящему времени описаны и решены с позиций геосинклинальной теории. Это относится к вопросам </w:t>
      </w:r>
      <w:proofErr w:type="spellStart"/>
      <w:r w:rsidRPr="00844B5F">
        <w:rPr>
          <w:rFonts w:ascii="Times New Roman" w:eastAsia="Times New Roman" w:hAnsi="Times New Roman" w:cs="Times New Roman"/>
          <w:sz w:val="24"/>
          <w:szCs w:val="24"/>
          <w:lang w:eastAsia="ru-RU"/>
        </w:rPr>
        <w:t>минерагении</w:t>
      </w:r>
      <w:proofErr w:type="spellEnd"/>
      <w:r w:rsidRPr="00844B5F">
        <w:rPr>
          <w:rFonts w:ascii="Times New Roman" w:eastAsia="Times New Roman" w:hAnsi="Times New Roman" w:cs="Times New Roman"/>
          <w:sz w:val="24"/>
          <w:szCs w:val="24"/>
          <w:lang w:eastAsia="ru-RU"/>
        </w:rPr>
        <w:t xml:space="preserve">, тектоники, палеогеографии района. Большая часть материала по геологии требует системного пересмотра в рамках новых </w:t>
      </w:r>
      <w:proofErr w:type="spellStart"/>
      <w:r w:rsidRPr="00844B5F">
        <w:rPr>
          <w:rFonts w:ascii="Times New Roman" w:eastAsia="Times New Roman" w:hAnsi="Times New Roman" w:cs="Times New Roman"/>
          <w:sz w:val="24"/>
          <w:szCs w:val="24"/>
          <w:lang w:eastAsia="ru-RU"/>
        </w:rPr>
        <w:t>палеогеодинамических</w:t>
      </w:r>
      <w:proofErr w:type="spellEnd"/>
      <w:r w:rsidRPr="00844B5F">
        <w:rPr>
          <w:rFonts w:ascii="Times New Roman" w:eastAsia="Times New Roman" w:hAnsi="Times New Roman" w:cs="Times New Roman"/>
          <w:sz w:val="24"/>
          <w:szCs w:val="24"/>
          <w:lang w:eastAsia="ru-RU"/>
        </w:rPr>
        <w:t xml:space="preserve"> представлений о формировании Урала, во взаимосвязи с историей развития палеотектонических движений, палеогеографических обстановок, </w:t>
      </w:r>
      <w:proofErr w:type="spellStart"/>
      <w:r w:rsidRPr="00844B5F">
        <w:rPr>
          <w:rFonts w:ascii="Times New Roman" w:eastAsia="Times New Roman" w:hAnsi="Times New Roman" w:cs="Times New Roman"/>
          <w:sz w:val="24"/>
          <w:szCs w:val="24"/>
          <w:lang w:eastAsia="ru-RU"/>
        </w:rPr>
        <w:t>рудогенеза</w:t>
      </w:r>
      <w:proofErr w:type="spellEnd"/>
      <w:r w:rsidRPr="00844B5F">
        <w:rPr>
          <w:rFonts w:ascii="Times New Roman" w:eastAsia="Times New Roman" w:hAnsi="Times New Roman" w:cs="Times New Roman"/>
          <w:sz w:val="24"/>
          <w:szCs w:val="24"/>
          <w:lang w:eastAsia="ru-RU"/>
        </w:rPr>
        <w:t xml:space="preserve"> и др. Выполненные исследования с применением инновационных методов позволят по-новому рассмотреть историю формирования угленосных формаций Уральского региона и оценить геологические перспективы их </w:t>
      </w:r>
      <w:proofErr w:type="spellStart"/>
      <w:r w:rsidRPr="00844B5F">
        <w:rPr>
          <w:rFonts w:ascii="Times New Roman" w:eastAsia="Times New Roman" w:hAnsi="Times New Roman" w:cs="Times New Roman"/>
          <w:sz w:val="24"/>
          <w:szCs w:val="24"/>
          <w:lang w:eastAsia="ru-RU"/>
        </w:rPr>
        <w:t>продуктиности</w:t>
      </w:r>
      <w:proofErr w:type="spellEnd"/>
      <w:r w:rsidRPr="00844B5F">
        <w:rPr>
          <w:rFonts w:ascii="Times New Roman" w:eastAsia="Times New Roman" w:hAnsi="Times New Roman" w:cs="Times New Roman"/>
          <w:sz w:val="24"/>
          <w:szCs w:val="24"/>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административном отношении участки работ находятся на территории Уральского федерального округа (Ханты-Мансийского автономного округа, Пермского края, Свердловской области, республики Коми). В геологическом отношении участок работ охватывает зауральский краевой прогиб и Западно-Сибирскую плиту.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5A879807" wp14:editId="1AA9E03B">
            <wp:extent cx="3913505" cy="2621915"/>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13505" cy="262191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Рис. 6. </w:t>
      </w:r>
      <w:r w:rsidRPr="00844B5F">
        <w:rPr>
          <w:rFonts w:ascii="Times New Roman" w:eastAsia="Times New Roman" w:hAnsi="Times New Roman" w:cs="Times New Roman"/>
          <w:sz w:val="24"/>
          <w:szCs w:val="24"/>
          <w:lang w:eastAsia="ru-RU"/>
        </w:rPr>
        <w:t xml:space="preserve">Минералогическая карта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Иран</w:t>
      </w:r>
      <w:r w:rsidRPr="00844B5F">
        <w:rPr>
          <w:rFonts w:ascii="Times New Roman" w:eastAsia="Times New Roman" w:hAnsi="Times New Roman" w:cs="Times New Roman"/>
          <w:sz w:val="24"/>
          <w:szCs w:val="24"/>
          <w:lang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Центрально-Иранском вулканическом поясе, расположенном на северо-востоке страны, имеется много известных месторождений </w:t>
      </w:r>
      <w:proofErr w:type="spellStart"/>
      <w:r w:rsidRPr="00844B5F">
        <w:rPr>
          <w:rFonts w:ascii="Times New Roman" w:eastAsia="Times New Roman" w:hAnsi="Times New Roman" w:cs="Times New Roman"/>
          <w:sz w:val="24"/>
          <w:szCs w:val="24"/>
          <w:lang w:eastAsia="ru-RU"/>
        </w:rPr>
        <w:t>меднопорфирового</w:t>
      </w:r>
      <w:proofErr w:type="spellEnd"/>
      <w:r w:rsidRPr="00844B5F">
        <w:rPr>
          <w:rFonts w:ascii="Times New Roman" w:eastAsia="Times New Roman" w:hAnsi="Times New Roman" w:cs="Times New Roman"/>
          <w:sz w:val="24"/>
          <w:szCs w:val="24"/>
          <w:lang w:eastAsia="ru-RU"/>
        </w:rPr>
        <w:t xml:space="preserve"> типа (рис. 6). Иран имеет большой потенциал для разведки месторождений медно-порфирового типа с использованием данных дистанционного зондирования Земли, что обусловлено хорошими физико-географическими условиями и высокой степенью обнаженности. Таким образом, регион становится интересной областью для изучения перспектив обнаружения </w:t>
      </w:r>
      <w:proofErr w:type="spellStart"/>
      <w:r w:rsidRPr="00844B5F">
        <w:rPr>
          <w:rFonts w:ascii="Times New Roman" w:eastAsia="Times New Roman" w:hAnsi="Times New Roman" w:cs="Times New Roman"/>
          <w:sz w:val="24"/>
          <w:szCs w:val="24"/>
          <w:lang w:eastAsia="ru-RU"/>
        </w:rPr>
        <w:t>эпитермального</w:t>
      </w:r>
      <w:proofErr w:type="spellEnd"/>
      <w:r w:rsidRPr="00844B5F">
        <w:rPr>
          <w:rFonts w:ascii="Times New Roman" w:eastAsia="Times New Roman" w:hAnsi="Times New Roman" w:cs="Times New Roman"/>
          <w:sz w:val="24"/>
          <w:szCs w:val="24"/>
          <w:lang w:eastAsia="ru-RU"/>
        </w:rPr>
        <w:t xml:space="preserve"> золоторудного </w:t>
      </w:r>
      <w:proofErr w:type="spellStart"/>
      <w:r w:rsidRPr="00844B5F">
        <w:rPr>
          <w:rFonts w:ascii="Times New Roman" w:eastAsia="Times New Roman" w:hAnsi="Times New Roman" w:cs="Times New Roman"/>
          <w:sz w:val="24"/>
          <w:szCs w:val="24"/>
          <w:lang w:eastAsia="ru-RU"/>
        </w:rPr>
        <w:t>оруденения</w:t>
      </w:r>
      <w:proofErr w:type="spellEnd"/>
      <w:r w:rsidRPr="00844B5F">
        <w:rPr>
          <w:rFonts w:ascii="Times New Roman" w:eastAsia="Times New Roman" w:hAnsi="Times New Roman" w:cs="Times New Roman"/>
          <w:sz w:val="24"/>
          <w:szCs w:val="24"/>
          <w:lang w:eastAsia="ru-RU"/>
        </w:rPr>
        <w:t xml:space="preserve"> медного-порфирового и венозного типов (рис. </w:t>
      </w:r>
      <w:r w:rsidRPr="00844B5F">
        <w:rPr>
          <w:rFonts w:ascii="Times New Roman" w:eastAsia="Times New Roman" w:hAnsi="Times New Roman" w:cs="Times New Roman"/>
          <w:sz w:val="24"/>
          <w:szCs w:val="24"/>
          <w:lang w:eastAsia="ru-RU"/>
        </w:rPr>
        <w:lastRenderedPageBreak/>
        <w:t xml:space="preserve">7). В настоящем исследовании были выбраны два района по добыче меди в юго-восточном сегменте вулканического пояса — </w:t>
      </w:r>
      <w:proofErr w:type="spellStart"/>
      <w:r w:rsidRPr="00844B5F">
        <w:rPr>
          <w:rFonts w:ascii="Times New Roman" w:eastAsia="Times New Roman" w:hAnsi="Times New Roman" w:cs="Times New Roman"/>
          <w:sz w:val="24"/>
          <w:szCs w:val="24"/>
          <w:lang w:eastAsia="ru-RU"/>
        </w:rPr>
        <w:t>Мейдук</w:t>
      </w:r>
      <w:proofErr w:type="spellEnd"/>
      <w:r w:rsidRPr="00844B5F">
        <w:rPr>
          <w:rFonts w:ascii="Times New Roman" w:eastAsia="Times New Roman" w:hAnsi="Times New Roman" w:cs="Times New Roman"/>
          <w:sz w:val="24"/>
          <w:szCs w:val="24"/>
          <w:lang w:eastAsia="ru-RU"/>
        </w:rPr>
        <w:t xml:space="preserve"> и Сар-Чешме. Использовались исключительно космические снимки ASTER.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noProof/>
          <w:sz w:val="24"/>
          <w:szCs w:val="24"/>
          <w:lang w:eastAsia="ru-RU"/>
        </w:rPr>
        <w:drawing>
          <wp:inline distT="0" distB="0" distL="0" distR="0" wp14:anchorId="1EE03084" wp14:editId="67C88F51">
            <wp:extent cx="3935095" cy="2049780"/>
            <wp:effectExtent l="0" t="0" r="8255"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35095" cy="204978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Рис. 7.</w:t>
      </w:r>
      <w:r w:rsidRPr="00844B5F">
        <w:rPr>
          <w:rFonts w:ascii="Times New Roman" w:eastAsia="Times New Roman" w:hAnsi="Times New Roman" w:cs="Times New Roman"/>
          <w:sz w:val="24"/>
          <w:szCs w:val="24"/>
          <w:lang w:eastAsia="ru-RU"/>
        </w:rPr>
        <w:t xml:space="preserve"> Геологическая карта Сар-Чешме (</w:t>
      </w:r>
      <w:proofErr w:type="spellStart"/>
      <w:r w:rsidRPr="00844B5F">
        <w:rPr>
          <w:rFonts w:ascii="Times New Roman" w:eastAsia="Times New Roman" w:hAnsi="Times New Roman" w:cs="Times New Roman"/>
          <w:sz w:val="24"/>
          <w:szCs w:val="24"/>
          <w:lang w:eastAsia="ru-RU"/>
        </w:rPr>
        <w:t>Hubner</w:t>
      </w:r>
      <w:proofErr w:type="spellEnd"/>
      <w:r w:rsidRPr="00844B5F">
        <w:rPr>
          <w:rFonts w:ascii="Times New Roman" w:eastAsia="Times New Roman" w:hAnsi="Times New Roman" w:cs="Times New Roman"/>
          <w:sz w:val="24"/>
          <w:szCs w:val="24"/>
          <w:lang w:eastAsia="ru-RU"/>
        </w:rPr>
        <w:t xml:space="preserve">, 1969; </w:t>
      </w:r>
      <w:proofErr w:type="spellStart"/>
      <w:r w:rsidRPr="00844B5F">
        <w:rPr>
          <w:rFonts w:ascii="Times New Roman" w:eastAsia="Times New Roman" w:hAnsi="Times New Roman" w:cs="Times New Roman"/>
          <w:sz w:val="24"/>
          <w:szCs w:val="24"/>
          <w:lang w:eastAsia="ru-RU"/>
        </w:rPr>
        <w:t>Mars</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Rowan</w:t>
      </w:r>
      <w:proofErr w:type="spellEnd"/>
      <w:r w:rsidRPr="00844B5F">
        <w:rPr>
          <w:rFonts w:ascii="Times New Roman" w:eastAsia="Times New Roman" w:hAnsi="Times New Roman" w:cs="Times New Roman"/>
          <w:sz w:val="24"/>
          <w:szCs w:val="24"/>
          <w:lang w:eastAsia="ru-RU"/>
        </w:rPr>
        <w:t xml:space="preserve">, 2006)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данной статье используются эффективные методы спектрального преобразования для идентификации минералов гидротермальных изменений. Были использованы методы       анализа главных компонентов, расчёт минералогических индексов, минимальная доля шума (MNF).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В результате анализа главных компонент, были получены RGB композиты PC5 (растительные данные), PC6 (</w:t>
      </w:r>
      <w:proofErr w:type="spellStart"/>
      <w:proofErr w:type="gramStart"/>
      <w:r w:rsidRPr="00844B5F">
        <w:rPr>
          <w:rFonts w:ascii="Times New Roman" w:eastAsia="Times New Roman" w:hAnsi="Times New Roman" w:cs="Times New Roman"/>
          <w:sz w:val="24"/>
          <w:szCs w:val="24"/>
          <w:lang w:eastAsia="ru-RU"/>
        </w:rPr>
        <w:t>Al</w:t>
      </w:r>
      <w:proofErr w:type="spellEnd"/>
      <w:r w:rsidRPr="00844B5F">
        <w:rPr>
          <w:rFonts w:ascii="Times New Roman" w:eastAsia="Times New Roman" w:hAnsi="Times New Roman" w:cs="Times New Roman"/>
          <w:sz w:val="24"/>
          <w:szCs w:val="24"/>
          <w:lang w:eastAsia="ru-RU"/>
        </w:rPr>
        <w:t>(</w:t>
      </w:r>
      <w:proofErr w:type="gramEnd"/>
      <w:r w:rsidRPr="00844B5F">
        <w:rPr>
          <w:rFonts w:ascii="Times New Roman" w:eastAsia="Times New Roman" w:hAnsi="Times New Roman" w:cs="Times New Roman"/>
          <w:sz w:val="24"/>
          <w:szCs w:val="24"/>
          <w:lang w:eastAsia="ru-RU"/>
        </w:rPr>
        <w:t>OH) группа) и PC7 (</w:t>
      </w:r>
      <w:proofErr w:type="spellStart"/>
      <w:r w:rsidRPr="00844B5F">
        <w:rPr>
          <w:rFonts w:ascii="Times New Roman" w:eastAsia="Times New Roman" w:hAnsi="Times New Roman" w:cs="Times New Roman"/>
          <w:sz w:val="24"/>
          <w:szCs w:val="24"/>
          <w:lang w:eastAsia="ru-RU"/>
        </w:rPr>
        <w:t>Fe</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Mg</w:t>
      </w:r>
      <w:proofErr w:type="spellEnd"/>
      <w:r w:rsidRPr="00844B5F">
        <w:rPr>
          <w:rFonts w:ascii="Times New Roman" w:eastAsia="Times New Roman" w:hAnsi="Times New Roman" w:cs="Times New Roman"/>
          <w:sz w:val="24"/>
          <w:szCs w:val="24"/>
          <w:lang w:eastAsia="ru-RU"/>
        </w:rPr>
        <w:t xml:space="preserve">(OH) группа), показывающие гидротермальные изменения в районах </w:t>
      </w:r>
      <w:proofErr w:type="spellStart"/>
      <w:r w:rsidRPr="00844B5F">
        <w:rPr>
          <w:rFonts w:ascii="Times New Roman" w:eastAsia="Times New Roman" w:hAnsi="Times New Roman" w:cs="Times New Roman"/>
          <w:sz w:val="24"/>
          <w:szCs w:val="24"/>
          <w:lang w:eastAsia="ru-RU"/>
        </w:rPr>
        <w:t>Мейдук</w:t>
      </w:r>
      <w:proofErr w:type="spellEnd"/>
      <w:r w:rsidRPr="00844B5F">
        <w:rPr>
          <w:rFonts w:ascii="Times New Roman" w:eastAsia="Times New Roman" w:hAnsi="Times New Roman" w:cs="Times New Roman"/>
          <w:sz w:val="24"/>
          <w:szCs w:val="24"/>
          <w:lang w:eastAsia="ru-RU"/>
        </w:rPr>
        <w:t xml:space="preserve"> и Сар-Чешме (рис. 8, рис. 9).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19B207FB" wp14:editId="263AA4AE">
            <wp:extent cx="3935095" cy="2418080"/>
            <wp:effectExtent l="0" t="0" r="8255"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35095" cy="241808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8. </w:t>
      </w:r>
      <w:r w:rsidRPr="00844B5F">
        <w:rPr>
          <w:rFonts w:ascii="Times New Roman" w:eastAsia="Times New Roman" w:hAnsi="Times New Roman" w:cs="Times New Roman"/>
          <w:sz w:val="24"/>
          <w:szCs w:val="24"/>
          <w:lang w:eastAsia="ru-RU"/>
        </w:rPr>
        <w:t>Геологическая карта Сар-Чешме (</w:t>
      </w:r>
      <w:proofErr w:type="spellStart"/>
      <w:r w:rsidRPr="00844B5F">
        <w:rPr>
          <w:rFonts w:ascii="Times New Roman" w:eastAsia="Times New Roman" w:hAnsi="Times New Roman" w:cs="Times New Roman"/>
          <w:sz w:val="24"/>
          <w:szCs w:val="24"/>
          <w:lang w:eastAsia="ru-RU"/>
        </w:rPr>
        <w:t>Hubner</w:t>
      </w:r>
      <w:proofErr w:type="spellEnd"/>
      <w:r w:rsidRPr="00844B5F">
        <w:rPr>
          <w:rFonts w:ascii="Times New Roman" w:eastAsia="Times New Roman" w:hAnsi="Times New Roman" w:cs="Times New Roman"/>
          <w:sz w:val="24"/>
          <w:szCs w:val="24"/>
          <w:lang w:eastAsia="ru-RU"/>
        </w:rPr>
        <w:t xml:space="preserve">, 1969b; </w:t>
      </w:r>
      <w:proofErr w:type="spellStart"/>
      <w:r w:rsidRPr="00844B5F">
        <w:rPr>
          <w:rFonts w:ascii="Times New Roman" w:eastAsia="Times New Roman" w:hAnsi="Times New Roman" w:cs="Times New Roman"/>
          <w:sz w:val="24"/>
          <w:szCs w:val="24"/>
          <w:lang w:eastAsia="ru-RU"/>
        </w:rPr>
        <w:t>Mars</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Rowan</w:t>
      </w:r>
      <w:proofErr w:type="spellEnd"/>
      <w:r w:rsidRPr="00844B5F">
        <w:rPr>
          <w:rFonts w:ascii="Times New Roman" w:eastAsia="Times New Roman" w:hAnsi="Times New Roman" w:cs="Times New Roman"/>
          <w:sz w:val="24"/>
          <w:szCs w:val="24"/>
          <w:lang w:eastAsia="ru-RU"/>
        </w:rPr>
        <w:t>, 2006)</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noProof/>
          <w:sz w:val="24"/>
          <w:szCs w:val="24"/>
          <w:lang w:eastAsia="ru-RU"/>
        </w:rPr>
        <w:lastRenderedPageBreak/>
        <w:drawing>
          <wp:inline distT="0" distB="0" distL="0" distR="0" wp14:anchorId="5DE8DB5C" wp14:editId="51B27BCB">
            <wp:extent cx="2933700" cy="29902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33700" cy="2990215"/>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 xml:space="preserve">Рис. 9. </w:t>
      </w:r>
      <w:r w:rsidRPr="00844B5F">
        <w:rPr>
          <w:rFonts w:ascii="Times New Roman" w:eastAsia="Times New Roman" w:hAnsi="Times New Roman" w:cs="Times New Roman"/>
          <w:sz w:val="24"/>
          <w:szCs w:val="24"/>
          <w:lang w:eastAsia="ru-RU"/>
        </w:rPr>
        <w:t xml:space="preserve">Район </w:t>
      </w:r>
      <w:proofErr w:type="spellStart"/>
      <w:r w:rsidRPr="00844B5F">
        <w:rPr>
          <w:rFonts w:ascii="Times New Roman" w:eastAsia="Times New Roman" w:hAnsi="Times New Roman" w:cs="Times New Roman"/>
          <w:sz w:val="24"/>
          <w:szCs w:val="24"/>
          <w:lang w:eastAsia="ru-RU"/>
        </w:rPr>
        <w:t>Мейдук</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Amin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Beiranvnd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Pour</w:t>
      </w:r>
      <w:proofErr w:type="spellEnd"/>
      <w:r w:rsidRPr="00844B5F">
        <w:rPr>
          <w:rFonts w:ascii="Times New Roman" w:eastAsia="Times New Roman" w:hAnsi="Times New Roman" w:cs="Times New Roman"/>
          <w:sz w:val="24"/>
          <w:szCs w:val="24"/>
          <w:lang w:eastAsia="ru-RU"/>
        </w:rPr>
        <w:t>, 2011)</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В результате расчетов минералогических индексов (BR) были идентифицированы минералы, например, мусковит. Индекс был рассчитан по разнице каналов 7/6, где яркие пиксели соответствовали минералу Мусковит. С помощью </w:t>
      </w:r>
      <w:proofErr w:type="spellStart"/>
      <w:r w:rsidRPr="00844B5F">
        <w:rPr>
          <w:rFonts w:ascii="Times New Roman" w:eastAsia="Times New Roman" w:hAnsi="Times New Roman" w:cs="Times New Roman"/>
          <w:sz w:val="24"/>
          <w:szCs w:val="24"/>
          <w:lang w:eastAsia="ru-RU"/>
        </w:rPr>
        <w:t>Minimum</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Noise</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Fraction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Transform</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Boardman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Kruse</w:t>
      </w:r>
      <w:proofErr w:type="spellEnd"/>
      <w:r w:rsidRPr="00844B5F">
        <w:rPr>
          <w:rFonts w:ascii="Times New Roman" w:eastAsia="Times New Roman" w:hAnsi="Times New Roman" w:cs="Times New Roman"/>
          <w:sz w:val="24"/>
          <w:szCs w:val="24"/>
          <w:lang w:eastAsia="ru-RU"/>
        </w:rPr>
        <w:t xml:space="preserve">, 1994) была рассчитана таблица собственных значений всех SWIR ASTER каналов на территории </w:t>
      </w:r>
      <w:proofErr w:type="spellStart"/>
      <w:r w:rsidRPr="00844B5F">
        <w:rPr>
          <w:rFonts w:ascii="Times New Roman" w:eastAsia="Times New Roman" w:hAnsi="Times New Roman" w:cs="Times New Roman"/>
          <w:sz w:val="24"/>
          <w:szCs w:val="24"/>
          <w:lang w:eastAsia="ru-RU"/>
        </w:rPr>
        <w:t>Мейдук</w:t>
      </w:r>
      <w:proofErr w:type="spellEnd"/>
      <w:r w:rsidRPr="00844B5F">
        <w:rPr>
          <w:rFonts w:ascii="Times New Roman" w:eastAsia="Times New Roman" w:hAnsi="Times New Roman" w:cs="Times New Roman"/>
          <w:sz w:val="24"/>
          <w:szCs w:val="24"/>
          <w:lang w:eastAsia="ru-RU"/>
        </w:rPr>
        <w:t xml:space="preserve"> и Сар-Чешме. В результате были получены композитные RGB изображения, которые показаны на рисунках 13 и 14.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drawing>
          <wp:inline distT="0" distB="0" distL="0" distR="0" wp14:anchorId="49343495" wp14:editId="6EABF9BB">
            <wp:extent cx="2933700" cy="31115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33700" cy="311150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Рис. 13.</w:t>
      </w:r>
      <w:r w:rsidRPr="00844B5F">
        <w:rPr>
          <w:rFonts w:ascii="Times New Roman" w:eastAsia="Times New Roman" w:hAnsi="Times New Roman" w:cs="Times New Roman"/>
          <w:sz w:val="24"/>
          <w:szCs w:val="24"/>
          <w:lang w:eastAsia="ru-RU"/>
        </w:rPr>
        <w:t xml:space="preserve"> Район </w:t>
      </w:r>
      <w:proofErr w:type="spellStart"/>
      <w:r w:rsidRPr="00844B5F">
        <w:rPr>
          <w:rFonts w:ascii="Times New Roman" w:eastAsia="Times New Roman" w:hAnsi="Times New Roman" w:cs="Times New Roman"/>
          <w:sz w:val="24"/>
          <w:szCs w:val="24"/>
          <w:lang w:eastAsia="ru-RU"/>
        </w:rPr>
        <w:t>Мейдук</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Amin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Beiranvnd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Pour</w:t>
      </w:r>
      <w:proofErr w:type="spellEnd"/>
      <w:r w:rsidRPr="00844B5F">
        <w:rPr>
          <w:rFonts w:ascii="Times New Roman" w:eastAsia="Times New Roman" w:hAnsi="Times New Roman" w:cs="Times New Roman"/>
          <w:sz w:val="24"/>
          <w:szCs w:val="24"/>
          <w:lang w:eastAsia="ru-RU"/>
        </w:rPr>
        <w:t>, 2011)</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noProof/>
          <w:sz w:val="24"/>
          <w:szCs w:val="24"/>
          <w:lang w:eastAsia="ru-RU"/>
        </w:rPr>
        <w:lastRenderedPageBreak/>
        <w:drawing>
          <wp:inline distT="0" distB="0" distL="0" distR="0" wp14:anchorId="72D22200" wp14:editId="17DE12CE">
            <wp:extent cx="2933700" cy="31115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33700" cy="3111500"/>
                    </a:xfrm>
                    <a:prstGeom prst="rect">
                      <a:avLst/>
                    </a:prstGeom>
                    <a:noFill/>
                    <a:ln>
                      <a:noFill/>
                    </a:ln>
                  </pic:spPr>
                </pic:pic>
              </a:graphicData>
            </a:graphic>
          </wp:inline>
        </w:drawing>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b/>
          <w:bCs/>
          <w:sz w:val="24"/>
          <w:szCs w:val="24"/>
          <w:lang w:eastAsia="ru-RU"/>
        </w:rPr>
        <w:t>Рис. 14.</w:t>
      </w:r>
      <w:r w:rsidRPr="00844B5F">
        <w:rPr>
          <w:rFonts w:ascii="Times New Roman" w:eastAsia="Times New Roman" w:hAnsi="Times New Roman" w:cs="Times New Roman"/>
          <w:sz w:val="24"/>
          <w:szCs w:val="24"/>
          <w:lang w:eastAsia="ru-RU"/>
        </w:rPr>
        <w:t xml:space="preserve"> Район Сар-Чешме (</w:t>
      </w:r>
      <w:proofErr w:type="spellStart"/>
      <w:r w:rsidRPr="00844B5F">
        <w:rPr>
          <w:rFonts w:ascii="Times New Roman" w:eastAsia="Times New Roman" w:hAnsi="Times New Roman" w:cs="Times New Roman"/>
          <w:sz w:val="24"/>
          <w:szCs w:val="24"/>
          <w:lang w:eastAsia="ru-RU"/>
        </w:rPr>
        <w:t>Amin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Beiranvnd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Pour</w:t>
      </w:r>
      <w:proofErr w:type="spellEnd"/>
      <w:r w:rsidRPr="00844B5F">
        <w:rPr>
          <w:rFonts w:ascii="Times New Roman" w:eastAsia="Times New Roman" w:hAnsi="Times New Roman" w:cs="Times New Roman"/>
          <w:sz w:val="24"/>
          <w:szCs w:val="24"/>
          <w:lang w:eastAsia="ru-RU"/>
        </w:rPr>
        <w:t>, 2011)</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Полученные с помощью PCA и BR гидротермальные изменения на RGB изображениях аналогичны. Результаты оказали свою эффективность и соответствуют результатам полевых и лабораторных исследований (</w:t>
      </w:r>
      <w:proofErr w:type="spellStart"/>
      <w:r w:rsidRPr="00844B5F">
        <w:rPr>
          <w:rFonts w:ascii="Times New Roman" w:eastAsia="Times New Roman" w:hAnsi="Times New Roman" w:cs="Times New Roman"/>
          <w:sz w:val="24"/>
          <w:szCs w:val="24"/>
          <w:lang w:eastAsia="ru-RU"/>
        </w:rPr>
        <w:t>Amin</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Beiranvnd</w:t>
      </w:r>
      <w:proofErr w:type="spellEnd"/>
      <w:r w:rsidRPr="00844B5F">
        <w:rPr>
          <w:rFonts w:ascii="Times New Roman" w:eastAsia="Times New Roman" w:hAnsi="Times New Roman" w:cs="Times New Roman"/>
          <w:sz w:val="24"/>
          <w:szCs w:val="24"/>
          <w:lang w:eastAsia="ru-RU"/>
        </w:rPr>
        <w:t xml:space="preserve"> </w:t>
      </w:r>
      <w:proofErr w:type="spellStart"/>
      <w:r w:rsidRPr="00844B5F">
        <w:rPr>
          <w:rFonts w:ascii="Times New Roman" w:eastAsia="Times New Roman" w:hAnsi="Times New Roman" w:cs="Times New Roman"/>
          <w:sz w:val="24"/>
          <w:szCs w:val="24"/>
          <w:lang w:eastAsia="ru-RU"/>
        </w:rPr>
        <w:t>Pour</w:t>
      </w:r>
      <w:proofErr w:type="spellEnd"/>
      <w:r w:rsidRPr="00844B5F">
        <w:rPr>
          <w:rFonts w:ascii="Times New Roman" w:eastAsia="Times New Roman" w:hAnsi="Times New Roman" w:cs="Times New Roman"/>
          <w:sz w:val="24"/>
          <w:szCs w:val="24"/>
          <w:lang w:eastAsia="ru-RU"/>
        </w:rPr>
        <w:t xml:space="preserve">, 2011).   </w:t>
      </w:r>
    </w:p>
    <w:p w:rsidR="00844B5F" w:rsidRPr="00844B5F" w:rsidRDefault="00844B5F" w:rsidP="00844B5F">
      <w:pPr>
        <w:spacing w:before="100" w:beforeAutospacing="1" w:after="100" w:afterAutospacing="1" w:line="240" w:lineRule="auto"/>
        <w:outlineLvl w:val="1"/>
        <w:rPr>
          <w:rFonts w:ascii="Times New Roman" w:eastAsia="Times New Roman" w:hAnsi="Times New Roman" w:cs="Times New Roman"/>
          <w:b/>
          <w:bCs/>
          <w:sz w:val="36"/>
          <w:szCs w:val="36"/>
          <w:lang w:eastAsia="ru-RU"/>
        </w:rPr>
      </w:pPr>
      <w:r w:rsidRPr="00844B5F">
        <w:rPr>
          <w:rFonts w:ascii="Times New Roman" w:eastAsia="Times New Roman" w:hAnsi="Times New Roman" w:cs="Times New Roman"/>
          <w:b/>
          <w:bCs/>
          <w:sz w:val="36"/>
          <w:szCs w:val="36"/>
          <w:lang w:eastAsia="ru-RU"/>
        </w:rPr>
        <w:t xml:space="preserve">Выводы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Таким образом, подтверждается, что обработка и анализ космических изображений ASTER является ценным инструментом для картирования минералогических единиц. Использование космических снимков высокого разрешения позволяет интерпретировать распределение групп минералов и зон гидротермального изменения. Каждый из </w:t>
      </w:r>
      <w:proofErr w:type="gramStart"/>
      <w:r w:rsidRPr="00844B5F">
        <w:rPr>
          <w:rFonts w:ascii="Times New Roman" w:eastAsia="Times New Roman" w:hAnsi="Times New Roman" w:cs="Times New Roman"/>
          <w:sz w:val="24"/>
          <w:szCs w:val="24"/>
          <w:lang w:eastAsia="ru-RU"/>
        </w:rPr>
        <w:t>методов,  описанный</w:t>
      </w:r>
      <w:proofErr w:type="gramEnd"/>
      <w:r w:rsidRPr="00844B5F">
        <w:rPr>
          <w:rFonts w:ascii="Times New Roman" w:eastAsia="Times New Roman" w:hAnsi="Times New Roman" w:cs="Times New Roman"/>
          <w:sz w:val="24"/>
          <w:szCs w:val="24"/>
          <w:lang w:eastAsia="ru-RU"/>
        </w:rPr>
        <w:t xml:space="preserve"> в работе, показал практически аналогичный результат  в кардинально разных регионах, что доказывает целесообразность их применения.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Изучены </w:t>
      </w:r>
      <w:proofErr w:type="gramStart"/>
      <w:r w:rsidRPr="00844B5F">
        <w:rPr>
          <w:rFonts w:ascii="Times New Roman" w:eastAsia="Times New Roman" w:hAnsi="Times New Roman" w:cs="Times New Roman"/>
          <w:sz w:val="24"/>
          <w:szCs w:val="24"/>
          <w:lang w:eastAsia="ru-RU"/>
        </w:rPr>
        <w:t>зоны минерального гидротермального изменения</w:t>
      </w:r>
      <w:proofErr w:type="gramEnd"/>
      <w:r w:rsidRPr="00844B5F">
        <w:rPr>
          <w:rFonts w:ascii="Times New Roman" w:eastAsia="Times New Roman" w:hAnsi="Times New Roman" w:cs="Times New Roman"/>
          <w:sz w:val="24"/>
          <w:szCs w:val="24"/>
          <w:lang w:eastAsia="ru-RU"/>
        </w:rPr>
        <w:t xml:space="preserve"> связанные с медно-порфировой минерализацией с использованием каналов VNIR и SWIR. Спектральные методы могут адекватно обнаруживать зоны гидротермального изменения, используя исключительно дистанционные данные VNIR и SWIR в региональном масштабе.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eastAsia="ru-RU"/>
        </w:rPr>
      </w:pPr>
      <w:r w:rsidRPr="00844B5F">
        <w:rPr>
          <w:rFonts w:ascii="Times New Roman" w:eastAsia="Times New Roman" w:hAnsi="Times New Roman" w:cs="Times New Roman"/>
          <w:sz w:val="24"/>
          <w:szCs w:val="24"/>
          <w:lang w:eastAsia="ru-RU"/>
        </w:rPr>
        <w:t xml:space="preserve">Необходимо понимать, что для решения большинства геологических задач необходимо комплексное использование как традиционных, так и современных методов дистанционного зондирования Земли. Однако существенная доля классических задач, связанных с диагностикой вещественного состава, геологических границ, определения рудного потенциала могут решаться с помощью дистанционного зондирования Земли. Внедрение таких инновационных методов в цикл геолого-прогнозных работ позволит существенно снизить временные и финансовые затраты.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noProof/>
          <w:sz w:val="24"/>
          <w:szCs w:val="24"/>
          <w:lang w:eastAsia="ru-RU"/>
        </w:rPr>
        <mc:AlternateContent>
          <mc:Choice Requires="wps">
            <w:drawing>
              <wp:anchor distT="0" distB="0" distL="0" distR="0" simplePos="0" relativeHeight="251660288" behindDoc="0" locked="0" layoutInCell="1" allowOverlap="0" wp14:anchorId="42EC992E" wp14:editId="7FFFF979">
                <wp:simplePos x="0" y="0"/>
                <wp:positionH relativeFrom="column">
                  <wp:align>left</wp:align>
                </wp:positionH>
                <wp:positionV relativeFrom="line">
                  <wp:posOffset>0</wp:posOffset>
                </wp:positionV>
                <wp:extent cx="304800" cy="304800"/>
                <wp:effectExtent l="0" t="0" r="0" b="0"/>
                <wp:wrapSquare wrapText="bothSides"/>
                <wp:docPr id="13" name="AutoShape 3" descr="Литература"/>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5CDD64" id="AutoShape 3" o:spid="_x0000_s1026" alt="Литература" style="position:absolute;margin-left:0;margin-top:0;width:24pt;height:24pt;z-index:251660288;visibility:visible;mso-wrap-style:square;mso-width-percent:0;mso-height-percent:0;mso-wrap-distance-left:0;mso-wrap-distance-top:0;mso-wrap-distance-right:0;mso-wrap-distance-bottom:0;mso-position-horizontal:left;mso-position-horizontal-relative:text;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" o:allowoverlap="f" filled="f" stroked="f">
                <o:lock v:ext="edit" aspectratio="t"/>
                <w10:wrap type="square" anchory="line"/>
              </v:rect>
            </w:pict>
          </mc:Fallback>
        </mc:AlternateContent>
      </w:r>
      <w:r w:rsidRPr="00844B5F">
        <w:rPr>
          <w:rFonts w:ascii="Times New Roman" w:eastAsia="Times New Roman" w:hAnsi="Times New Roman" w:cs="Times New Roman"/>
          <w:i/>
          <w:iCs/>
          <w:sz w:val="20"/>
          <w:szCs w:val="20"/>
          <w:lang w:val="en-US" w:eastAsia="ru-RU"/>
        </w:rPr>
        <w:t>1. Boardman, J. W., and Kruse, F. A., 1994. Automated spectral analysis: a geological example using AVIRIS data, north Grapevine Mountains, Nevada: in Proceedings, ERIM Tenth Thematic Conference on Geologic Remote Sensing, Environmental Research Institute of Michigan, Ann Arbor, MI, p. I-407 — I-418.</w:t>
      </w:r>
      <w:r w:rsidRPr="00844B5F">
        <w:rPr>
          <w:rFonts w:ascii="Times New Roman" w:eastAsia="Times New Roman" w:hAnsi="Times New Roman" w:cs="Times New Roman"/>
          <w:sz w:val="24"/>
          <w:szCs w:val="24"/>
          <w:lang w:val="en-US"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i/>
          <w:iCs/>
          <w:sz w:val="20"/>
          <w:szCs w:val="20"/>
          <w:lang w:val="en-US" w:eastAsia="ru-RU"/>
        </w:rPr>
        <w:t>2. Center for the Study of Earth from Space (CSES), 1992. SIPS User’s Guide, Spectral Image Processing System, Version 1.2, Center for the Study of Earth from Space, Boulder, CO, p. 88.</w:t>
      </w:r>
      <w:r w:rsidRPr="00844B5F">
        <w:rPr>
          <w:rFonts w:ascii="Times New Roman" w:eastAsia="Times New Roman" w:hAnsi="Times New Roman" w:cs="Times New Roman"/>
          <w:sz w:val="24"/>
          <w:szCs w:val="24"/>
          <w:lang w:val="en-US" w:eastAsia="ru-RU"/>
        </w:rPr>
        <w:t xml:space="preserve">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i/>
          <w:iCs/>
          <w:sz w:val="20"/>
          <w:szCs w:val="20"/>
          <w:lang w:val="en-US" w:eastAsia="ru-RU"/>
        </w:rPr>
        <w:lastRenderedPageBreak/>
        <w:t>3. </w:t>
      </w:r>
      <w:proofErr w:type="spellStart"/>
      <w:r w:rsidRPr="00844B5F">
        <w:rPr>
          <w:rFonts w:ascii="Times New Roman" w:eastAsia="Times New Roman" w:hAnsi="Times New Roman" w:cs="Times New Roman"/>
          <w:i/>
          <w:iCs/>
          <w:sz w:val="20"/>
          <w:szCs w:val="20"/>
          <w:lang w:val="en-US" w:eastAsia="ru-RU"/>
        </w:rPr>
        <w:t>Hubner</w:t>
      </w:r>
      <w:proofErr w:type="spellEnd"/>
      <w:r w:rsidRPr="00844B5F">
        <w:rPr>
          <w:rFonts w:ascii="Times New Roman" w:eastAsia="Times New Roman" w:hAnsi="Times New Roman" w:cs="Times New Roman"/>
          <w:i/>
          <w:iCs/>
          <w:sz w:val="20"/>
          <w:szCs w:val="20"/>
          <w:lang w:val="en-US" w:eastAsia="ru-RU"/>
        </w:rPr>
        <w:t xml:space="preserve">, H., 1969a. Geological Map of Iran Sheet No. 5, Southcentral Iran: Tehran, National Iranian Oil Company, Scale 1:1000,000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i/>
          <w:iCs/>
          <w:sz w:val="20"/>
          <w:szCs w:val="20"/>
          <w:lang w:val="en-US" w:eastAsia="ru-RU"/>
        </w:rPr>
        <w:t>4. </w:t>
      </w:r>
      <w:proofErr w:type="spellStart"/>
      <w:r w:rsidRPr="00844B5F">
        <w:rPr>
          <w:rFonts w:ascii="Times New Roman" w:eastAsia="Times New Roman" w:hAnsi="Times New Roman" w:cs="Times New Roman"/>
          <w:i/>
          <w:iCs/>
          <w:sz w:val="20"/>
          <w:szCs w:val="20"/>
          <w:lang w:val="en-US" w:eastAsia="ru-RU"/>
        </w:rPr>
        <w:t>Hubner</w:t>
      </w:r>
      <w:proofErr w:type="spellEnd"/>
      <w:r w:rsidRPr="00844B5F">
        <w:rPr>
          <w:rFonts w:ascii="Times New Roman" w:eastAsia="Times New Roman" w:hAnsi="Times New Roman" w:cs="Times New Roman"/>
          <w:i/>
          <w:iCs/>
          <w:sz w:val="20"/>
          <w:szCs w:val="20"/>
          <w:lang w:val="en-US" w:eastAsia="ru-RU"/>
        </w:rPr>
        <w:t xml:space="preserve">, H., 1969b. Geological map of Iran sheet no. 6, southeast Iran: Tehran, National Iranian Oil Company, scale 1:1,000,000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i/>
          <w:iCs/>
          <w:sz w:val="20"/>
          <w:szCs w:val="20"/>
          <w:lang w:val="en-US" w:eastAsia="ru-RU"/>
        </w:rPr>
        <w:t xml:space="preserve">5. Mars, J.C., Rowan, L.C., 2006. Regional mapping of </w:t>
      </w:r>
      <w:proofErr w:type="spellStart"/>
      <w:r w:rsidRPr="00844B5F">
        <w:rPr>
          <w:rFonts w:ascii="Times New Roman" w:eastAsia="Times New Roman" w:hAnsi="Times New Roman" w:cs="Times New Roman"/>
          <w:i/>
          <w:iCs/>
          <w:sz w:val="20"/>
          <w:szCs w:val="20"/>
          <w:lang w:val="en-US" w:eastAsia="ru-RU"/>
        </w:rPr>
        <w:t>phyllic</w:t>
      </w:r>
      <w:proofErr w:type="spellEnd"/>
      <w:r w:rsidRPr="00844B5F">
        <w:rPr>
          <w:rFonts w:ascii="Times New Roman" w:eastAsia="Times New Roman" w:hAnsi="Times New Roman" w:cs="Times New Roman"/>
          <w:i/>
          <w:iCs/>
          <w:sz w:val="20"/>
          <w:szCs w:val="20"/>
          <w:lang w:val="en-US" w:eastAsia="ru-RU"/>
        </w:rPr>
        <w:t xml:space="preserve">- and argillic-altered rocks in the Zagros magmatic arc, Iran, using Advanced Spaceborne Thermal Emission and Reflection Radiometer (ASTER) data and logical </w:t>
      </w:r>
    </w:p>
    <w:p w:rsidR="00844B5F" w:rsidRPr="00844B5F" w:rsidRDefault="00844B5F" w:rsidP="00844B5F">
      <w:pPr>
        <w:spacing w:before="100" w:beforeAutospacing="1" w:after="100" w:afterAutospacing="1" w:line="240" w:lineRule="auto"/>
        <w:rPr>
          <w:rFonts w:ascii="Times New Roman" w:eastAsia="Times New Roman" w:hAnsi="Times New Roman" w:cs="Times New Roman"/>
          <w:sz w:val="24"/>
          <w:szCs w:val="24"/>
          <w:lang w:val="en-US" w:eastAsia="ru-RU"/>
        </w:rPr>
      </w:pPr>
      <w:r w:rsidRPr="00844B5F">
        <w:rPr>
          <w:rFonts w:ascii="Times New Roman" w:eastAsia="Times New Roman" w:hAnsi="Times New Roman" w:cs="Times New Roman"/>
          <w:i/>
          <w:iCs/>
          <w:sz w:val="20"/>
          <w:szCs w:val="20"/>
          <w:lang w:val="en-US" w:eastAsia="ru-RU"/>
        </w:rPr>
        <w:t xml:space="preserve">6. Amin </w:t>
      </w:r>
      <w:proofErr w:type="spellStart"/>
      <w:r w:rsidRPr="00844B5F">
        <w:rPr>
          <w:rFonts w:ascii="Times New Roman" w:eastAsia="Times New Roman" w:hAnsi="Times New Roman" w:cs="Times New Roman"/>
          <w:i/>
          <w:iCs/>
          <w:sz w:val="20"/>
          <w:szCs w:val="20"/>
          <w:lang w:val="en-US" w:eastAsia="ru-RU"/>
        </w:rPr>
        <w:t>Beiranvnd</w:t>
      </w:r>
      <w:proofErr w:type="spellEnd"/>
      <w:r w:rsidRPr="00844B5F">
        <w:rPr>
          <w:rFonts w:ascii="Times New Roman" w:eastAsia="Times New Roman" w:hAnsi="Times New Roman" w:cs="Times New Roman"/>
          <w:i/>
          <w:iCs/>
          <w:sz w:val="20"/>
          <w:szCs w:val="20"/>
          <w:lang w:val="en-US" w:eastAsia="ru-RU"/>
        </w:rPr>
        <w:t xml:space="preserve"> Pour, Mazlan Hashim, 2011. Identification of hydrothermal alteration minerals for exploring of porphyry copper deposit using ASTER data, SE Iran, Journal of Asian Earth Sciences 42 (2011) 1309–1323.</w:t>
      </w:r>
    </w:p>
    <w:p w:rsidR="0047540D" w:rsidRPr="00844B5F" w:rsidRDefault="0047540D">
      <w:pPr>
        <w:rPr>
          <w:lang w:val="en-US"/>
        </w:rPr>
      </w:pPr>
    </w:p>
    <w:sectPr w:rsidR="0047540D" w:rsidRPr="00844B5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B5F"/>
    <w:rsid w:val="0047540D"/>
    <w:rsid w:val="00844B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0CDEB6-9881-4C35-B8AA-17DE89F26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5505199">
      <w:bodyDiv w:val="1"/>
      <w:marLeft w:val="0"/>
      <w:marRight w:val="0"/>
      <w:marTop w:val="0"/>
      <w:marBottom w:val="0"/>
      <w:divBdr>
        <w:top w:val="none" w:sz="0" w:space="0" w:color="auto"/>
        <w:left w:val="none" w:sz="0" w:space="0" w:color="auto"/>
        <w:bottom w:val="none" w:sz="0" w:space="0" w:color="auto"/>
        <w:right w:val="none" w:sz="0" w:space="0" w:color="auto"/>
      </w:divBdr>
      <w:divsChild>
        <w:div w:id="3292654">
          <w:marLeft w:val="0"/>
          <w:marRight w:val="0"/>
          <w:marTop w:val="0"/>
          <w:marBottom w:val="0"/>
          <w:divBdr>
            <w:top w:val="none" w:sz="0" w:space="0" w:color="auto"/>
            <w:left w:val="none" w:sz="0" w:space="0" w:color="auto"/>
            <w:bottom w:val="none" w:sz="0" w:space="0" w:color="auto"/>
            <w:right w:val="none" w:sz="0" w:space="0" w:color="auto"/>
          </w:divBdr>
          <w:divsChild>
            <w:div w:id="1981376505">
              <w:marLeft w:val="0"/>
              <w:marRight w:val="0"/>
              <w:marTop w:val="0"/>
              <w:marBottom w:val="0"/>
              <w:divBdr>
                <w:top w:val="none" w:sz="0" w:space="0" w:color="auto"/>
                <w:left w:val="none" w:sz="0" w:space="0" w:color="auto"/>
                <w:bottom w:val="none" w:sz="0" w:space="0" w:color="auto"/>
                <w:right w:val="none" w:sz="0" w:space="0" w:color="auto"/>
              </w:divBdr>
            </w:div>
            <w:div w:id="593974478">
              <w:marLeft w:val="0"/>
              <w:marRight w:val="0"/>
              <w:marTop w:val="0"/>
              <w:marBottom w:val="0"/>
              <w:divBdr>
                <w:top w:val="none" w:sz="0" w:space="0" w:color="auto"/>
                <w:left w:val="none" w:sz="0" w:space="0" w:color="auto"/>
                <w:bottom w:val="none" w:sz="0" w:space="0" w:color="auto"/>
                <w:right w:val="none" w:sz="0" w:space="0" w:color="auto"/>
              </w:divBdr>
              <w:divsChild>
                <w:div w:id="1906451396">
                  <w:marLeft w:val="0"/>
                  <w:marRight w:val="0"/>
                  <w:marTop w:val="0"/>
                  <w:marBottom w:val="0"/>
                  <w:divBdr>
                    <w:top w:val="none" w:sz="0" w:space="0" w:color="auto"/>
                    <w:left w:val="none" w:sz="0" w:space="0" w:color="auto"/>
                    <w:bottom w:val="none" w:sz="0" w:space="0" w:color="auto"/>
                    <w:right w:val="none" w:sz="0" w:space="0" w:color="auto"/>
                  </w:divBdr>
                </w:div>
                <w:div w:id="615911013">
                  <w:marLeft w:val="0"/>
                  <w:marRight w:val="0"/>
                  <w:marTop w:val="0"/>
                  <w:marBottom w:val="0"/>
                  <w:divBdr>
                    <w:top w:val="none" w:sz="0" w:space="0" w:color="auto"/>
                    <w:left w:val="none" w:sz="0" w:space="0" w:color="auto"/>
                    <w:bottom w:val="none" w:sz="0" w:space="0" w:color="auto"/>
                    <w:right w:val="none" w:sz="0" w:space="0" w:color="auto"/>
                  </w:divBdr>
                </w:div>
                <w:div w:id="857233083">
                  <w:marLeft w:val="0"/>
                  <w:marRight w:val="0"/>
                  <w:marTop w:val="0"/>
                  <w:marBottom w:val="0"/>
                  <w:divBdr>
                    <w:top w:val="none" w:sz="0" w:space="0" w:color="auto"/>
                    <w:left w:val="none" w:sz="0" w:space="0" w:color="auto"/>
                    <w:bottom w:val="none" w:sz="0" w:space="0" w:color="auto"/>
                    <w:right w:val="none" w:sz="0" w:space="0" w:color="auto"/>
                  </w:divBdr>
                </w:div>
                <w:div w:id="189839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1212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3.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image" Target="media/image1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2207</Words>
  <Characters>12582</Characters>
  <Application>Microsoft Office Word</Application>
  <DocSecurity>0</DocSecurity>
  <Lines>104</Lines>
  <Paragraphs>29</Paragraphs>
  <ScaleCrop>false</ScaleCrop>
  <Company/>
  <LinksUpToDate>false</LinksUpToDate>
  <CharactersWithSpaces>14760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2022-11-14T12:10:00Z</dcterms:created>
  <dcterms:modified xsi:type="dcterms:W3CDTF">2022-11-14T12:14:00Z</dcterms:modified>
</cp:coreProperties>
</file>