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F10C6" w:rsidRPr="007F10C6" w:rsidRDefault="007F10C6" w:rsidP="007F10C6">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7F10C6">
        <w:rPr>
          <w:rFonts w:ascii="Times New Roman" w:eastAsia="Times New Roman" w:hAnsi="Times New Roman" w:cs="Times New Roman"/>
          <w:b/>
          <w:bCs/>
          <w:kern w:val="36"/>
          <w:sz w:val="48"/>
          <w:szCs w:val="48"/>
        </w:rPr>
        <w:t>Surface charge density on silica in alkali and alkaline earth chloride electrolyte solutions</w:t>
      </w:r>
    </w:p>
    <w:p w:rsidR="007F10C6" w:rsidRPr="007F10C6" w:rsidRDefault="007F10C6" w:rsidP="007F10C6">
      <w:pPr>
        <w:spacing w:after="0"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Author links open overlay panel</w:t>
      </w:r>
    </w:p>
    <w:p w:rsidR="007F10C6" w:rsidRPr="007F10C6" w:rsidRDefault="007F10C6" w:rsidP="007F10C6">
      <w:pPr>
        <w:spacing w:after="0"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 xml:space="preserve">, </w:t>
      </w:r>
    </w:p>
    <w:p w:rsidR="007F10C6" w:rsidRPr="007F10C6" w:rsidRDefault="007F10C6" w:rsidP="007F10C6">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7F10C6">
          <w:rPr>
            <w:rFonts w:ascii="Times New Roman" w:eastAsia="Times New Roman" w:hAnsi="Times New Roman" w:cs="Times New Roman"/>
            <w:color w:val="0000FF"/>
            <w:sz w:val="24"/>
            <w:szCs w:val="24"/>
            <w:u w:val="single"/>
          </w:rPr>
          <w:t>https://doi.org/10.1016/j.gca.2005.05.006</w:t>
        </w:r>
      </w:hyperlink>
      <w:bookmarkStart w:id="0" w:name="_GoBack"/>
      <w:bookmarkEnd w:id="0"/>
      <w:r w:rsidRPr="007F10C6">
        <w:rPr>
          <w:rFonts w:ascii="Times New Roman" w:eastAsia="Times New Roman" w:hAnsi="Times New Roman" w:cs="Times New Roman"/>
          <w:sz w:val="24"/>
          <w:szCs w:val="24"/>
        </w:rPr>
        <w:t xml:space="preserve"> </w:t>
      </w:r>
    </w:p>
    <w:p w:rsidR="007F10C6" w:rsidRPr="007F10C6" w:rsidRDefault="007F10C6" w:rsidP="007F10C6">
      <w:pPr>
        <w:spacing w:before="100" w:beforeAutospacing="1" w:after="100" w:afterAutospacing="1" w:line="240" w:lineRule="auto"/>
        <w:outlineLvl w:val="1"/>
        <w:rPr>
          <w:rFonts w:ascii="Times New Roman" w:eastAsia="Times New Roman" w:hAnsi="Times New Roman" w:cs="Times New Roman"/>
          <w:b/>
          <w:bCs/>
          <w:sz w:val="36"/>
          <w:szCs w:val="36"/>
        </w:rPr>
      </w:pPr>
      <w:r w:rsidRPr="007F10C6">
        <w:rPr>
          <w:rFonts w:ascii="Times New Roman" w:eastAsia="Times New Roman" w:hAnsi="Times New Roman" w:cs="Times New Roman"/>
          <w:b/>
          <w:bCs/>
          <w:sz w:val="36"/>
          <w:szCs w:val="36"/>
        </w:rPr>
        <w:t>Abstract</w:t>
      </w:r>
    </w:p>
    <w:p w:rsidR="007F10C6" w:rsidRPr="007F10C6" w:rsidRDefault="007F10C6" w:rsidP="007F10C6">
      <w:pPr>
        <w:spacing w:before="100" w:beforeAutospacing="1" w:after="100" w:afterAutospacing="1"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The surface charge density of colloidal SiO</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 xml:space="preserve"> (</w:t>
      </w:r>
      <w:proofErr w:type="spellStart"/>
      <w:r w:rsidRPr="007F10C6">
        <w:rPr>
          <w:rFonts w:ascii="Times New Roman" w:eastAsia="Times New Roman" w:hAnsi="Times New Roman" w:cs="Times New Roman"/>
          <w:sz w:val="24"/>
          <w:szCs w:val="24"/>
        </w:rPr>
        <w:t>Aerosil</w:t>
      </w:r>
      <w:proofErr w:type="spellEnd"/>
      <w:r w:rsidRPr="007F10C6">
        <w:rPr>
          <w:rFonts w:ascii="Times New Roman" w:eastAsia="Times New Roman" w:hAnsi="Times New Roman" w:cs="Times New Roman"/>
          <w:sz w:val="24"/>
          <w:szCs w:val="24"/>
        </w:rPr>
        <w:t xml:space="preserve"> 380) was measured in alkali chloride (0.067 and 0.20 M LiCl, NaCl, and </w:t>
      </w:r>
      <w:proofErr w:type="spellStart"/>
      <w:r w:rsidRPr="007F10C6">
        <w:rPr>
          <w:rFonts w:ascii="Times New Roman" w:eastAsia="Times New Roman" w:hAnsi="Times New Roman" w:cs="Times New Roman"/>
          <w:sz w:val="24"/>
          <w:szCs w:val="24"/>
        </w:rPr>
        <w:t>KCl</w:t>
      </w:r>
      <w:proofErr w:type="spellEnd"/>
      <w:r w:rsidRPr="007F10C6">
        <w:rPr>
          <w:rFonts w:ascii="Times New Roman" w:eastAsia="Times New Roman" w:hAnsi="Times New Roman" w:cs="Times New Roman"/>
          <w:sz w:val="24"/>
          <w:szCs w:val="24"/>
        </w:rPr>
        <w:t>) and alkaline earth chloride (0.067 M MgCl</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 CaCl</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 SrCl</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 BaCl</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 solutions. Measurements were conducted at 25°C by potentiometric titrations using the constant ionic medium method in a CO</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 xml:space="preserve">-free system. The experimental design measured surface charge for solutions with constant ionic strength as well as constant cation concentration. Alkali chloride solutions promote negative surface charge density in the order LiCl &lt; NaCl &lt; </w:t>
      </w:r>
      <w:proofErr w:type="spellStart"/>
      <w:r w:rsidRPr="007F10C6">
        <w:rPr>
          <w:rFonts w:ascii="Times New Roman" w:eastAsia="Times New Roman" w:hAnsi="Times New Roman" w:cs="Times New Roman"/>
          <w:sz w:val="24"/>
          <w:szCs w:val="24"/>
        </w:rPr>
        <w:t>KCl</w:t>
      </w:r>
      <w:proofErr w:type="spellEnd"/>
      <w:r w:rsidRPr="007F10C6">
        <w:rPr>
          <w:rFonts w:ascii="Times New Roman" w:eastAsia="Times New Roman" w:hAnsi="Times New Roman" w:cs="Times New Roman"/>
          <w:sz w:val="24"/>
          <w:szCs w:val="24"/>
        </w:rPr>
        <w:t xml:space="preserve"> to give the “regular” lyotropic behavior previously reported. In contrast, the alkaline earth chloride solutions exhibit a reversed lyotropic trend with increasing crystallographic radius where increasing negative charge is promoted in the order BaCl</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 xml:space="preserve"> &lt; SrCl</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 xml:space="preserve"> &lt; CaCl</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 xml:space="preserve"> &lt; MgCl</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w:t>
      </w:r>
    </w:p>
    <w:p w:rsidR="007F10C6" w:rsidRPr="007F10C6" w:rsidRDefault="007F10C6" w:rsidP="007F10C6">
      <w:pPr>
        <w:spacing w:before="100" w:beforeAutospacing="1" w:after="100" w:afterAutospacing="1"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 xml:space="preserve">The origin of the opposing affinity trends is probed by testing the hypothesis that this reversal is rooted in the differing solvent structuring characteristics of the IA and IIA cations at the silica–water interface. This idea arises from earlier postulations that solvent structuring effects increase entropy through solvent disordering and these gains must be much greater than the small, positive enthalpy associated with electrostatic interactions. By correlating measured charge density with a proxy for the solvent-structuring ability of cations, this study shows that silica surface charge density is maximized by those electrolytes that have the strongest effects on solvent structuring. We suggest that for a given solid material, solvation entropy has a role in determining the ionic specificity of electrostatic interactions and reiterate the idea that the concept of </w:t>
      </w:r>
      <w:proofErr w:type="spellStart"/>
      <w:r w:rsidRPr="007F10C6">
        <w:rPr>
          <w:rFonts w:ascii="Times New Roman" w:eastAsia="Times New Roman" w:hAnsi="Times New Roman" w:cs="Times New Roman"/>
          <w:sz w:val="24"/>
          <w:szCs w:val="24"/>
        </w:rPr>
        <w:t>lyotropy</w:t>
      </w:r>
      <w:proofErr w:type="spellEnd"/>
      <w:r w:rsidRPr="007F10C6">
        <w:rPr>
          <w:rFonts w:ascii="Times New Roman" w:eastAsia="Times New Roman" w:hAnsi="Times New Roman" w:cs="Times New Roman"/>
          <w:sz w:val="24"/>
          <w:szCs w:val="24"/>
        </w:rPr>
        <w:t xml:space="preserve"> is rooted in the solvent-structuring ability of cations at the interface.</w:t>
      </w:r>
    </w:p>
    <w:p w:rsidR="007F10C6" w:rsidRPr="007F10C6" w:rsidRDefault="007F10C6" w:rsidP="007F10C6">
      <w:pPr>
        <w:spacing w:before="100" w:beforeAutospacing="1" w:after="100" w:afterAutospacing="1" w:line="240" w:lineRule="auto"/>
        <w:outlineLvl w:val="1"/>
        <w:rPr>
          <w:rFonts w:ascii="Times New Roman" w:eastAsia="Times New Roman" w:hAnsi="Times New Roman" w:cs="Times New Roman"/>
          <w:b/>
          <w:bCs/>
          <w:sz w:val="36"/>
          <w:szCs w:val="36"/>
        </w:rPr>
      </w:pPr>
      <w:r w:rsidRPr="007F10C6">
        <w:rPr>
          <w:rFonts w:ascii="Times New Roman" w:eastAsia="Times New Roman" w:hAnsi="Times New Roman" w:cs="Times New Roman"/>
          <w:b/>
          <w:bCs/>
          <w:sz w:val="36"/>
          <w:szCs w:val="36"/>
        </w:rPr>
        <w:t>Introduction</w:t>
      </w:r>
    </w:p>
    <w:p w:rsidR="007F10C6" w:rsidRPr="007F10C6" w:rsidRDefault="007F10C6" w:rsidP="007F10C6">
      <w:pPr>
        <w:spacing w:before="100" w:beforeAutospacing="1" w:after="100" w:afterAutospacing="1"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The phenomenon of charge development and ionic specificity for the surfaces of minerals and biologic materials has intrigued scientists for almost a century (Docking 1939, Eisenman et al 1957, Eisenman 1960). Perhaps no substrate has received more attention than silica, SiO</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 the oxide end-member to the broad class of silicate minerals and an important industrial and technological material. Silica surfaces possess negative charge over the pH range of most natural waters, and the amount of this pH-dependent charge is proportional to the concentration and type of cations in solution. Of particular interest to the earth sciences is the effect of the most abundant cations in natural waters, Na</w:t>
      </w:r>
      <w:r w:rsidRPr="007F10C6">
        <w:rPr>
          <w:rFonts w:ascii="Times New Roman" w:eastAsia="Times New Roman" w:hAnsi="Times New Roman" w:cs="Times New Roman"/>
          <w:sz w:val="24"/>
          <w:szCs w:val="24"/>
          <w:vertAlign w:val="superscript"/>
        </w:rPr>
        <w:t>+</w:t>
      </w:r>
      <w:r w:rsidRPr="007F10C6">
        <w:rPr>
          <w:rFonts w:ascii="Times New Roman" w:eastAsia="Times New Roman" w:hAnsi="Times New Roman" w:cs="Times New Roman"/>
          <w:sz w:val="24"/>
          <w:szCs w:val="24"/>
        </w:rPr>
        <w:t>, K</w:t>
      </w:r>
      <w:r w:rsidRPr="007F10C6">
        <w:rPr>
          <w:rFonts w:ascii="Times New Roman" w:eastAsia="Times New Roman" w:hAnsi="Times New Roman" w:cs="Times New Roman"/>
          <w:sz w:val="24"/>
          <w:szCs w:val="24"/>
          <w:vertAlign w:val="superscript"/>
        </w:rPr>
        <w:t>+</w:t>
      </w:r>
      <w:r w:rsidRPr="007F10C6">
        <w:rPr>
          <w:rFonts w:ascii="Times New Roman" w:eastAsia="Times New Roman" w:hAnsi="Times New Roman" w:cs="Times New Roman"/>
          <w:sz w:val="24"/>
          <w:szCs w:val="24"/>
        </w:rPr>
        <w:t>, Ca</w:t>
      </w:r>
      <w:r w:rsidRPr="007F10C6">
        <w:rPr>
          <w:rFonts w:ascii="Times New Roman" w:eastAsia="Times New Roman" w:hAnsi="Times New Roman" w:cs="Times New Roman"/>
          <w:sz w:val="24"/>
          <w:szCs w:val="24"/>
          <w:vertAlign w:val="superscript"/>
        </w:rPr>
        <w:t>+</w:t>
      </w:r>
      <w:r w:rsidRPr="007F10C6">
        <w:rPr>
          <w:rFonts w:ascii="Times New Roman" w:eastAsia="Times New Roman" w:hAnsi="Times New Roman" w:cs="Times New Roman"/>
          <w:sz w:val="24"/>
          <w:szCs w:val="24"/>
        </w:rPr>
        <w:t>, and Mg</w:t>
      </w:r>
      <w:r w:rsidRPr="007F10C6">
        <w:rPr>
          <w:rFonts w:ascii="Times New Roman" w:eastAsia="Times New Roman" w:hAnsi="Times New Roman" w:cs="Times New Roman"/>
          <w:sz w:val="24"/>
          <w:szCs w:val="24"/>
          <w:vertAlign w:val="superscript"/>
        </w:rPr>
        <w:t>2+</w:t>
      </w:r>
      <w:r w:rsidRPr="007F10C6">
        <w:rPr>
          <w:rFonts w:ascii="Times New Roman" w:eastAsia="Times New Roman" w:hAnsi="Times New Roman" w:cs="Times New Roman"/>
          <w:sz w:val="24"/>
          <w:szCs w:val="24"/>
        </w:rPr>
        <w:t>, in promoting charge development. In the environmental sciences, other IA and IIA cations—Cs</w:t>
      </w:r>
      <w:r w:rsidRPr="007F10C6">
        <w:rPr>
          <w:rFonts w:ascii="Times New Roman" w:eastAsia="Times New Roman" w:hAnsi="Times New Roman" w:cs="Times New Roman"/>
          <w:sz w:val="24"/>
          <w:szCs w:val="24"/>
          <w:vertAlign w:val="superscript"/>
        </w:rPr>
        <w:t>+</w:t>
      </w:r>
      <w:r w:rsidRPr="007F10C6">
        <w:rPr>
          <w:rFonts w:ascii="Times New Roman" w:eastAsia="Times New Roman" w:hAnsi="Times New Roman" w:cs="Times New Roman"/>
          <w:sz w:val="24"/>
          <w:szCs w:val="24"/>
        </w:rPr>
        <w:t xml:space="preserve">, </w:t>
      </w:r>
      <w:proofErr w:type="spellStart"/>
      <w:r w:rsidRPr="007F10C6">
        <w:rPr>
          <w:rFonts w:ascii="Times New Roman" w:eastAsia="Times New Roman" w:hAnsi="Times New Roman" w:cs="Times New Roman"/>
          <w:sz w:val="24"/>
          <w:szCs w:val="24"/>
        </w:rPr>
        <w:t>Rb</w:t>
      </w:r>
      <w:proofErr w:type="spellEnd"/>
      <w:r w:rsidRPr="007F10C6">
        <w:rPr>
          <w:rFonts w:ascii="Times New Roman" w:eastAsia="Times New Roman" w:hAnsi="Times New Roman" w:cs="Times New Roman"/>
          <w:sz w:val="24"/>
          <w:szCs w:val="24"/>
          <w:vertAlign w:val="superscript"/>
        </w:rPr>
        <w:t>+</w:t>
      </w:r>
      <w:r w:rsidRPr="007F10C6">
        <w:rPr>
          <w:rFonts w:ascii="Times New Roman" w:eastAsia="Times New Roman" w:hAnsi="Times New Roman" w:cs="Times New Roman"/>
          <w:sz w:val="24"/>
          <w:szCs w:val="24"/>
        </w:rPr>
        <w:t xml:space="preserve"> and Sr</w:t>
      </w:r>
      <w:r w:rsidRPr="007F10C6">
        <w:rPr>
          <w:rFonts w:ascii="Times New Roman" w:eastAsia="Times New Roman" w:hAnsi="Times New Roman" w:cs="Times New Roman"/>
          <w:sz w:val="24"/>
          <w:szCs w:val="24"/>
          <w:vertAlign w:val="superscript"/>
        </w:rPr>
        <w:t>2+</w:t>
      </w:r>
      <w:r w:rsidRPr="007F10C6">
        <w:rPr>
          <w:rFonts w:ascii="Times New Roman" w:eastAsia="Times New Roman" w:hAnsi="Times New Roman" w:cs="Times New Roman"/>
          <w:sz w:val="24"/>
          <w:szCs w:val="24"/>
        </w:rPr>
        <w:t>, Ba</w:t>
      </w:r>
      <w:r w:rsidRPr="007F10C6">
        <w:rPr>
          <w:rFonts w:ascii="Times New Roman" w:eastAsia="Times New Roman" w:hAnsi="Times New Roman" w:cs="Times New Roman"/>
          <w:sz w:val="24"/>
          <w:szCs w:val="24"/>
          <w:vertAlign w:val="superscript"/>
        </w:rPr>
        <w:t>2+</w:t>
      </w:r>
      <w:r w:rsidRPr="007F10C6">
        <w:rPr>
          <w:rFonts w:ascii="Times New Roman" w:eastAsia="Times New Roman" w:hAnsi="Times New Roman" w:cs="Times New Roman"/>
          <w:sz w:val="24"/>
          <w:szCs w:val="24"/>
        </w:rPr>
        <w:t>, respectively—also have significant interactions with mineral surfaces. Each of these cations is generally agreed to promote negative charge accumulation by cation-specific electrostatic interactions (</w:t>
      </w:r>
      <w:proofErr w:type="spellStart"/>
      <w:r w:rsidRPr="007F10C6">
        <w:rPr>
          <w:rFonts w:ascii="Times New Roman" w:eastAsia="Times New Roman" w:hAnsi="Times New Roman" w:cs="Times New Roman"/>
          <w:sz w:val="24"/>
          <w:szCs w:val="24"/>
        </w:rPr>
        <w:t>Iler</w:t>
      </w:r>
      <w:proofErr w:type="spellEnd"/>
      <w:r w:rsidRPr="007F10C6">
        <w:rPr>
          <w:rFonts w:ascii="Times New Roman" w:eastAsia="Times New Roman" w:hAnsi="Times New Roman" w:cs="Times New Roman"/>
          <w:sz w:val="24"/>
          <w:szCs w:val="24"/>
        </w:rPr>
        <w:t>, 1979).</w:t>
      </w:r>
    </w:p>
    <w:p w:rsidR="007F10C6" w:rsidRPr="007F10C6" w:rsidRDefault="007F10C6" w:rsidP="007F10C6">
      <w:pPr>
        <w:spacing w:before="100" w:beforeAutospacing="1" w:after="100" w:afterAutospacing="1"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 xml:space="preserve">Charge development at oxide surfaces is determined by protonation and deprotonation reactions, and these reactions are affected by the presence of counterions. This is often referred to as “charge </w:t>
      </w:r>
      <w:r w:rsidRPr="007F10C6">
        <w:rPr>
          <w:rFonts w:ascii="Times New Roman" w:eastAsia="Times New Roman" w:hAnsi="Times New Roman" w:cs="Times New Roman"/>
          <w:sz w:val="24"/>
          <w:szCs w:val="24"/>
        </w:rPr>
        <w:lastRenderedPageBreak/>
        <w:t>screening” and implies the neutralization of charge by accumulation of counter-ions and exclusion of co-ions. While cations in the bulk solution can be treated as point charges, this approximation breaks down when cations are near the surface. For cations of the same valence, the shorter this minimum distance of approach, the more effective is the charge neutralization and thus the more charge can be developed on the surface for a given pH and salt concentration (</w:t>
      </w:r>
      <w:proofErr w:type="spellStart"/>
      <w:r w:rsidRPr="007F10C6">
        <w:rPr>
          <w:rFonts w:ascii="Times New Roman" w:eastAsia="Times New Roman" w:hAnsi="Times New Roman" w:cs="Times New Roman"/>
          <w:sz w:val="24"/>
          <w:szCs w:val="24"/>
        </w:rPr>
        <w:t>Bockris</w:t>
      </w:r>
      <w:proofErr w:type="spellEnd"/>
      <w:r w:rsidRPr="007F10C6">
        <w:rPr>
          <w:rFonts w:ascii="Times New Roman" w:eastAsia="Times New Roman" w:hAnsi="Times New Roman" w:cs="Times New Roman"/>
          <w:sz w:val="24"/>
          <w:szCs w:val="24"/>
        </w:rPr>
        <w:t xml:space="preserve"> and Reddy 1970, </w:t>
      </w:r>
      <w:proofErr w:type="spellStart"/>
      <w:r w:rsidRPr="007F10C6">
        <w:rPr>
          <w:rFonts w:ascii="Times New Roman" w:eastAsia="Times New Roman" w:hAnsi="Times New Roman" w:cs="Times New Roman"/>
          <w:sz w:val="24"/>
          <w:szCs w:val="24"/>
        </w:rPr>
        <w:t>Bousse</w:t>
      </w:r>
      <w:proofErr w:type="spellEnd"/>
      <w:r w:rsidRPr="007F10C6">
        <w:rPr>
          <w:rFonts w:ascii="Times New Roman" w:eastAsia="Times New Roman" w:hAnsi="Times New Roman" w:cs="Times New Roman"/>
          <w:sz w:val="24"/>
          <w:szCs w:val="24"/>
        </w:rPr>
        <w:t xml:space="preserve"> and </w:t>
      </w:r>
      <w:proofErr w:type="spellStart"/>
      <w:r w:rsidRPr="007F10C6">
        <w:rPr>
          <w:rFonts w:ascii="Times New Roman" w:eastAsia="Times New Roman" w:hAnsi="Times New Roman" w:cs="Times New Roman"/>
          <w:sz w:val="24"/>
          <w:szCs w:val="24"/>
        </w:rPr>
        <w:t>Meindl</w:t>
      </w:r>
      <w:proofErr w:type="spellEnd"/>
      <w:r w:rsidRPr="007F10C6">
        <w:rPr>
          <w:rFonts w:ascii="Times New Roman" w:eastAsia="Times New Roman" w:hAnsi="Times New Roman" w:cs="Times New Roman"/>
          <w:sz w:val="24"/>
          <w:szCs w:val="24"/>
        </w:rPr>
        <w:t xml:space="preserve"> 1986, Chan 1986). Many previous studies have considered that charge development on surfaces should be dependent upon the size of the hydrated cation that enters the interfacial region (</w:t>
      </w:r>
      <w:proofErr w:type="spellStart"/>
      <w:r w:rsidRPr="007F10C6">
        <w:rPr>
          <w:rFonts w:ascii="Times New Roman" w:eastAsia="Times New Roman" w:hAnsi="Times New Roman" w:cs="Times New Roman"/>
          <w:sz w:val="24"/>
          <w:szCs w:val="24"/>
        </w:rPr>
        <w:t>Malati</w:t>
      </w:r>
      <w:proofErr w:type="spellEnd"/>
      <w:r w:rsidRPr="007F10C6">
        <w:rPr>
          <w:rFonts w:ascii="Times New Roman" w:eastAsia="Times New Roman" w:hAnsi="Times New Roman" w:cs="Times New Roman"/>
          <w:sz w:val="24"/>
          <w:szCs w:val="24"/>
        </w:rPr>
        <w:t xml:space="preserve"> and Estefan, 1966), properties of their associated waters of solvation (</w:t>
      </w:r>
      <w:proofErr w:type="spellStart"/>
      <w:r w:rsidRPr="007F10C6">
        <w:rPr>
          <w:rFonts w:ascii="Times New Roman" w:eastAsia="Times New Roman" w:hAnsi="Times New Roman" w:cs="Times New Roman"/>
          <w:sz w:val="24"/>
          <w:szCs w:val="24"/>
        </w:rPr>
        <w:t>Malati</w:t>
      </w:r>
      <w:proofErr w:type="spellEnd"/>
      <w:r w:rsidRPr="007F10C6">
        <w:rPr>
          <w:rFonts w:ascii="Times New Roman" w:eastAsia="Times New Roman" w:hAnsi="Times New Roman" w:cs="Times New Roman"/>
          <w:sz w:val="24"/>
          <w:szCs w:val="24"/>
        </w:rPr>
        <w:t xml:space="preserve"> 1987, </w:t>
      </w:r>
      <w:proofErr w:type="spellStart"/>
      <w:r w:rsidRPr="007F10C6">
        <w:rPr>
          <w:rFonts w:ascii="Times New Roman" w:eastAsia="Times New Roman" w:hAnsi="Times New Roman" w:cs="Times New Roman"/>
          <w:sz w:val="24"/>
          <w:szCs w:val="24"/>
        </w:rPr>
        <w:t>Kosmulski</w:t>
      </w:r>
      <w:proofErr w:type="spellEnd"/>
      <w:r w:rsidRPr="007F10C6">
        <w:rPr>
          <w:rFonts w:ascii="Times New Roman" w:eastAsia="Times New Roman" w:hAnsi="Times New Roman" w:cs="Times New Roman"/>
          <w:sz w:val="24"/>
          <w:szCs w:val="24"/>
        </w:rPr>
        <w:t xml:space="preserve"> 1994a, </w:t>
      </w:r>
      <w:proofErr w:type="spellStart"/>
      <w:r w:rsidRPr="007F10C6">
        <w:rPr>
          <w:rFonts w:ascii="Times New Roman" w:eastAsia="Times New Roman" w:hAnsi="Times New Roman" w:cs="Times New Roman"/>
          <w:sz w:val="24"/>
          <w:szCs w:val="24"/>
        </w:rPr>
        <w:t>Kosmulski</w:t>
      </w:r>
      <w:proofErr w:type="spellEnd"/>
      <w:r w:rsidRPr="007F10C6">
        <w:rPr>
          <w:rFonts w:ascii="Times New Roman" w:eastAsia="Times New Roman" w:hAnsi="Times New Roman" w:cs="Times New Roman"/>
          <w:sz w:val="24"/>
          <w:szCs w:val="24"/>
        </w:rPr>
        <w:t xml:space="preserve"> 1994b), and the properties of the solid (</w:t>
      </w:r>
      <w:proofErr w:type="spellStart"/>
      <w:r w:rsidRPr="007F10C6">
        <w:rPr>
          <w:rFonts w:ascii="Times New Roman" w:eastAsia="Times New Roman" w:hAnsi="Times New Roman" w:cs="Times New Roman"/>
          <w:sz w:val="24"/>
          <w:szCs w:val="24"/>
        </w:rPr>
        <w:t>Sverjensky</w:t>
      </w:r>
      <w:proofErr w:type="spellEnd"/>
      <w:r w:rsidRPr="007F10C6">
        <w:rPr>
          <w:rFonts w:ascii="Times New Roman" w:eastAsia="Times New Roman" w:hAnsi="Times New Roman" w:cs="Times New Roman"/>
          <w:sz w:val="24"/>
          <w:szCs w:val="24"/>
        </w:rPr>
        <w:t xml:space="preserve"> and </w:t>
      </w:r>
      <w:proofErr w:type="spellStart"/>
      <w:r w:rsidRPr="007F10C6">
        <w:rPr>
          <w:rFonts w:ascii="Times New Roman" w:eastAsia="Times New Roman" w:hAnsi="Times New Roman" w:cs="Times New Roman"/>
          <w:sz w:val="24"/>
          <w:szCs w:val="24"/>
        </w:rPr>
        <w:t>Sahai</w:t>
      </w:r>
      <w:proofErr w:type="spellEnd"/>
      <w:r w:rsidRPr="007F10C6">
        <w:rPr>
          <w:rFonts w:ascii="Times New Roman" w:eastAsia="Times New Roman" w:hAnsi="Times New Roman" w:cs="Times New Roman"/>
          <w:sz w:val="24"/>
          <w:szCs w:val="24"/>
        </w:rPr>
        <w:t xml:space="preserve"> 1996, </w:t>
      </w:r>
      <w:proofErr w:type="spellStart"/>
      <w:r w:rsidRPr="007F10C6">
        <w:rPr>
          <w:rFonts w:ascii="Times New Roman" w:eastAsia="Times New Roman" w:hAnsi="Times New Roman" w:cs="Times New Roman"/>
          <w:sz w:val="24"/>
          <w:szCs w:val="24"/>
        </w:rPr>
        <w:t>Sverjensky</w:t>
      </w:r>
      <w:proofErr w:type="spellEnd"/>
      <w:r w:rsidRPr="007F10C6">
        <w:rPr>
          <w:rFonts w:ascii="Times New Roman" w:eastAsia="Times New Roman" w:hAnsi="Times New Roman" w:cs="Times New Roman"/>
          <w:sz w:val="24"/>
          <w:szCs w:val="24"/>
        </w:rPr>
        <w:t xml:space="preserve"> 2001, </w:t>
      </w:r>
      <w:proofErr w:type="spellStart"/>
      <w:r w:rsidRPr="007F10C6">
        <w:rPr>
          <w:rFonts w:ascii="Times New Roman" w:eastAsia="Times New Roman" w:hAnsi="Times New Roman" w:cs="Times New Roman"/>
          <w:sz w:val="24"/>
          <w:szCs w:val="24"/>
        </w:rPr>
        <w:t>Sverjensky</w:t>
      </w:r>
      <w:proofErr w:type="spellEnd"/>
      <w:r w:rsidRPr="007F10C6">
        <w:rPr>
          <w:rFonts w:ascii="Times New Roman" w:eastAsia="Times New Roman" w:hAnsi="Times New Roman" w:cs="Times New Roman"/>
          <w:sz w:val="24"/>
          <w:szCs w:val="24"/>
        </w:rPr>
        <w:t xml:space="preserve"> 2005).</w:t>
      </w:r>
    </w:p>
    <w:p w:rsidR="007F10C6" w:rsidRPr="007F10C6" w:rsidRDefault="007F10C6" w:rsidP="007F10C6">
      <w:pPr>
        <w:spacing w:before="100" w:beforeAutospacing="1" w:after="100" w:afterAutospacing="1"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 xml:space="preserve">Insights from carefully designed charge measurements may also advance our understanding of the ionic specificity behavior known as </w:t>
      </w:r>
      <w:proofErr w:type="spellStart"/>
      <w:r w:rsidRPr="007F10C6">
        <w:rPr>
          <w:rFonts w:ascii="Times New Roman" w:eastAsia="Times New Roman" w:hAnsi="Times New Roman" w:cs="Times New Roman"/>
          <w:sz w:val="24"/>
          <w:szCs w:val="24"/>
        </w:rPr>
        <w:t>lyotropy</w:t>
      </w:r>
      <w:proofErr w:type="spellEnd"/>
      <w:r w:rsidRPr="007F10C6">
        <w:rPr>
          <w:rFonts w:ascii="Times New Roman" w:eastAsia="Times New Roman" w:hAnsi="Times New Roman" w:cs="Times New Roman"/>
          <w:sz w:val="24"/>
          <w:szCs w:val="24"/>
        </w:rPr>
        <w:t xml:space="preserve">. The Lyotropic or Hofmeister Series is a well-recognized, qualitative concept that describes how many processes involving ion interactions with molecules or surfaces in aqueous solutions exhibit behavior with well-defined trends that follow columns in the periodic table. “Regular” lyotropic behavior is exhibited when electrostatic attraction increases with increasing crystallographic radius (decreasing hydrated radius) of the corresponding cation (Docking 1939, </w:t>
      </w:r>
      <w:proofErr w:type="spellStart"/>
      <w:r w:rsidRPr="007F10C6">
        <w:rPr>
          <w:rFonts w:ascii="Times New Roman" w:eastAsia="Times New Roman" w:hAnsi="Times New Roman" w:cs="Times New Roman"/>
          <w:sz w:val="24"/>
          <w:szCs w:val="24"/>
        </w:rPr>
        <w:t>Lyklema</w:t>
      </w:r>
      <w:proofErr w:type="spellEnd"/>
      <w:r w:rsidRPr="007F10C6">
        <w:rPr>
          <w:rFonts w:ascii="Times New Roman" w:eastAsia="Times New Roman" w:hAnsi="Times New Roman" w:cs="Times New Roman"/>
          <w:sz w:val="24"/>
          <w:szCs w:val="24"/>
        </w:rPr>
        <w:t xml:space="preserve"> 1967, </w:t>
      </w:r>
      <w:proofErr w:type="spellStart"/>
      <w:r w:rsidRPr="007F10C6">
        <w:rPr>
          <w:rFonts w:ascii="Times New Roman" w:eastAsia="Times New Roman" w:hAnsi="Times New Roman" w:cs="Times New Roman"/>
          <w:sz w:val="24"/>
          <w:szCs w:val="24"/>
        </w:rPr>
        <w:t>Lyklema</w:t>
      </w:r>
      <w:proofErr w:type="spellEnd"/>
      <w:r w:rsidRPr="007F10C6">
        <w:rPr>
          <w:rFonts w:ascii="Times New Roman" w:eastAsia="Times New Roman" w:hAnsi="Times New Roman" w:cs="Times New Roman"/>
          <w:sz w:val="24"/>
          <w:szCs w:val="24"/>
        </w:rPr>
        <w:t xml:space="preserve"> 1970, Kallay et al 1994) and assumes a corresponding increase in the interaction constants for electrostatic attraction. This type of behavior is reported for alkali cations on colloidal silicas (</w:t>
      </w:r>
      <w:proofErr w:type="spellStart"/>
      <w:r w:rsidRPr="007F10C6">
        <w:rPr>
          <w:rFonts w:ascii="Times New Roman" w:eastAsia="Times New Roman" w:hAnsi="Times New Roman" w:cs="Times New Roman"/>
          <w:sz w:val="24"/>
          <w:szCs w:val="24"/>
        </w:rPr>
        <w:t>Dugger</w:t>
      </w:r>
      <w:proofErr w:type="spellEnd"/>
      <w:r w:rsidRPr="007F10C6">
        <w:rPr>
          <w:rFonts w:ascii="Times New Roman" w:eastAsia="Times New Roman" w:hAnsi="Times New Roman" w:cs="Times New Roman"/>
          <w:sz w:val="24"/>
          <w:szCs w:val="24"/>
        </w:rPr>
        <w:t xml:space="preserve"> et al 1964, </w:t>
      </w:r>
      <w:proofErr w:type="spellStart"/>
      <w:r w:rsidRPr="007F10C6">
        <w:rPr>
          <w:rFonts w:ascii="Times New Roman" w:eastAsia="Times New Roman" w:hAnsi="Times New Roman" w:cs="Times New Roman"/>
          <w:sz w:val="24"/>
          <w:szCs w:val="24"/>
        </w:rPr>
        <w:t>Abendroth</w:t>
      </w:r>
      <w:proofErr w:type="spellEnd"/>
      <w:r w:rsidRPr="007F10C6">
        <w:rPr>
          <w:rFonts w:ascii="Times New Roman" w:eastAsia="Times New Roman" w:hAnsi="Times New Roman" w:cs="Times New Roman"/>
          <w:sz w:val="24"/>
          <w:szCs w:val="24"/>
        </w:rPr>
        <w:t xml:space="preserve"> 1970, </w:t>
      </w:r>
      <w:proofErr w:type="spellStart"/>
      <w:r w:rsidRPr="007F10C6">
        <w:rPr>
          <w:rFonts w:ascii="Times New Roman" w:eastAsia="Times New Roman" w:hAnsi="Times New Roman" w:cs="Times New Roman"/>
          <w:sz w:val="24"/>
          <w:szCs w:val="24"/>
        </w:rPr>
        <w:t>Sonnefeld</w:t>
      </w:r>
      <w:proofErr w:type="spellEnd"/>
      <w:r w:rsidRPr="007F10C6">
        <w:rPr>
          <w:rFonts w:ascii="Times New Roman" w:eastAsia="Times New Roman" w:hAnsi="Times New Roman" w:cs="Times New Roman"/>
          <w:sz w:val="24"/>
          <w:szCs w:val="24"/>
        </w:rPr>
        <w:t xml:space="preserve"> et al 1995, Karlsson et al 2001) with the exception of an opposite trend reported by </w:t>
      </w:r>
      <w:proofErr w:type="spellStart"/>
      <w:r w:rsidRPr="007F10C6">
        <w:rPr>
          <w:rFonts w:ascii="Times New Roman" w:eastAsia="Times New Roman" w:hAnsi="Times New Roman" w:cs="Times New Roman"/>
          <w:sz w:val="24"/>
          <w:szCs w:val="24"/>
        </w:rPr>
        <w:t>Milonjic</w:t>
      </w:r>
      <w:proofErr w:type="spellEnd"/>
      <w:r w:rsidRPr="007F10C6">
        <w:rPr>
          <w:rFonts w:ascii="Times New Roman" w:eastAsia="Times New Roman" w:hAnsi="Times New Roman" w:cs="Times New Roman"/>
          <w:sz w:val="24"/>
          <w:szCs w:val="24"/>
        </w:rPr>
        <w:t xml:space="preserve"> (1987); whereas “reverse” lyotropic trends are reported for alumina (Huang and </w:t>
      </w:r>
      <w:proofErr w:type="spellStart"/>
      <w:r w:rsidRPr="007F10C6">
        <w:rPr>
          <w:rFonts w:ascii="Times New Roman" w:eastAsia="Times New Roman" w:hAnsi="Times New Roman" w:cs="Times New Roman"/>
          <w:sz w:val="24"/>
          <w:szCs w:val="24"/>
        </w:rPr>
        <w:t>Stumm</w:t>
      </w:r>
      <w:proofErr w:type="spellEnd"/>
      <w:r w:rsidRPr="007F10C6">
        <w:rPr>
          <w:rFonts w:ascii="Times New Roman" w:eastAsia="Times New Roman" w:hAnsi="Times New Roman" w:cs="Times New Roman"/>
          <w:sz w:val="24"/>
          <w:szCs w:val="24"/>
        </w:rPr>
        <w:t>, 1973), hematite (</w:t>
      </w:r>
      <w:proofErr w:type="spellStart"/>
      <w:r w:rsidRPr="007F10C6">
        <w:rPr>
          <w:rFonts w:ascii="Times New Roman" w:eastAsia="Times New Roman" w:hAnsi="Times New Roman" w:cs="Times New Roman"/>
          <w:sz w:val="24"/>
          <w:szCs w:val="24"/>
        </w:rPr>
        <w:t>Čolić</w:t>
      </w:r>
      <w:proofErr w:type="spellEnd"/>
      <w:r w:rsidRPr="007F10C6">
        <w:rPr>
          <w:rFonts w:ascii="Times New Roman" w:eastAsia="Times New Roman" w:hAnsi="Times New Roman" w:cs="Times New Roman"/>
          <w:sz w:val="24"/>
          <w:szCs w:val="24"/>
        </w:rPr>
        <w:t xml:space="preserve"> et al., 1991), and rutile (Kallay et al., 1994).</w:t>
      </w:r>
    </w:p>
    <w:p w:rsidR="007F10C6" w:rsidRPr="007F10C6" w:rsidRDefault="007F10C6" w:rsidP="007F10C6">
      <w:pPr>
        <w:spacing w:before="100" w:beforeAutospacing="1" w:after="100" w:afterAutospacing="1"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 xml:space="preserve">Hofmeister proposed that </w:t>
      </w:r>
      <w:proofErr w:type="spellStart"/>
      <w:r w:rsidRPr="007F10C6">
        <w:rPr>
          <w:rFonts w:ascii="Times New Roman" w:eastAsia="Times New Roman" w:hAnsi="Times New Roman" w:cs="Times New Roman"/>
          <w:sz w:val="24"/>
          <w:szCs w:val="24"/>
        </w:rPr>
        <w:t>lyotropy</w:t>
      </w:r>
      <w:proofErr w:type="spellEnd"/>
      <w:r w:rsidRPr="007F10C6">
        <w:rPr>
          <w:rFonts w:ascii="Times New Roman" w:eastAsia="Times New Roman" w:hAnsi="Times New Roman" w:cs="Times New Roman"/>
          <w:sz w:val="24"/>
          <w:szCs w:val="24"/>
        </w:rPr>
        <w:t xml:space="preserve"> is a consequence of the differing affinities of cations for water according to their degree of hydration (Docking, 1939). Studies have noted the relations between </w:t>
      </w:r>
      <w:proofErr w:type="spellStart"/>
      <w:r w:rsidRPr="007F10C6">
        <w:rPr>
          <w:rFonts w:ascii="Times New Roman" w:eastAsia="Times New Roman" w:hAnsi="Times New Roman" w:cs="Times New Roman"/>
          <w:sz w:val="24"/>
          <w:szCs w:val="24"/>
        </w:rPr>
        <w:t>lyotropy</w:t>
      </w:r>
      <w:proofErr w:type="spellEnd"/>
      <w:r w:rsidRPr="007F10C6">
        <w:rPr>
          <w:rFonts w:ascii="Times New Roman" w:eastAsia="Times New Roman" w:hAnsi="Times New Roman" w:cs="Times New Roman"/>
          <w:sz w:val="24"/>
          <w:szCs w:val="24"/>
        </w:rPr>
        <w:t xml:space="preserve"> and the dual controls of adsorption constants and capacitance on cation-specific development of oxide surface charge (Kallay and </w:t>
      </w:r>
      <w:proofErr w:type="spellStart"/>
      <w:r w:rsidRPr="007F10C6">
        <w:rPr>
          <w:rFonts w:ascii="Times New Roman" w:eastAsia="Times New Roman" w:hAnsi="Times New Roman" w:cs="Times New Roman"/>
          <w:sz w:val="24"/>
          <w:szCs w:val="24"/>
        </w:rPr>
        <w:t>Tomić</w:t>
      </w:r>
      <w:proofErr w:type="spellEnd"/>
      <w:r w:rsidRPr="007F10C6">
        <w:rPr>
          <w:rFonts w:ascii="Times New Roman" w:eastAsia="Times New Roman" w:hAnsi="Times New Roman" w:cs="Times New Roman"/>
          <w:sz w:val="24"/>
          <w:szCs w:val="24"/>
        </w:rPr>
        <w:t xml:space="preserve"> 1988, </w:t>
      </w:r>
      <w:proofErr w:type="spellStart"/>
      <w:r w:rsidRPr="007F10C6">
        <w:rPr>
          <w:rFonts w:ascii="Times New Roman" w:eastAsia="Times New Roman" w:hAnsi="Times New Roman" w:cs="Times New Roman"/>
          <w:sz w:val="24"/>
          <w:szCs w:val="24"/>
        </w:rPr>
        <w:t>Čolić</w:t>
      </w:r>
      <w:proofErr w:type="spellEnd"/>
      <w:r w:rsidRPr="007F10C6">
        <w:rPr>
          <w:rFonts w:ascii="Times New Roman" w:eastAsia="Times New Roman" w:hAnsi="Times New Roman" w:cs="Times New Roman"/>
          <w:sz w:val="24"/>
          <w:szCs w:val="24"/>
        </w:rPr>
        <w:t xml:space="preserve"> et al 1991, Kallay et al 1994). More recently, a theoretical analysis of ionic specificity concluded that, for a given material, the origin of ionic specificity is primarily attributed to differences in the configurational entropy change of interfacial water upon ion interactions with surfaces (</w:t>
      </w:r>
      <w:proofErr w:type="spellStart"/>
      <w:r w:rsidRPr="007F10C6">
        <w:rPr>
          <w:rFonts w:ascii="Times New Roman" w:eastAsia="Times New Roman" w:hAnsi="Times New Roman" w:cs="Times New Roman"/>
          <w:sz w:val="24"/>
          <w:szCs w:val="24"/>
        </w:rPr>
        <w:t>Lyklema</w:t>
      </w:r>
      <w:proofErr w:type="spellEnd"/>
      <w:r w:rsidRPr="007F10C6">
        <w:rPr>
          <w:rFonts w:ascii="Times New Roman" w:eastAsia="Times New Roman" w:hAnsi="Times New Roman" w:cs="Times New Roman"/>
          <w:sz w:val="24"/>
          <w:szCs w:val="24"/>
        </w:rPr>
        <w:t>, 2002).</w:t>
      </w:r>
    </w:p>
    <w:p w:rsidR="007F10C6" w:rsidRPr="007F10C6" w:rsidRDefault="007F10C6" w:rsidP="007F10C6">
      <w:pPr>
        <w:spacing w:before="100" w:beforeAutospacing="1" w:after="100" w:afterAutospacing="1"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 xml:space="preserve">Studies such as those described above will ultimately reveal the mechanistic basis for the ionic specificity, as well as controls on regular and reverse lyotropic trends that are seen for different oxides. However, despite the broad environmental significance of the relationships between surface charge and cation affinity, a consistent picture has not </w:t>
      </w:r>
      <w:proofErr w:type="spellStart"/>
      <w:r w:rsidRPr="007F10C6">
        <w:rPr>
          <w:rFonts w:ascii="Times New Roman" w:eastAsia="Times New Roman" w:hAnsi="Times New Roman" w:cs="Times New Roman"/>
          <w:sz w:val="24"/>
          <w:szCs w:val="24"/>
        </w:rPr>
        <w:t>not</w:t>
      </w:r>
      <w:proofErr w:type="spellEnd"/>
      <w:r w:rsidRPr="007F10C6">
        <w:rPr>
          <w:rFonts w:ascii="Times New Roman" w:eastAsia="Times New Roman" w:hAnsi="Times New Roman" w:cs="Times New Roman"/>
          <w:sz w:val="24"/>
          <w:szCs w:val="24"/>
        </w:rPr>
        <w:t xml:space="preserve"> yet emerged from the available data. Using the silica literature as an example, the present difficulty in understanding cation specificity for SiO</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 xml:space="preserve"> surfaces and negative surface charge development exists largely because the data sets are piecemeal and inconsistent with respect to experimental method, solution composition, and type of substrate. This problem is further complicated because the properties of the solid have strong controls on ionic specificity to the extent that trends can be reversed. This has complicated efforts to pool disparate studies into a reliable data set and necessitated a tremendous effort to obtain these insights by inferences from other oxide and oxyhydroxide materials (</w:t>
      </w:r>
      <w:proofErr w:type="spellStart"/>
      <w:r w:rsidRPr="007F10C6">
        <w:rPr>
          <w:rFonts w:ascii="Times New Roman" w:eastAsia="Times New Roman" w:hAnsi="Times New Roman" w:cs="Times New Roman"/>
          <w:sz w:val="24"/>
          <w:szCs w:val="24"/>
        </w:rPr>
        <w:t>Sverjensky</w:t>
      </w:r>
      <w:proofErr w:type="spellEnd"/>
      <w:r w:rsidRPr="007F10C6">
        <w:rPr>
          <w:rFonts w:ascii="Times New Roman" w:eastAsia="Times New Roman" w:hAnsi="Times New Roman" w:cs="Times New Roman"/>
          <w:sz w:val="24"/>
          <w:szCs w:val="24"/>
        </w:rPr>
        <w:t xml:space="preserve"> 1993, </w:t>
      </w:r>
      <w:proofErr w:type="spellStart"/>
      <w:r w:rsidRPr="007F10C6">
        <w:rPr>
          <w:rFonts w:ascii="Times New Roman" w:eastAsia="Times New Roman" w:hAnsi="Times New Roman" w:cs="Times New Roman"/>
          <w:sz w:val="24"/>
          <w:szCs w:val="24"/>
        </w:rPr>
        <w:t>Sahai</w:t>
      </w:r>
      <w:proofErr w:type="spellEnd"/>
      <w:r w:rsidRPr="007F10C6">
        <w:rPr>
          <w:rFonts w:ascii="Times New Roman" w:eastAsia="Times New Roman" w:hAnsi="Times New Roman" w:cs="Times New Roman"/>
          <w:sz w:val="24"/>
          <w:szCs w:val="24"/>
        </w:rPr>
        <w:t xml:space="preserve"> and </w:t>
      </w:r>
      <w:proofErr w:type="spellStart"/>
      <w:r w:rsidRPr="007F10C6">
        <w:rPr>
          <w:rFonts w:ascii="Times New Roman" w:eastAsia="Times New Roman" w:hAnsi="Times New Roman" w:cs="Times New Roman"/>
          <w:sz w:val="24"/>
          <w:szCs w:val="24"/>
        </w:rPr>
        <w:t>Sverjensky</w:t>
      </w:r>
      <w:proofErr w:type="spellEnd"/>
      <w:r w:rsidRPr="007F10C6">
        <w:rPr>
          <w:rFonts w:ascii="Times New Roman" w:eastAsia="Times New Roman" w:hAnsi="Times New Roman" w:cs="Times New Roman"/>
          <w:sz w:val="24"/>
          <w:szCs w:val="24"/>
        </w:rPr>
        <w:t xml:space="preserve"> 1997a, </w:t>
      </w:r>
      <w:proofErr w:type="spellStart"/>
      <w:r w:rsidRPr="007F10C6">
        <w:rPr>
          <w:rFonts w:ascii="Times New Roman" w:eastAsia="Times New Roman" w:hAnsi="Times New Roman" w:cs="Times New Roman"/>
          <w:sz w:val="24"/>
          <w:szCs w:val="24"/>
        </w:rPr>
        <w:t>Sahai</w:t>
      </w:r>
      <w:proofErr w:type="spellEnd"/>
      <w:r w:rsidRPr="007F10C6">
        <w:rPr>
          <w:rFonts w:ascii="Times New Roman" w:eastAsia="Times New Roman" w:hAnsi="Times New Roman" w:cs="Times New Roman"/>
          <w:sz w:val="24"/>
          <w:szCs w:val="24"/>
        </w:rPr>
        <w:t xml:space="preserve"> and </w:t>
      </w:r>
      <w:proofErr w:type="spellStart"/>
      <w:r w:rsidRPr="007F10C6">
        <w:rPr>
          <w:rFonts w:ascii="Times New Roman" w:eastAsia="Times New Roman" w:hAnsi="Times New Roman" w:cs="Times New Roman"/>
          <w:sz w:val="24"/>
          <w:szCs w:val="24"/>
        </w:rPr>
        <w:t>Sverjensky</w:t>
      </w:r>
      <w:proofErr w:type="spellEnd"/>
      <w:r w:rsidRPr="007F10C6">
        <w:rPr>
          <w:rFonts w:ascii="Times New Roman" w:eastAsia="Times New Roman" w:hAnsi="Times New Roman" w:cs="Times New Roman"/>
          <w:sz w:val="24"/>
          <w:szCs w:val="24"/>
        </w:rPr>
        <w:t xml:space="preserve"> 1997b, </w:t>
      </w:r>
      <w:proofErr w:type="spellStart"/>
      <w:r w:rsidRPr="007F10C6">
        <w:rPr>
          <w:rFonts w:ascii="Times New Roman" w:eastAsia="Times New Roman" w:hAnsi="Times New Roman" w:cs="Times New Roman"/>
          <w:sz w:val="24"/>
          <w:szCs w:val="24"/>
        </w:rPr>
        <w:t>Sverjensky</w:t>
      </w:r>
      <w:proofErr w:type="spellEnd"/>
      <w:r w:rsidRPr="007F10C6">
        <w:rPr>
          <w:rFonts w:ascii="Times New Roman" w:eastAsia="Times New Roman" w:hAnsi="Times New Roman" w:cs="Times New Roman"/>
          <w:sz w:val="24"/>
          <w:szCs w:val="24"/>
        </w:rPr>
        <w:t xml:space="preserve"> 2001, </w:t>
      </w:r>
      <w:proofErr w:type="spellStart"/>
      <w:r w:rsidRPr="007F10C6">
        <w:rPr>
          <w:rFonts w:ascii="Times New Roman" w:eastAsia="Times New Roman" w:hAnsi="Times New Roman" w:cs="Times New Roman"/>
          <w:sz w:val="24"/>
          <w:szCs w:val="24"/>
        </w:rPr>
        <w:t>Criscenti</w:t>
      </w:r>
      <w:proofErr w:type="spellEnd"/>
      <w:r w:rsidRPr="007F10C6">
        <w:rPr>
          <w:rFonts w:ascii="Times New Roman" w:eastAsia="Times New Roman" w:hAnsi="Times New Roman" w:cs="Times New Roman"/>
          <w:sz w:val="24"/>
          <w:szCs w:val="24"/>
        </w:rPr>
        <w:t xml:space="preserve"> and </w:t>
      </w:r>
      <w:proofErr w:type="spellStart"/>
      <w:r w:rsidRPr="007F10C6">
        <w:rPr>
          <w:rFonts w:ascii="Times New Roman" w:eastAsia="Times New Roman" w:hAnsi="Times New Roman" w:cs="Times New Roman"/>
          <w:sz w:val="24"/>
          <w:szCs w:val="24"/>
        </w:rPr>
        <w:t>Sverjensky</w:t>
      </w:r>
      <w:proofErr w:type="spellEnd"/>
      <w:r w:rsidRPr="007F10C6">
        <w:rPr>
          <w:rFonts w:ascii="Times New Roman" w:eastAsia="Times New Roman" w:hAnsi="Times New Roman" w:cs="Times New Roman"/>
          <w:sz w:val="24"/>
          <w:szCs w:val="24"/>
        </w:rPr>
        <w:t xml:space="preserve"> 1999). Much progress has been made, yet these difficulties continue to limit confidence in extrapolations of cation-specific effects.</w:t>
      </w:r>
    </w:p>
    <w:p w:rsidR="007F10C6" w:rsidRPr="007F10C6" w:rsidRDefault="007F10C6" w:rsidP="007F10C6">
      <w:pPr>
        <w:spacing w:before="100" w:beforeAutospacing="1" w:after="100" w:afterAutospacing="1"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 xml:space="preserve">The aforementioned questions are addressed in this experimental study. We quantify the surface charge that develops on a standard colloidal silica in a suite of IA and IIA cations as chloride salt </w:t>
      </w:r>
      <w:r w:rsidRPr="007F10C6">
        <w:rPr>
          <w:rFonts w:ascii="Times New Roman" w:eastAsia="Times New Roman" w:hAnsi="Times New Roman" w:cs="Times New Roman"/>
          <w:sz w:val="24"/>
          <w:szCs w:val="24"/>
        </w:rPr>
        <w:lastRenderedPageBreak/>
        <w:t>solutions. By designing the experiments to have solution compositions with constant ionic strength or constant cation concentration, while carefully avoiding CO</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 xml:space="preserve"> contamination, we present an internally consistent data set.</w:t>
      </w:r>
    </w:p>
    <w:p w:rsidR="007F10C6" w:rsidRPr="007F10C6" w:rsidRDefault="007F10C6" w:rsidP="007F10C6">
      <w:pPr>
        <w:spacing w:before="100" w:beforeAutospacing="1" w:after="100" w:afterAutospacing="1"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It is not the intent of this study to test the various surface complexation constructs that exist. These types of studies show that while equilibrium constants are correlated with ionic specificity (</w:t>
      </w:r>
      <w:proofErr w:type="spellStart"/>
      <w:r w:rsidRPr="007F10C6">
        <w:rPr>
          <w:rFonts w:ascii="Times New Roman" w:eastAsia="Times New Roman" w:hAnsi="Times New Roman" w:cs="Times New Roman"/>
          <w:sz w:val="24"/>
          <w:szCs w:val="24"/>
        </w:rPr>
        <w:t>Dugger</w:t>
      </w:r>
      <w:proofErr w:type="spellEnd"/>
      <w:r w:rsidRPr="007F10C6">
        <w:rPr>
          <w:rFonts w:ascii="Times New Roman" w:eastAsia="Times New Roman" w:hAnsi="Times New Roman" w:cs="Times New Roman"/>
          <w:sz w:val="24"/>
          <w:szCs w:val="24"/>
        </w:rPr>
        <w:t xml:space="preserve"> et al 1964, </w:t>
      </w:r>
      <w:proofErr w:type="spellStart"/>
      <w:r w:rsidRPr="007F10C6">
        <w:rPr>
          <w:rFonts w:ascii="Times New Roman" w:eastAsia="Times New Roman" w:hAnsi="Times New Roman" w:cs="Times New Roman"/>
          <w:sz w:val="24"/>
          <w:szCs w:val="24"/>
        </w:rPr>
        <w:t>Milonjic</w:t>
      </w:r>
      <w:proofErr w:type="spellEnd"/>
      <w:r w:rsidRPr="007F10C6">
        <w:rPr>
          <w:rFonts w:ascii="Times New Roman" w:eastAsia="Times New Roman" w:hAnsi="Times New Roman" w:cs="Times New Roman"/>
          <w:sz w:val="24"/>
          <w:szCs w:val="24"/>
        </w:rPr>
        <w:t xml:space="preserve"> 1987, </w:t>
      </w:r>
      <w:proofErr w:type="spellStart"/>
      <w:r w:rsidRPr="007F10C6">
        <w:rPr>
          <w:rFonts w:ascii="Times New Roman" w:eastAsia="Times New Roman" w:hAnsi="Times New Roman" w:cs="Times New Roman"/>
          <w:sz w:val="24"/>
          <w:szCs w:val="24"/>
        </w:rPr>
        <w:t>Sahai</w:t>
      </w:r>
      <w:proofErr w:type="spellEnd"/>
      <w:r w:rsidRPr="007F10C6">
        <w:rPr>
          <w:rFonts w:ascii="Times New Roman" w:eastAsia="Times New Roman" w:hAnsi="Times New Roman" w:cs="Times New Roman"/>
          <w:sz w:val="24"/>
          <w:szCs w:val="24"/>
        </w:rPr>
        <w:t xml:space="preserve"> and </w:t>
      </w:r>
      <w:proofErr w:type="spellStart"/>
      <w:r w:rsidRPr="007F10C6">
        <w:rPr>
          <w:rFonts w:ascii="Times New Roman" w:eastAsia="Times New Roman" w:hAnsi="Times New Roman" w:cs="Times New Roman"/>
          <w:sz w:val="24"/>
          <w:szCs w:val="24"/>
        </w:rPr>
        <w:t>Sverjensky</w:t>
      </w:r>
      <w:proofErr w:type="spellEnd"/>
      <w:r w:rsidRPr="007F10C6">
        <w:rPr>
          <w:rFonts w:ascii="Times New Roman" w:eastAsia="Times New Roman" w:hAnsi="Times New Roman" w:cs="Times New Roman"/>
          <w:sz w:val="24"/>
          <w:szCs w:val="24"/>
        </w:rPr>
        <w:t xml:space="preserve"> 1997a, </w:t>
      </w:r>
      <w:proofErr w:type="spellStart"/>
      <w:r w:rsidRPr="007F10C6">
        <w:rPr>
          <w:rFonts w:ascii="Times New Roman" w:eastAsia="Times New Roman" w:hAnsi="Times New Roman" w:cs="Times New Roman"/>
          <w:sz w:val="24"/>
          <w:szCs w:val="24"/>
        </w:rPr>
        <w:t>Sahai</w:t>
      </w:r>
      <w:proofErr w:type="spellEnd"/>
      <w:r w:rsidRPr="007F10C6">
        <w:rPr>
          <w:rFonts w:ascii="Times New Roman" w:eastAsia="Times New Roman" w:hAnsi="Times New Roman" w:cs="Times New Roman"/>
          <w:sz w:val="24"/>
          <w:szCs w:val="24"/>
        </w:rPr>
        <w:t xml:space="preserve"> and </w:t>
      </w:r>
      <w:proofErr w:type="spellStart"/>
      <w:r w:rsidRPr="007F10C6">
        <w:rPr>
          <w:rFonts w:ascii="Times New Roman" w:eastAsia="Times New Roman" w:hAnsi="Times New Roman" w:cs="Times New Roman"/>
          <w:sz w:val="24"/>
          <w:szCs w:val="24"/>
        </w:rPr>
        <w:t>Sverjensky</w:t>
      </w:r>
      <w:proofErr w:type="spellEnd"/>
      <w:r w:rsidRPr="007F10C6">
        <w:rPr>
          <w:rFonts w:ascii="Times New Roman" w:eastAsia="Times New Roman" w:hAnsi="Times New Roman" w:cs="Times New Roman"/>
          <w:sz w:val="24"/>
          <w:szCs w:val="24"/>
        </w:rPr>
        <w:t xml:space="preserve"> 1997b), interfacial capacitance is also a factor in determining surface charge development for some oxides (</w:t>
      </w:r>
      <w:proofErr w:type="spellStart"/>
      <w:r w:rsidRPr="007F10C6">
        <w:rPr>
          <w:rFonts w:ascii="Times New Roman" w:eastAsia="Times New Roman" w:hAnsi="Times New Roman" w:cs="Times New Roman"/>
          <w:sz w:val="24"/>
          <w:szCs w:val="24"/>
        </w:rPr>
        <w:t>Čolić</w:t>
      </w:r>
      <w:proofErr w:type="spellEnd"/>
      <w:r w:rsidRPr="007F10C6">
        <w:rPr>
          <w:rFonts w:ascii="Times New Roman" w:eastAsia="Times New Roman" w:hAnsi="Times New Roman" w:cs="Times New Roman"/>
          <w:sz w:val="24"/>
          <w:szCs w:val="24"/>
        </w:rPr>
        <w:t xml:space="preserve"> et al 1991, Kallay et al 1994, </w:t>
      </w:r>
      <w:proofErr w:type="spellStart"/>
      <w:r w:rsidRPr="007F10C6">
        <w:rPr>
          <w:rFonts w:ascii="Times New Roman" w:eastAsia="Times New Roman" w:hAnsi="Times New Roman" w:cs="Times New Roman"/>
          <w:sz w:val="24"/>
          <w:szCs w:val="24"/>
        </w:rPr>
        <w:t>Machesky</w:t>
      </w:r>
      <w:proofErr w:type="spellEnd"/>
      <w:r w:rsidRPr="007F10C6">
        <w:rPr>
          <w:rFonts w:ascii="Times New Roman" w:eastAsia="Times New Roman" w:hAnsi="Times New Roman" w:cs="Times New Roman"/>
          <w:sz w:val="24"/>
          <w:szCs w:val="24"/>
        </w:rPr>
        <w:t xml:space="preserve"> et al 1998, </w:t>
      </w:r>
      <w:proofErr w:type="spellStart"/>
      <w:r w:rsidRPr="007F10C6">
        <w:rPr>
          <w:rFonts w:ascii="Times New Roman" w:eastAsia="Times New Roman" w:hAnsi="Times New Roman" w:cs="Times New Roman"/>
          <w:sz w:val="24"/>
          <w:szCs w:val="24"/>
        </w:rPr>
        <w:t>Machesky</w:t>
      </w:r>
      <w:proofErr w:type="spellEnd"/>
      <w:r w:rsidRPr="007F10C6">
        <w:rPr>
          <w:rFonts w:ascii="Times New Roman" w:eastAsia="Times New Roman" w:hAnsi="Times New Roman" w:cs="Times New Roman"/>
          <w:sz w:val="24"/>
          <w:szCs w:val="24"/>
        </w:rPr>
        <w:t xml:space="preserve"> et al 2001, </w:t>
      </w:r>
      <w:proofErr w:type="spellStart"/>
      <w:r w:rsidRPr="007F10C6">
        <w:rPr>
          <w:rFonts w:ascii="Times New Roman" w:eastAsia="Times New Roman" w:hAnsi="Times New Roman" w:cs="Times New Roman"/>
          <w:sz w:val="24"/>
          <w:szCs w:val="24"/>
        </w:rPr>
        <w:t>Sverjensky</w:t>
      </w:r>
      <w:proofErr w:type="spellEnd"/>
      <w:r w:rsidRPr="007F10C6">
        <w:rPr>
          <w:rFonts w:ascii="Times New Roman" w:eastAsia="Times New Roman" w:hAnsi="Times New Roman" w:cs="Times New Roman"/>
          <w:sz w:val="24"/>
          <w:szCs w:val="24"/>
        </w:rPr>
        <w:t xml:space="preserve"> 2001) in ways that are strongly model-dependent. In a different tactic, we use the data to examine the underlying physical basis for these ionic specificity trends by testing the hypothesis that the concept of </w:t>
      </w:r>
      <w:proofErr w:type="spellStart"/>
      <w:r w:rsidRPr="007F10C6">
        <w:rPr>
          <w:rFonts w:ascii="Times New Roman" w:eastAsia="Times New Roman" w:hAnsi="Times New Roman" w:cs="Times New Roman"/>
          <w:sz w:val="24"/>
          <w:szCs w:val="24"/>
        </w:rPr>
        <w:t>lyotropy</w:t>
      </w:r>
      <w:proofErr w:type="spellEnd"/>
      <w:r w:rsidRPr="007F10C6">
        <w:rPr>
          <w:rFonts w:ascii="Times New Roman" w:eastAsia="Times New Roman" w:hAnsi="Times New Roman" w:cs="Times New Roman"/>
          <w:sz w:val="24"/>
          <w:szCs w:val="24"/>
        </w:rPr>
        <w:t xml:space="preserve"> is rooted in the ionic-specific solvent structuring character of the IA and IIA cations for the silica–water–chloride electrolyte system.</w:t>
      </w:r>
    </w:p>
    <w:p w:rsidR="007F10C6" w:rsidRPr="007F10C6" w:rsidRDefault="007F10C6" w:rsidP="007F10C6">
      <w:pPr>
        <w:spacing w:before="100" w:beforeAutospacing="1" w:after="100" w:afterAutospacing="1"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Cation specificity arises from surface charging reactions, and we briefly review basic relations for the electrostatic interactions of hydrated cations with silica. Detailed treatments of these interactions are found elsewhere (</w:t>
      </w:r>
      <w:proofErr w:type="spellStart"/>
      <w:r w:rsidRPr="007F10C6">
        <w:rPr>
          <w:rFonts w:ascii="Times New Roman" w:eastAsia="Times New Roman" w:hAnsi="Times New Roman" w:cs="Times New Roman"/>
          <w:sz w:val="24"/>
          <w:szCs w:val="24"/>
        </w:rPr>
        <w:t>Iler</w:t>
      </w:r>
      <w:proofErr w:type="spellEnd"/>
      <w:r w:rsidRPr="007F10C6">
        <w:rPr>
          <w:rFonts w:ascii="Times New Roman" w:eastAsia="Times New Roman" w:hAnsi="Times New Roman" w:cs="Times New Roman"/>
          <w:sz w:val="24"/>
          <w:szCs w:val="24"/>
        </w:rPr>
        <w:t xml:space="preserve">, 1979). First, the formation of negative surface charge on silica corresponds to the concentration of protons released from silanol functional groups by the reaction: </w:t>
      </w:r>
    </w:p>
    <w:p w:rsidR="007F10C6" w:rsidRPr="007F10C6" w:rsidRDefault="007F10C6" w:rsidP="007F10C6">
      <w:pPr>
        <w:spacing w:after="0"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where &gt;</w:t>
      </w:r>
      <w:proofErr w:type="spellStart"/>
      <w:r w:rsidRPr="007F10C6">
        <w:rPr>
          <w:rFonts w:ascii="Times New Roman" w:eastAsia="Times New Roman" w:hAnsi="Times New Roman" w:cs="Times New Roman"/>
          <w:sz w:val="24"/>
          <w:szCs w:val="24"/>
        </w:rPr>
        <w:t>SiOH</w:t>
      </w:r>
      <w:proofErr w:type="spellEnd"/>
      <w:r w:rsidRPr="007F10C6">
        <w:rPr>
          <w:rFonts w:ascii="Times New Roman" w:eastAsia="Times New Roman" w:hAnsi="Times New Roman" w:cs="Times New Roman"/>
          <w:sz w:val="24"/>
          <w:szCs w:val="24"/>
        </w:rPr>
        <w:t xml:space="preserve"> is a surface-bound silanol species reactive to proton exchange. Reports of the equilibrium constant for Reaction (1) vary from 10</w:t>
      </w:r>
      <w:r w:rsidRPr="007F10C6">
        <w:rPr>
          <w:rFonts w:ascii="Times New Roman" w:eastAsia="Times New Roman" w:hAnsi="Times New Roman" w:cs="Times New Roman"/>
          <w:sz w:val="24"/>
          <w:szCs w:val="24"/>
          <w:vertAlign w:val="superscript"/>
        </w:rPr>
        <w:t>−5.7</w:t>
      </w:r>
      <w:r w:rsidRPr="007F10C6">
        <w:rPr>
          <w:rFonts w:ascii="Times New Roman" w:eastAsia="Times New Roman" w:hAnsi="Times New Roman" w:cs="Times New Roman"/>
          <w:sz w:val="24"/>
          <w:szCs w:val="24"/>
        </w:rPr>
        <w:t xml:space="preserve"> (</w:t>
      </w:r>
      <w:proofErr w:type="spellStart"/>
      <w:r w:rsidRPr="007F10C6">
        <w:rPr>
          <w:rFonts w:ascii="Times New Roman" w:eastAsia="Times New Roman" w:hAnsi="Times New Roman" w:cs="Times New Roman"/>
          <w:sz w:val="24"/>
          <w:szCs w:val="24"/>
        </w:rPr>
        <w:t>Bousse</w:t>
      </w:r>
      <w:proofErr w:type="spellEnd"/>
      <w:r w:rsidRPr="007F10C6">
        <w:rPr>
          <w:rFonts w:ascii="Times New Roman" w:eastAsia="Times New Roman" w:hAnsi="Times New Roman" w:cs="Times New Roman"/>
          <w:sz w:val="24"/>
          <w:szCs w:val="24"/>
        </w:rPr>
        <w:t xml:space="preserve"> and </w:t>
      </w:r>
      <w:proofErr w:type="spellStart"/>
      <w:r w:rsidRPr="007F10C6">
        <w:rPr>
          <w:rFonts w:ascii="Times New Roman" w:eastAsia="Times New Roman" w:hAnsi="Times New Roman" w:cs="Times New Roman"/>
          <w:sz w:val="24"/>
          <w:szCs w:val="24"/>
        </w:rPr>
        <w:t>Meindl</w:t>
      </w:r>
      <w:proofErr w:type="spellEnd"/>
      <w:r w:rsidRPr="007F10C6">
        <w:rPr>
          <w:rFonts w:ascii="Times New Roman" w:eastAsia="Times New Roman" w:hAnsi="Times New Roman" w:cs="Times New Roman"/>
          <w:sz w:val="24"/>
          <w:szCs w:val="24"/>
        </w:rPr>
        <w:t>, 1986), to 10</w:t>
      </w:r>
      <w:r w:rsidRPr="007F10C6">
        <w:rPr>
          <w:rFonts w:ascii="Times New Roman" w:eastAsia="Times New Roman" w:hAnsi="Times New Roman" w:cs="Times New Roman"/>
          <w:sz w:val="24"/>
          <w:szCs w:val="24"/>
          <w:vertAlign w:val="superscript"/>
        </w:rPr>
        <w:t>−6.8</w:t>
      </w:r>
      <w:r w:rsidRPr="007F10C6">
        <w:rPr>
          <w:rFonts w:ascii="Times New Roman" w:eastAsia="Times New Roman" w:hAnsi="Times New Roman" w:cs="Times New Roman"/>
          <w:sz w:val="24"/>
          <w:szCs w:val="24"/>
        </w:rPr>
        <w:t xml:space="preserve"> (Schindler and </w:t>
      </w:r>
      <w:proofErr w:type="spellStart"/>
      <w:r w:rsidRPr="007F10C6">
        <w:rPr>
          <w:rFonts w:ascii="Times New Roman" w:eastAsia="Times New Roman" w:hAnsi="Times New Roman" w:cs="Times New Roman"/>
          <w:sz w:val="24"/>
          <w:szCs w:val="24"/>
        </w:rPr>
        <w:t>Kamber</w:t>
      </w:r>
      <w:proofErr w:type="spellEnd"/>
      <w:r w:rsidRPr="007F10C6">
        <w:rPr>
          <w:rFonts w:ascii="Times New Roman" w:eastAsia="Times New Roman" w:hAnsi="Times New Roman" w:cs="Times New Roman"/>
          <w:sz w:val="24"/>
          <w:szCs w:val="24"/>
        </w:rPr>
        <w:t>, 1968), to 10</w:t>
      </w:r>
      <w:r w:rsidRPr="007F10C6">
        <w:rPr>
          <w:rFonts w:ascii="Times New Roman" w:eastAsia="Times New Roman" w:hAnsi="Times New Roman" w:cs="Times New Roman"/>
          <w:sz w:val="24"/>
          <w:szCs w:val="24"/>
          <w:vertAlign w:val="superscript"/>
        </w:rPr>
        <w:t>−7.7</w:t>
      </w:r>
      <w:r w:rsidRPr="007F10C6">
        <w:rPr>
          <w:rFonts w:ascii="Times New Roman" w:eastAsia="Times New Roman" w:hAnsi="Times New Roman" w:cs="Times New Roman"/>
          <w:sz w:val="24"/>
          <w:szCs w:val="24"/>
        </w:rPr>
        <w:t xml:space="preserve"> (</w:t>
      </w:r>
      <w:proofErr w:type="spellStart"/>
      <w:r w:rsidRPr="007F10C6">
        <w:rPr>
          <w:rFonts w:ascii="Times New Roman" w:eastAsia="Times New Roman" w:hAnsi="Times New Roman" w:cs="Times New Roman"/>
          <w:sz w:val="24"/>
          <w:szCs w:val="24"/>
        </w:rPr>
        <w:t>Sahai</w:t>
      </w:r>
      <w:proofErr w:type="spellEnd"/>
      <w:r w:rsidRPr="007F10C6">
        <w:rPr>
          <w:rFonts w:ascii="Times New Roman" w:eastAsia="Times New Roman" w:hAnsi="Times New Roman" w:cs="Times New Roman"/>
          <w:sz w:val="24"/>
          <w:szCs w:val="24"/>
        </w:rPr>
        <w:t xml:space="preserve"> and </w:t>
      </w:r>
      <w:proofErr w:type="spellStart"/>
      <w:r w:rsidRPr="007F10C6">
        <w:rPr>
          <w:rFonts w:ascii="Times New Roman" w:eastAsia="Times New Roman" w:hAnsi="Times New Roman" w:cs="Times New Roman"/>
          <w:sz w:val="24"/>
          <w:szCs w:val="24"/>
        </w:rPr>
        <w:t>Sverjensky</w:t>
      </w:r>
      <w:proofErr w:type="spellEnd"/>
      <w:r w:rsidRPr="007F10C6">
        <w:rPr>
          <w:rFonts w:ascii="Times New Roman" w:eastAsia="Times New Roman" w:hAnsi="Times New Roman" w:cs="Times New Roman"/>
          <w:sz w:val="24"/>
          <w:szCs w:val="24"/>
        </w:rPr>
        <w:t xml:space="preserve">, 1997a) at 25°C. Second, the electrostatic interactions of a hydrated cation with the silica surface also promote negative charge development: </w:t>
      </w:r>
    </w:p>
    <w:p w:rsidR="007F10C6" w:rsidRPr="007F10C6" w:rsidRDefault="007F10C6" w:rsidP="007F10C6">
      <w:pPr>
        <w:spacing w:before="100" w:beforeAutospacing="1" w:after="100" w:afterAutospacing="1"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where Me denotes a cation with charge z</w:t>
      </w:r>
      <w:r w:rsidRPr="007F10C6">
        <w:rPr>
          <w:rFonts w:ascii="Times New Roman" w:eastAsia="Times New Roman" w:hAnsi="Times New Roman" w:cs="Times New Roman"/>
          <w:sz w:val="24"/>
          <w:szCs w:val="24"/>
          <w:vertAlign w:val="superscript"/>
        </w:rPr>
        <w:t>+</w:t>
      </w:r>
      <w:r w:rsidRPr="007F10C6">
        <w:rPr>
          <w:rFonts w:ascii="Times New Roman" w:eastAsia="Times New Roman" w:hAnsi="Times New Roman" w:cs="Times New Roman"/>
          <w:sz w:val="24"/>
          <w:szCs w:val="24"/>
        </w:rPr>
        <w:t>. Note that the total surface charge measured in this study does not distinguish between contributions made by Reactions (1) and (2).</w:t>
      </w:r>
    </w:p>
    <w:p w:rsidR="007F10C6" w:rsidRPr="007F10C6" w:rsidRDefault="007F10C6" w:rsidP="007F10C6">
      <w:pPr>
        <w:spacing w:before="100" w:beforeAutospacing="1" w:after="100" w:afterAutospacing="1"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 xml:space="preserve">As a reminder of the ubiquitous presence of solvation waters at the interface in both the reactants and products, Reactions (1) and (2) are combined to show that: </w:t>
      </w:r>
    </w:p>
    <w:p w:rsidR="007F10C6" w:rsidRPr="007F10C6" w:rsidRDefault="007F10C6" w:rsidP="007F10C6">
      <w:pPr>
        <w:spacing w:after="0"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where the reactant is a deprotonated surface-bound silanol, &gt;</w:t>
      </w:r>
      <w:proofErr w:type="spellStart"/>
      <w:r w:rsidRPr="007F10C6">
        <w:rPr>
          <w:rFonts w:ascii="Times New Roman" w:eastAsia="Times New Roman" w:hAnsi="Times New Roman" w:cs="Times New Roman"/>
          <w:sz w:val="24"/>
          <w:szCs w:val="24"/>
        </w:rPr>
        <w:t>SiO</w:t>
      </w:r>
      <w:proofErr w:type="spellEnd"/>
      <w:r w:rsidRPr="007F10C6">
        <w:rPr>
          <w:rFonts w:ascii="Times New Roman" w:eastAsia="Times New Roman" w:hAnsi="Times New Roman" w:cs="Times New Roman"/>
          <w:sz w:val="24"/>
          <w:szCs w:val="24"/>
          <w:vertAlign w:val="superscript"/>
        </w:rPr>
        <w:t>−</w:t>
      </w:r>
      <w:r w:rsidRPr="007F10C6">
        <w:rPr>
          <w:rFonts w:ascii="Times New Roman" w:eastAsia="Times New Roman" w:hAnsi="Times New Roman" w:cs="Times New Roman"/>
          <w:sz w:val="24"/>
          <w:szCs w:val="24"/>
        </w:rPr>
        <w:t>–nH</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 xml:space="preserve">O, that is charge satisfied by the solvent of the interfacial environment and Me denotes the cation, </w:t>
      </w:r>
      <w:proofErr w:type="spellStart"/>
      <w:r w:rsidRPr="007F10C6">
        <w:rPr>
          <w:rFonts w:ascii="Times New Roman" w:eastAsia="Times New Roman" w:hAnsi="Times New Roman" w:cs="Times New Roman"/>
          <w:sz w:val="24"/>
          <w:szCs w:val="24"/>
        </w:rPr>
        <w:t>i</w:t>
      </w:r>
      <w:proofErr w:type="spellEnd"/>
      <w:r w:rsidRPr="007F10C6">
        <w:rPr>
          <w:rFonts w:ascii="Times New Roman" w:eastAsia="Times New Roman" w:hAnsi="Times New Roman" w:cs="Times New Roman"/>
          <w:sz w:val="24"/>
          <w:szCs w:val="24"/>
        </w:rPr>
        <w:t>, with charge z</w:t>
      </w:r>
      <w:r w:rsidRPr="007F10C6">
        <w:rPr>
          <w:rFonts w:ascii="Times New Roman" w:eastAsia="Times New Roman" w:hAnsi="Times New Roman" w:cs="Times New Roman"/>
          <w:sz w:val="24"/>
          <w:szCs w:val="24"/>
          <w:vertAlign w:val="superscript"/>
        </w:rPr>
        <w:t>+</w:t>
      </w:r>
      <w:r w:rsidRPr="007F10C6">
        <w:rPr>
          <w:rFonts w:ascii="Times New Roman" w:eastAsia="Times New Roman" w:hAnsi="Times New Roman" w:cs="Times New Roman"/>
          <w:sz w:val="24"/>
          <w:szCs w:val="24"/>
        </w:rPr>
        <w:t>. The cation brings its own solvation environment to the interface, and the product species has negative charge that is screened in a new solvation environment, &gt;</w:t>
      </w:r>
      <w:proofErr w:type="spellStart"/>
      <w:r w:rsidRPr="007F10C6">
        <w:rPr>
          <w:rFonts w:ascii="Times New Roman" w:eastAsia="Times New Roman" w:hAnsi="Times New Roman" w:cs="Times New Roman"/>
          <w:sz w:val="24"/>
          <w:szCs w:val="24"/>
        </w:rPr>
        <w:t>SiO</w:t>
      </w:r>
      <w:proofErr w:type="spellEnd"/>
      <w:r w:rsidRPr="007F10C6">
        <w:rPr>
          <w:rFonts w:ascii="Times New Roman" w:eastAsia="Times New Roman" w:hAnsi="Times New Roman" w:cs="Times New Roman"/>
          <w:sz w:val="24"/>
          <w:szCs w:val="24"/>
          <w:vertAlign w:val="superscript"/>
        </w:rPr>
        <w:t>−</w:t>
      </w:r>
      <w:r w:rsidRPr="007F10C6">
        <w:rPr>
          <w:rFonts w:ascii="Times New Roman" w:eastAsia="Times New Roman" w:hAnsi="Times New Roman" w:cs="Times New Roman"/>
          <w:sz w:val="24"/>
          <w:szCs w:val="24"/>
        </w:rPr>
        <w:t>–nH</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O·Me</w:t>
      </w:r>
      <w:r w:rsidRPr="007F10C6">
        <w:rPr>
          <w:rFonts w:ascii="Times New Roman" w:eastAsia="Times New Roman" w:hAnsi="Times New Roman" w:cs="Times New Roman"/>
          <w:sz w:val="24"/>
          <w:szCs w:val="24"/>
          <w:vertAlign w:val="superscript"/>
        </w:rPr>
        <w:t>z+</w:t>
      </w:r>
      <w:r w:rsidRPr="007F10C6">
        <w:rPr>
          <w:rFonts w:ascii="Times New Roman" w:eastAsia="Times New Roman" w:hAnsi="Times New Roman" w:cs="Times New Roman"/>
          <w:sz w:val="24"/>
          <w:szCs w:val="24"/>
        </w:rPr>
        <w:t>. The notation, &gt;</w:t>
      </w:r>
      <w:proofErr w:type="spellStart"/>
      <w:r w:rsidRPr="007F10C6">
        <w:rPr>
          <w:rFonts w:ascii="Times New Roman" w:eastAsia="Times New Roman" w:hAnsi="Times New Roman" w:cs="Times New Roman"/>
          <w:sz w:val="24"/>
          <w:szCs w:val="24"/>
        </w:rPr>
        <w:t>SiO</w:t>
      </w:r>
      <w:proofErr w:type="spellEnd"/>
      <w:r w:rsidRPr="007F10C6">
        <w:rPr>
          <w:rFonts w:ascii="Times New Roman" w:eastAsia="Times New Roman" w:hAnsi="Times New Roman" w:cs="Times New Roman"/>
          <w:sz w:val="24"/>
          <w:szCs w:val="24"/>
          <w:vertAlign w:val="superscript"/>
        </w:rPr>
        <w:t>−</w:t>
      </w:r>
      <w:r w:rsidRPr="007F10C6">
        <w:rPr>
          <w:rFonts w:ascii="Times New Roman" w:eastAsia="Times New Roman" w:hAnsi="Times New Roman" w:cs="Times New Roman"/>
          <w:sz w:val="24"/>
          <w:szCs w:val="24"/>
        </w:rPr>
        <w:t>–nH</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O·Me</w:t>
      </w:r>
      <w:r w:rsidRPr="007F10C6">
        <w:rPr>
          <w:rFonts w:ascii="Times New Roman" w:eastAsia="Times New Roman" w:hAnsi="Times New Roman" w:cs="Times New Roman"/>
          <w:sz w:val="24"/>
          <w:szCs w:val="24"/>
          <w:vertAlign w:val="superscript"/>
        </w:rPr>
        <w:t>z+</w:t>
      </w:r>
      <w:r w:rsidRPr="007F10C6">
        <w:rPr>
          <w:rFonts w:ascii="Times New Roman" w:eastAsia="Times New Roman" w:hAnsi="Times New Roman" w:cs="Times New Roman"/>
          <w:sz w:val="24"/>
          <w:szCs w:val="24"/>
        </w:rPr>
        <w:t>, indicates that cations retain waters of hydration to affect deprotonation at a small but finite distance from the mineral surface. By this pH-independent reaction, surface species, &gt;</w:t>
      </w:r>
      <w:proofErr w:type="spellStart"/>
      <w:r w:rsidRPr="007F10C6">
        <w:rPr>
          <w:rFonts w:ascii="Times New Roman" w:eastAsia="Times New Roman" w:hAnsi="Times New Roman" w:cs="Times New Roman"/>
          <w:sz w:val="24"/>
          <w:szCs w:val="24"/>
        </w:rPr>
        <w:t>SiO</w:t>
      </w:r>
      <w:proofErr w:type="spellEnd"/>
      <w:r w:rsidRPr="007F10C6">
        <w:rPr>
          <w:rFonts w:ascii="Times New Roman" w:eastAsia="Times New Roman" w:hAnsi="Times New Roman" w:cs="Times New Roman"/>
          <w:sz w:val="24"/>
          <w:szCs w:val="24"/>
          <w:vertAlign w:val="superscript"/>
        </w:rPr>
        <w:t>−</w:t>
      </w:r>
      <w:r w:rsidRPr="007F10C6">
        <w:rPr>
          <w:rFonts w:ascii="Times New Roman" w:eastAsia="Times New Roman" w:hAnsi="Times New Roman" w:cs="Times New Roman"/>
          <w:sz w:val="24"/>
          <w:szCs w:val="24"/>
        </w:rPr>
        <w:t>–nH</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 xml:space="preserve">O, is a reference for probing the differential effects of bringing IA or IIA cations to the surface silica group. </w:t>
      </w:r>
      <w:proofErr w:type="spellStart"/>
      <w:proofErr w:type="gramStart"/>
      <w:r w:rsidRPr="007F10C6">
        <w:rPr>
          <w:rFonts w:ascii="Times New Roman" w:eastAsia="Times New Roman" w:hAnsi="Times New Roman" w:cs="Times New Roman"/>
          <w:i/>
          <w:iCs/>
          <w:sz w:val="24"/>
          <w:szCs w:val="24"/>
        </w:rPr>
        <w:t>K</w:t>
      </w:r>
      <w:r w:rsidRPr="007F10C6">
        <w:rPr>
          <w:rFonts w:ascii="Times New Roman" w:eastAsia="Times New Roman" w:hAnsi="Times New Roman" w:cs="Times New Roman"/>
          <w:sz w:val="24"/>
          <w:szCs w:val="24"/>
          <w:vertAlign w:val="subscript"/>
        </w:rPr>
        <w:t>assc,i</w:t>
      </w:r>
      <w:proofErr w:type="spellEnd"/>
      <w:proofErr w:type="gramEnd"/>
      <w:r w:rsidRPr="007F10C6">
        <w:rPr>
          <w:rFonts w:ascii="Times New Roman" w:eastAsia="Times New Roman" w:hAnsi="Times New Roman" w:cs="Times New Roman"/>
          <w:sz w:val="24"/>
          <w:szCs w:val="24"/>
        </w:rPr>
        <w:t xml:space="preserve"> is calculated at 25°C from the equilibrium constants above: </w:t>
      </w:r>
    </w:p>
    <w:p w:rsidR="007F10C6" w:rsidRPr="007F10C6" w:rsidRDefault="007F10C6" w:rsidP="007F10C6">
      <w:pPr>
        <w:spacing w:before="100" w:beforeAutospacing="1" w:after="100" w:afterAutospacing="1"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Note that the equilibrium constants obtained from theoretical models are model-dependent parameters—not direct measurements. This study does not attempt to estimate these values.</w:t>
      </w:r>
    </w:p>
    <w:p w:rsidR="007F10C6" w:rsidRPr="007F10C6" w:rsidRDefault="007F10C6" w:rsidP="007F10C6">
      <w:pPr>
        <w:spacing w:before="100" w:beforeAutospacing="1" w:after="100" w:afterAutospacing="1"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 xml:space="preserve">For the alkaline earth cations, a second reaction accounts for the formation of </w:t>
      </w:r>
      <w:proofErr w:type="gramStart"/>
      <w:r w:rsidRPr="007F10C6">
        <w:rPr>
          <w:rFonts w:ascii="Times New Roman" w:eastAsia="Times New Roman" w:hAnsi="Times New Roman" w:cs="Times New Roman"/>
          <w:sz w:val="24"/>
          <w:szCs w:val="24"/>
        </w:rPr>
        <w:t>Me(</w:t>
      </w:r>
      <w:proofErr w:type="gramEnd"/>
      <w:r w:rsidRPr="007F10C6">
        <w:rPr>
          <w:rFonts w:ascii="Times New Roman" w:eastAsia="Times New Roman" w:hAnsi="Times New Roman" w:cs="Times New Roman"/>
          <w:sz w:val="24"/>
          <w:szCs w:val="24"/>
        </w:rPr>
        <w:t>OH)</w:t>
      </w:r>
      <w:r w:rsidRPr="007F10C6">
        <w:rPr>
          <w:rFonts w:ascii="Times New Roman" w:eastAsia="Times New Roman" w:hAnsi="Times New Roman" w:cs="Times New Roman"/>
          <w:sz w:val="24"/>
          <w:szCs w:val="24"/>
          <w:vertAlign w:val="superscript"/>
        </w:rPr>
        <w:t>+</w:t>
      </w:r>
      <w:r w:rsidRPr="007F10C6">
        <w:rPr>
          <w:rFonts w:ascii="Times New Roman" w:eastAsia="Times New Roman" w:hAnsi="Times New Roman" w:cs="Times New Roman"/>
          <w:sz w:val="24"/>
          <w:szCs w:val="24"/>
        </w:rPr>
        <w:t xml:space="preserve"> surface complexes: </w:t>
      </w:r>
    </w:p>
    <w:p w:rsidR="007F10C6" w:rsidRPr="007F10C6" w:rsidRDefault="007F10C6" w:rsidP="007F10C6">
      <w:pPr>
        <w:spacing w:before="100" w:beforeAutospacing="1" w:after="100" w:afterAutospacing="1"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This stoichiometry is proposed to become significant in promoting charge development and has been used in surface complexation modeling of high pH solutions (</w:t>
      </w:r>
      <w:proofErr w:type="spellStart"/>
      <w:r w:rsidRPr="007F10C6">
        <w:rPr>
          <w:rFonts w:ascii="Times New Roman" w:eastAsia="Times New Roman" w:hAnsi="Times New Roman" w:cs="Times New Roman"/>
          <w:sz w:val="24"/>
          <w:szCs w:val="24"/>
        </w:rPr>
        <w:t>Sverjensky</w:t>
      </w:r>
      <w:proofErr w:type="spellEnd"/>
      <w:r w:rsidRPr="007F10C6">
        <w:rPr>
          <w:rFonts w:ascii="Times New Roman" w:eastAsia="Times New Roman" w:hAnsi="Times New Roman" w:cs="Times New Roman"/>
          <w:sz w:val="24"/>
          <w:szCs w:val="24"/>
        </w:rPr>
        <w:t>, 2001).</w:t>
      </w:r>
    </w:p>
    <w:p w:rsidR="007F10C6" w:rsidRPr="007F10C6" w:rsidRDefault="007F10C6" w:rsidP="007F10C6">
      <w:pPr>
        <w:spacing w:before="100" w:beforeAutospacing="1" w:after="100" w:afterAutospacing="1" w:line="240" w:lineRule="auto"/>
        <w:outlineLvl w:val="1"/>
        <w:rPr>
          <w:rFonts w:ascii="Times New Roman" w:eastAsia="Times New Roman" w:hAnsi="Times New Roman" w:cs="Times New Roman"/>
          <w:b/>
          <w:bCs/>
          <w:sz w:val="36"/>
          <w:szCs w:val="36"/>
        </w:rPr>
      </w:pPr>
      <w:r w:rsidRPr="007F10C6">
        <w:rPr>
          <w:rFonts w:ascii="Times New Roman" w:eastAsia="Times New Roman" w:hAnsi="Times New Roman" w:cs="Times New Roman"/>
          <w:b/>
          <w:bCs/>
          <w:sz w:val="36"/>
          <w:szCs w:val="36"/>
        </w:rPr>
        <w:lastRenderedPageBreak/>
        <w:t>Section snippets</w:t>
      </w:r>
    </w:p>
    <w:p w:rsidR="007F10C6" w:rsidRPr="007F10C6" w:rsidRDefault="007F10C6" w:rsidP="007F10C6">
      <w:pPr>
        <w:spacing w:before="100" w:beforeAutospacing="1" w:after="100" w:afterAutospacing="1" w:line="240" w:lineRule="auto"/>
        <w:outlineLvl w:val="1"/>
        <w:rPr>
          <w:rFonts w:ascii="Times New Roman" w:eastAsia="Times New Roman" w:hAnsi="Times New Roman" w:cs="Times New Roman"/>
          <w:b/>
          <w:bCs/>
          <w:sz w:val="36"/>
          <w:szCs w:val="36"/>
        </w:rPr>
      </w:pPr>
      <w:r w:rsidRPr="007F10C6">
        <w:rPr>
          <w:rFonts w:ascii="Times New Roman" w:eastAsia="Times New Roman" w:hAnsi="Times New Roman" w:cs="Times New Roman"/>
          <w:b/>
          <w:bCs/>
          <w:sz w:val="36"/>
          <w:szCs w:val="36"/>
        </w:rPr>
        <w:t>Amorphous Silica Properties</w:t>
      </w:r>
    </w:p>
    <w:p w:rsidR="007F10C6" w:rsidRPr="007F10C6" w:rsidRDefault="007F10C6" w:rsidP="007F10C6">
      <w:pPr>
        <w:spacing w:before="100" w:beforeAutospacing="1" w:after="100" w:afterAutospacing="1"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 xml:space="preserve">All silica titrations were conducted using a pyrogenic, nonporous amorphous silica powder (Degussa </w:t>
      </w:r>
      <w:proofErr w:type="spellStart"/>
      <w:r w:rsidRPr="007F10C6">
        <w:rPr>
          <w:rFonts w:ascii="Times New Roman" w:eastAsia="Times New Roman" w:hAnsi="Times New Roman" w:cs="Times New Roman"/>
          <w:sz w:val="24"/>
          <w:szCs w:val="24"/>
        </w:rPr>
        <w:t>Aerosil</w:t>
      </w:r>
      <w:proofErr w:type="spellEnd"/>
      <w:r w:rsidRPr="007F10C6">
        <w:rPr>
          <w:rFonts w:ascii="Times New Roman" w:eastAsia="Times New Roman" w:hAnsi="Times New Roman" w:cs="Times New Roman"/>
          <w:sz w:val="24"/>
          <w:szCs w:val="24"/>
        </w:rPr>
        <w:t xml:space="preserve"> 380 SiO</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 Degussa Corporation, Akron, OH). The specific surface area of this material was equal to 326 ± 3 m</w:t>
      </w:r>
      <w:r w:rsidRPr="007F10C6">
        <w:rPr>
          <w:rFonts w:ascii="Times New Roman" w:eastAsia="Times New Roman" w:hAnsi="Times New Roman" w:cs="Times New Roman"/>
          <w:sz w:val="24"/>
          <w:szCs w:val="24"/>
          <w:vertAlign w:val="superscript"/>
        </w:rPr>
        <w:t>2</w:t>
      </w:r>
      <w:r w:rsidRPr="007F10C6">
        <w:rPr>
          <w:rFonts w:ascii="Times New Roman" w:eastAsia="Times New Roman" w:hAnsi="Times New Roman" w:cs="Times New Roman"/>
          <w:sz w:val="24"/>
          <w:szCs w:val="24"/>
        </w:rPr>
        <w:t>/g by single point N</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-BET measurements as determined by Micromeritics Instrument Corporation, Norcross, GA. This value compares well with the measurement of 331 m</w:t>
      </w:r>
      <w:r w:rsidRPr="007F10C6">
        <w:rPr>
          <w:rFonts w:ascii="Times New Roman" w:eastAsia="Times New Roman" w:hAnsi="Times New Roman" w:cs="Times New Roman"/>
          <w:sz w:val="24"/>
          <w:szCs w:val="24"/>
          <w:vertAlign w:val="superscript"/>
        </w:rPr>
        <w:t>2</w:t>
      </w:r>
      <w:r w:rsidRPr="007F10C6">
        <w:rPr>
          <w:rFonts w:ascii="Times New Roman" w:eastAsia="Times New Roman" w:hAnsi="Times New Roman" w:cs="Times New Roman"/>
          <w:sz w:val="24"/>
          <w:szCs w:val="24"/>
        </w:rPr>
        <w:t xml:space="preserve">/g reported by Karlsson et al. (2001). Each silica sample was heated overnight at 60–70°C before solution preparation to </w:t>
      </w:r>
    </w:p>
    <w:p w:rsidR="007F10C6" w:rsidRPr="007F10C6" w:rsidRDefault="007F10C6" w:rsidP="007F10C6">
      <w:pPr>
        <w:spacing w:before="100" w:beforeAutospacing="1" w:after="100" w:afterAutospacing="1" w:line="240" w:lineRule="auto"/>
        <w:outlineLvl w:val="1"/>
        <w:rPr>
          <w:rFonts w:ascii="Times New Roman" w:eastAsia="Times New Roman" w:hAnsi="Times New Roman" w:cs="Times New Roman"/>
          <w:b/>
          <w:bCs/>
          <w:sz w:val="36"/>
          <w:szCs w:val="36"/>
        </w:rPr>
      </w:pPr>
      <w:r w:rsidRPr="007F10C6">
        <w:rPr>
          <w:rFonts w:ascii="Times New Roman" w:eastAsia="Times New Roman" w:hAnsi="Times New Roman" w:cs="Times New Roman"/>
          <w:b/>
          <w:bCs/>
          <w:sz w:val="36"/>
          <w:szCs w:val="36"/>
        </w:rPr>
        <w:t>Results</w:t>
      </w:r>
    </w:p>
    <w:p w:rsidR="007F10C6" w:rsidRPr="007F10C6" w:rsidRDefault="007F10C6" w:rsidP="007F10C6">
      <w:pPr>
        <w:spacing w:before="100" w:beforeAutospacing="1" w:after="100" w:afterAutospacing="1"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 xml:space="preserve">The experimental measurements of charge density on </w:t>
      </w:r>
      <w:proofErr w:type="spellStart"/>
      <w:r w:rsidRPr="007F10C6">
        <w:rPr>
          <w:rFonts w:ascii="Times New Roman" w:eastAsia="Times New Roman" w:hAnsi="Times New Roman" w:cs="Times New Roman"/>
          <w:sz w:val="24"/>
          <w:szCs w:val="24"/>
        </w:rPr>
        <w:t>Aerosil</w:t>
      </w:r>
      <w:proofErr w:type="spellEnd"/>
      <w:r w:rsidRPr="007F10C6">
        <w:rPr>
          <w:rFonts w:ascii="Times New Roman" w:eastAsia="Times New Roman" w:hAnsi="Times New Roman" w:cs="Times New Roman"/>
          <w:sz w:val="24"/>
          <w:szCs w:val="24"/>
        </w:rPr>
        <w:t xml:space="preserve"> 380 SiO</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 xml:space="preserve"> are illustrated for the electrolyte solutions investigated in this study for conditions at constant ionic strength (Fig. 1A) and constant cation concentration (Fig. 1B). The figures were made from data tabulated in an electronic annex to the present article.</w:t>
      </w:r>
    </w:p>
    <w:p w:rsidR="007F10C6" w:rsidRPr="007F10C6" w:rsidRDefault="007F10C6" w:rsidP="007F10C6">
      <w:pPr>
        <w:spacing w:before="100" w:beforeAutospacing="1" w:after="100" w:afterAutospacing="1" w:line="240" w:lineRule="auto"/>
        <w:outlineLvl w:val="1"/>
        <w:rPr>
          <w:rFonts w:ascii="Times New Roman" w:eastAsia="Times New Roman" w:hAnsi="Times New Roman" w:cs="Times New Roman"/>
          <w:b/>
          <w:bCs/>
          <w:sz w:val="36"/>
          <w:szCs w:val="36"/>
        </w:rPr>
      </w:pPr>
      <w:r w:rsidRPr="007F10C6">
        <w:rPr>
          <w:rFonts w:ascii="Times New Roman" w:eastAsia="Times New Roman" w:hAnsi="Times New Roman" w:cs="Times New Roman"/>
          <w:b/>
          <w:bCs/>
          <w:sz w:val="36"/>
          <w:szCs w:val="36"/>
        </w:rPr>
        <w:t>Relationship Between Water Structuring and Charge Density Trends</w:t>
      </w:r>
    </w:p>
    <w:p w:rsidR="007F10C6" w:rsidRPr="007F10C6" w:rsidRDefault="007F10C6" w:rsidP="007F10C6">
      <w:pPr>
        <w:spacing w:before="100" w:beforeAutospacing="1" w:after="100" w:afterAutospacing="1"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 xml:space="preserve">The internally consistent set of surface charge measurements is used to examine the idea that surface charge development on silica surfaces is specific to the structure-modifying effects of cations on the interfacial solvent. Because electrostatic interactions necessitate the rearrangement of water at an interface, solvent structure-making effects increase entropy. </w:t>
      </w:r>
      <w:proofErr w:type="spellStart"/>
      <w:r w:rsidRPr="007F10C6">
        <w:rPr>
          <w:rFonts w:ascii="Times New Roman" w:eastAsia="Times New Roman" w:hAnsi="Times New Roman" w:cs="Times New Roman"/>
          <w:sz w:val="24"/>
          <w:szCs w:val="24"/>
        </w:rPr>
        <w:t>Kosmulski</w:t>
      </w:r>
      <w:proofErr w:type="spellEnd"/>
      <w:r w:rsidRPr="007F10C6">
        <w:rPr>
          <w:rFonts w:ascii="Times New Roman" w:eastAsia="Times New Roman" w:hAnsi="Times New Roman" w:cs="Times New Roman"/>
          <w:sz w:val="24"/>
          <w:szCs w:val="24"/>
        </w:rPr>
        <w:t xml:space="preserve"> (1994</w:t>
      </w:r>
      <w:proofErr w:type="gramStart"/>
      <w:r w:rsidRPr="007F10C6">
        <w:rPr>
          <w:rFonts w:ascii="Times New Roman" w:eastAsia="Times New Roman" w:hAnsi="Times New Roman" w:cs="Times New Roman"/>
          <w:sz w:val="24"/>
          <w:szCs w:val="24"/>
        </w:rPr>
        <w:t>a,b</w:t>
      </w:r>
      <w:proofErr w:type="gramEnd"/>
      <w:r w:rsidRPr="007F10C6">
        <w:rPr>
          <w:rFonts w:ascii="Times New Roman" w:eastAsia="Times New Roman" w:hAnsi="Times New Roman" w:cs="Times New Roman"/>
          <w:sz w:val="24"/>
          <w:szCs w:val="24"/>
        </w:rPr>
        <w:t>) noted that these entropy gains must be greater than the small, positive enthalpy of adsorption associated with</w:t>
      </w:r>
    </w:p>
    <w:p w:rsidR="007F10C6" w:rsidRPr="007F10C6" w:rsidRDefault="007F10C6" w:rsidP="007F10C6">
      <w:pPr>
        <w:spacing w:before="100" w:beforeAutospacing="1" w:after="100" w:afterAutospacing="1" w:line="240" w:lineRule="auto"/>
        <w:outlineLvl w:val="1"/>
        <w:rPr>
          <w:rFonts w:ascii="Times New Roman" w:eastAsia="Times New Roman" w:hAnsi="Times New Roman" w:cs="Times New Roman"/>
          <w:b/>
          <w:bCs/>
          <w:sz w:val="36"/>
          <w:szCs w:val="36"/>
        </w:rPr>
      </w:pPr>
      <w:r w:rsidRPr="007F10C6">
        <w:rPr>
          <w:rFonts w:ascii="Times New Roman" w:eastAsia="Times New Roman" w:hAnsi="Times New Roman" w:cs="Times New Roman"/>
          <w:b/>
          <w:bCs/>
          <w:sz w:val="36"/>
          <w:szCs w:val="36"/>
        </w:rPr>
        <w:t>Conclusions</w:t>
      </w:r>
    </w:p>
    <w:p w:rsidR="007F10C6" w:rsidRPr="007F10C6" w:rsidRDefault="007F10C6" w:rsidP="007F10C6">
      <w:pPr>
        <w:spacing w:before="100" w:beforeAutospacing="1" w:after="100" w:afterAutospacing="1"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 xml:space="preserve">Experimental measurements of surface charge density on silica show that the alkali chlorides promote increasing negative charge in the order LiCl ≈ NaCl &lt; </w:t>
      </w:r>
      <w:proofErr w:type="spellStart"/>
      <w:r w:rsidRPr="007F10C6">
        <w:rPr>
          <w:rFonts w:ascii="Times New Roman" w:eastAsia="Times New Roman" w:hAnsi="Times New Roman" w:cs="Times New Roman"/>
          <w:sz w:val="24"/>
          <w:szCs w:val="24"/>
        </w:rPr>
        <w:t>KCl</w:t>
      </w:r>
      <w:proofErr w:type="spellEnd"/>
      <w:r w:rsidRPr="007F10C6">
        <w:rPr>
          <w:rFonts w:ascii="Times New Roman" w:eastAsia="Times New Roman" w:hAnsi="Times New Roman" w:cs="Times New Roman"/>
          <w:sz w:val="24"/>
          <w:szCs w:val="24"/>
        </w:rPr>
        <w:t xml:space="preserve"> for 0.067 and 0.2 M solutions. This follows a “regular” lyotropic trend in agreement with relations reported elsewhere (Section 3.2). In contrast, silica surfaces exhibit an opposing trend in the presence of alkaline earth cations such that charge development increases with decreasing crystallographic radius where SrCl</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 xml:space="preserve"> &lt; BaCl</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 xml:space="preserve"> &lt; CaCl</w:t>
      </w:r>
      <w:r w:rsidRPr="007F10C6">
        <w:rPr>
          <w:rFonts w:ascii="Times New Roman" w:eastAsia="Times New Roman" w:hAnsi="Times New Roman" w:cs="Times New Roman"/>
          <w:sz w:val="24"/>
          <w:szCs w:val="24"/>
          <w:vertAlign w:val="subscript"/>
        </w:rPr>
        <w:t>2</w:t>
      </w:r>
      <w:r w:rsidRPr="007F10C6">
        <w:rPr>
          <w:rFonts w:ascii="Times New Roman" w:eastAsia="Times New Roman" w:hAnsi="Times New Roman" w:cs="Times New Roman"/>
          <w:sz w:val="24"/>
          <w:szCs w:val="24"/>
        </w:rPr>
        <w:t xml:space="preserve"> &lt;</w:t>
      </w:r>
    </w:p>
    <w:p w:rsidR="007F10C6" w:rsidRPr="007F10C6" w:rsidRDefault="007F10C6" w:rsidP="007F10C6">
      <w:pPr>
        <w:spacing w:before="100" w:beforeAutospacing="1" w:after="100" w:afterAutospacing="1" w:line="240" w:lineRule="auto"/>
        <w:outlineLvl w:val="1"/>
        <w:rPr>
          <w:rFonts w:ascii="Times New Roman" w:eastAsia="Times New Roman" w:hAnsi="Times New Roman" w:cs="Times New Roman"/>
          <w:b/>
          <w:bCs/>
          <w:sz w:val="36"/>
          <w:szCs w:val="36"/>
        </w:rPr>
      </w:pPr>
      <w:r w:rsidRPr="007F10C6">
        <w:rPr>
          <w:rFonts w:ascii="Times New Roman" w:eastAsia="Times New Roman" w:hAnsi="Times New Roman" w:cs="Times New Roman"/>
          <w:b/>
          <w:bCs/>
          <w:sz w:val="36"/>
          <w:szCs w:val="36"/>
        </w:rPr>
        <w:t>Acknowledgments</w:t>
      </w:r>
    </w:p>
    <w:p w:rsidR="007F10C6" w:rsidRPr="007F10C6" w:rsidRDefault="007F10C6" w:rsidP="007F10C6">
      <w:pPr>
        <w:spacing w:before="100" w:beforeAutospacing="1" w:after="100" w:afterAutospacing="1" w:line="240" w:lineRule="auto"/>
        <w:rPr>
          <w:rFonts w:ascii="Times New Roman" w:eastAsia="Times New Roman" w:hAnsi="Times New Roman" w:cs="Times New Roman"/>
          <w:sz w:val="24"/>
          <w:szCs w:val="24"/>
        </w:rPr>
      </w:pPr>
      <w:r w:rsidRPr="007F10C6">
        <w:rPr>
          <w:rFonts w:ascii="Times New Roman" w:eastAsia="Times New Roman" w:hAnsi="Times New Roman" w:cs="Times New Roman"/>
          <w:sz w:val="24"/>
          <w:szCs w:val="24"/>
        </w:rPr>
        <w:t xml:space="preserve">This research was supported by the U.S. Department of Energy project EMSP–FG07-01ER05123 and the National Science Foundation EAR-9903349. We thank Bill Casey and Magnus Karlsson for sharing expertise in how to conduct high-precision potentiometric titrations. We also thank Dimitri </w:t>
      </w:r>
      <w:proofErr w:type="spellStart"/>
      <w:r w:rsidRPr="007F10C6">
        <w:rPr>
          <w:rFonts w:ascii="Times New Roman" w:eastAsia="Times New Roman" w:hAnsi="Times New Roman" w:cs="Times New Roman"/>
          <w:sz w:val="24"/>
          <w:szCs w:val="24"/>
        </w:rPr>
        <w:t>Sverjensky</w:t>
      </w:r>
      <w:proofErr w:type="spellEnd"/>
      <w:r w:rsidRPr="007F10C6">
        <w:rPr>
          <w:rFonts w:ascii="Times New Roman" w:eastAsia="Times New Roman" w:hAnsi="Times New Roman" w:cs="Times New Roman"/>
          <w:sz w:val="24"/>
          <w:szCs w:val="24"/>
        </w:rPr>
        <w:t xml:space="preserve"> for insightful comments on an earlier draft of this work.</w:t>
      </w:r>
    </w:p>
    <w:p w:rsidR="00BA4C50" w:rsidRDefault="00BA4C50"/>
    <w:sectPr w:rsidR="00BA4C50">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10C6"/>
    <w:rsid w:val="007F10C6"/>
    <w:rsid w:val="00BA4C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DF7BAB"/>
  <w15:chartTrackingRefBased/>
  <w15:docId w15:val="{0BF42CAD-0606-4FF9-BB96-EFC55B4D0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87604784">
      <w:bodyDiv w:val="1"/>
      <w:marLeft w:val="0"/>
      <w:marRight w:val="0"/>
      <w:marTop w:val="0"/>
      <w:marBottom w:val="0"/>
      <w:divBdr>
        <w:top w:val="none" w:sz="0" w:space="0" w:color="auto"/>
        <w:left w:val="none" w:sz="0" w:space="0" w:color="auto"/>
        <w:bottom w:val="none" w:sz="0" w:space="0" w:color="auto"/>
        <w:right w:val="none" w:sz="0" w:space="0" w:color="auto"/>
      </w:divBdr>
      <w:divsChild>
        <w:div w:id="827403765">
          <w:marLeft w:val="0"/>
          <w:marRight w:val="0"/>
          <w:marTop w:val="0"/>
          <w:marBottom w:val="0"/>
          <w:divBdr>
            <w:top w:val="none" w:sz="0" w:space="0" w:color="auto"/>
            <w:left w:val="none" w:sz="0" w:space="0" w:color="auto"/>
            <w:bottom w:val="none" w:sz="0" w:space="0" w:color="auto"/>
            <w:right w:val="none" w:sz="0" w:space="0" w:color="auto"/>
          </w:divBdr>
          <w:divsChild>
            <w:div w:id="1329557643">
              <w:marLeft w:val="0"/>
              <w:marRight w:val="0"/>
              <w:marTop w:val="0"/>
              <w:marBottom w:val="0"/>
              <w:divBdr>
                <w:top w:val="none" w:sz="0" w:space="0" w:color="auto"/>
                <w:left w:val="none" w:sz="0" w:space="0" w:color="auto"/>
                <w:bottom w:val="none" w:sz="0" w:space="0" w:color="auto"/>
                <w:right w:val="none" w:sz="0" w:space="0" w:color="auto"/>
              </w:divBdr>
              <w:divsChild>
                <w:div w:id="1644119957">
                  <w:marLeft w:val="0"/>
                  <w:marRight w:val="0"/>
                  <w:marTop w:val="0"/>
                  <w:marBottom w:val="0"/>
                  <w:divBdr>
                    <w:top w:val="none" w:sz="0" w:space="0" w:color="auto"/>
                    <w:left w:val="none" w:sz="0" w:space="0" w:color="auto"/>
                    <w:bottom w:val="none" w:sz="0" w:space="0" w:color="auto"/>
                    <w:right w:val="none" w:sz="0" w:space="0" w:color="auto"/>
                  </w:divBdr>
                  <w:divsChild>
                    <w:div w:id="1207982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0990997">
          <w:marLeft w:val="0"/>
          <w:marRight w:val="0"/>
          <w:marTop w:val="0"/>
          <w:marBottom w:val="0"/>
          <w:divBdr>
            <w:top w:val="none" w:sz="0" w:space="0" w:color="auto"/>
            <w:left w:val="none" w:sz="0" w:space="0" w:color="auto"/>
            <w:bottom w:val="none" w:sz="0" w:space="0" w:color="auto"/>
            <w:right w:val="none" w:sz="0" w:space="0" w:color="auto"/>
          </w:divBdr>
          <w:divsChild>
            <w:div w:id="1343166897">
              <w:marLeft w:val="0"/>
              <w:marRight w:val="0"/>
              <w:marTop w:val="0"/>
              <w:marBottom w:val="0"/>
              <w:divBdr>
                <w:top w:val="none" w:sz="0" w:space="0" w:color="auto"/>
                <w:left w:val="none" w:sz="0" w:space="0" w:color="auto"/>
                <w:bottom w:val="none" w:sz="0" w:space="0" w:color="auto"/>
                <w:right w:val="none" w:sz="0" w:space="0" w:color="auto"/>
              </w:divBdr>
              <w:divsChild>
                <w:div w:id="534344914">
                  <w:marLeft w:val="0"/>
                  <w:marRight w:val="0"/>
                  <w:marTop w:val="0"/>
                  <w:marBottom w:val="0"/>
                  <w:divBdr>
                    <w:top w:val="none" w:sz="0" w:space="0" w:color="auto"/>
                    <w:left w:val="none" w:sz="0" w:space="0" w:color="auto"/>
                    <w:bottom w:val="none" w:sz="0" w:space="0" w:color="auto"/>
                    <w:right w:val="none" w:sz="0" w:space="0" w:color="auto"/>
                  </w:divBdr>
                  <w:divsChild>
                    <w:div w:id="487094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659957">
          <w:marLeft w:val="0"/>
          <w:marRight w:val="0"/>
          <w:marTop w:val="0"/>
          <w:marBottom w:val="0"/>
          <w:divBdr>
            <w:top w:val="none" w:sz="0" w:space="0" w:color="auto"/>
            <w:left w:val="none" w:sz="0" w:space="0" w:color="auto"/>
            <w:bottom w:val="none" w:sz="0" w:space="0" w:color="auto"/>
            <w:right w:val="none" w:sz="0" w:space="0" w:color="auto"/>
          </w:divBdr>
          <w:divsChild>
            <w:div w:id="2007829734">
              <w:marLeft w:val="0"/>
              <w:marRight w:val="0"/>
              <w:marTop w:val="0"/>
              <w:marBottom w:val="0"/>
              <w:divBdr>
                <w:top w:val="none" w:sz="0" w:space="0" w:color="auto"/>
                <w:left w:val="none" w:sz="0" w:space="0" w:color="auto"/>
                <w:bottom w:val="none" w:sz="0" w:space="0" w:color="auto"/>
                <w:right w:val="none" w:sz="0" w:space="0" w:color="auto"/>
              </w:divBdr>
            </w:div>
          </w:divsChild>
        </w:div>
        <w:div w:id="1791046644">
          <w:marLeft w:val="0"/>
          <w:marRight w:val="0"/>
          <w:marTop w:val="0"/>
          <w:marBottom w:val="0"/>
          <w:divBdr>
            <w:top w:val="none" w:sz="0" w:space="0" w:color="auto"/>
            <w:left w:val="none" w:sz="0" w:space="0" w:color="auto"/>
            <w:bottom w:val="none" w:sz="0" w:space="0" w:color="auto"/>
            <w:right w:val="none" w:sz="0" w:space="0" w:color="auto"/>
          </w:divBdr>
          <w:divsChild>
            <w:div w:id="885724651">
              <w:marLeft w:val="0"/>
              <w:marRight w:val="0"/>
              <w:marTop w:val="0"/>
              <w:marBottom w:val="0"/>
              <w:divBdr>
                <w:top w:val="none" w:sz="0" w:space="0" w:color="auto"/>
                <w:left w:val="none" w:sz="0" w:space="0" w:color="auto"/>
                <w:bottom w:val="none" w:sz="0" w:space="0" w:color="auto"/>
                <w:right w:val="none" w:sz="0" w:space="0" w:color="auto"/>
              </w:divBdr>
            </w:div>
          </w:divsChild>
        </w:div>
        <w:div w:id="1349680280">
          <w:marLeft w:val="0"/>
          <w:marRight w:val="0"/>
          <w:marTop w:val="0"/>
          <w:marBottom w:val="0"/>
          <w:divBdr>
            <w:top w:val="none" w:sz="0" w:space="0" w:color="auto"/>
            <w:left w:val="none" w:sz="0" w:space="0" w:color="auto"/>
            <w:bottom w:val="none" w:sz="0" w:space="0" w:color="auto"/>
            <w:right w:val="none" w:sz="0" w:space="0" w:color="auto"/>
          </w:divBdr>
          <w:divsChild>
            <w:div w:id="960724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i.org/10.1016/j.gca.2005.05.00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1987</Words>
  <Characters>11332</Characters>
  <Application>Microsoft Office Word</Application>
  <DocSecurity>0</DocSecurity>
  <Lines>94</Lines>
  <Paragraphs>26</Paragraphs>
  <ScaleCrop>false</ScaleCrop>
  <Company/>
  <LinksUpToDate>false</LinksUpToDate>
  <CharactersWithSpaces>13293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2023-11-11T07:15:00Z</dcterms:created>
  <dcterms:modified xsi:type="dcterms:W3CDTF">2023-11-11T07:16:00Z</dcterms:modified>
</cp:coreProperties>
</file>