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C094C" w:rsidRPr="00CC094C" w:rsidRDefault="00CC094C" w:rsidP="00CC094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CC094C">
        <w:rPr>
          <w:rFonts w:ascii="Times New Roman" w:eastAsia="Times New Roman" w:hAnsi="Times New Roman" w:cs="Times New Roman"/>
          <w:b/>
          <w:bCs/>
          <w:kern w:val="36"/>
          <w:sz w:val="48"/>
          <w:szCs w:val="48"/>
        </w:rPr>
        <w:t>A model for oxygen and sulfur isotope fractionation in sulfate during bacterial sulfate reduction processes</w:t>
      </w:r>
    </w:p>
    <w:p w:rsidR="00CC094C" w:rsidRPr="00CC094C" w:rsidRDefault="00CC094C" w:rsidP="00CC094C">
      <w:pPr>
        <w:spacing w:after="0"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Author links open overlay panel</w:t>
      </w:r>
    </w:p>
    <w:p w:rsidR="00CC094C" w:rsidRPr="00CC094C" w:rsidRDefault="00CC094C" w:rsidP="00CC094C">
      <w:pPr>
        <w:spacing w:after="0"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 </w:t>
      </w:r>
      <w:bookmarkStart w:id="0" w:name="baep-author-id13-profile"/>
      <w:r w:rsidRPr="00CC094C">
        <w:rPr>
          <w:rFonts w:ascii="Times New Roman" w:eastAsia="Times New Roman" w:hAnsi="Times New Roman" w:cs="Times New Roman"/>
          <w:sz w:val="24"/>
          <w:szCs w:val="24"/>
        </w:rPr>
        <w:fldChar w:fldCharType="begin"/>
      </w:r>
      <w:r w:rsidRPr="00CC094C">
        <w:rPr>
          <w:rFonts w:ascii="Times New Roman" w:eastAsia="Times New Roman" w:hAnsi="Times New Roman" w:cs="Times New Roman"/>
          <w:sz w:val="24"/>
          <w:szCs w:val="24"/>
        </w:rPr>
        <w:instrText xml:space="preserve"> HYPERLINK "https://www.sciencedirect.com/author/57211217733/stefano-m-bernasconi" </w:instrText>
      </w:r>
      <w:r w:rsidRPr="00CC094C">
        <w:rPr>
          <w:rFonts w:ascii="Times New Roman" w:eastAsia="Times New Roman" w:hAnsi="Times New Roman" w:cs="Times New Roman"/>
          <w:sz w:val="24"/>
          <w:szCs w:val="24"/>
        </w:rPr>
        <w:fldChar w:fldCharType="separate"/>
      </w:r>
      <w:r w:rsidRPr="00CC094C">
        <w:rPr>
          <w:rFonts w:ascii="Times New Roman" w:eastAsia="Times New Roman" w:hAnsi="Times New Roman" w:cs="Times New Roman"/>
          <w:color w:val="0000FF"/>
          <w:sz w:val="24"/>
          <w:szCs w:val="24"/>
          <w:u w:val="single"/>
        </w:rPr>
        <w:t xml:space="preserve">Stefano M. </w:t>
      </w:r>
      <w:proofErr w:type="spellStart"/>
      <w:r w:rsidRPr="00CC094C">
        <w:rPr>
          <w:rFonts w:ascii="Times New Roman" w:eastAsia="Times New Roman" w:hAnsi="Times New Roman" w:cs="Times New Roman"/>
          <w:color w:val="0000FF"/>
          <w:sz w:val="24"/>
          <w:szCs w:val="24"/>
          <w:u w:val="single"/>
        </w:rPr>
        <w:t>Bernasconi</w:t>
      </w:r>
      <w:proofErr w:type="spellEnd"/>
      <w:r w:rsidRPr="00CC094C">
        <w:rPr>
          <w:rFonts w:ascii="Times New Roman" w:eastAsia="Times New Roman" w:hAnsi="Times New Roman" w:cs="Times New Roman"/>
          <w:color w:val="0000FF"/>
          <w:sz w:val="24"/>
          <w:szCs w:val="24"/>
          <w:u w:val="single"/>
        </w:rPr>
        <w:t xml:space="preserve"> </w:t>
      </w:r>
      <w:r w:rsidRPr="00CC094C">
        <w:rPr>
          <w:rFonts w:ascii="Times New Roman" w:eastAsia="Times New Roman" w:hAnsi="Times New Roman" w:cs="Times New Roman"/>
          <w:color w:val="0000FF"/>
          <w:sz w:val="24"/>
          <w:szCs w:val="24"/>
          <w:u w:val="single"/>
          <w:vertAlign w:val="superscript"/>
        </w:rPr>
        <w:t>1</w:t>
      </w:r>
      <w:r w:rsidRPr="00CC094C">
        <w:rPr>
          <w:rFonts w:ascii="Times New Roman" w:eastAsia="Times New Roman" w:hAnsi="Times New Roman" w:cs="Times New Roman"/>
          <w:sz w:val="24"/>
          <w:szCs w:val="24"/>
        </w:rPr>
        <w:fldChar w:fldCharType="end"/>
      </w:r>
      <w:bookmarkEnd w:id="0"/>
      <w:r w:rsidRPr="00CC094C">
        <w:rPr>
          <w:rFonts w:ascii="Times New Roman" w:eastAsia="Times New Roman" w:hAnsi="Times New Roman" w:cs="Times New Roman"/>
          <w:sz w:val="24"/>
          <w:szCs w:val="24"/>
        </w:rPr>
        <w:t xml:space="preserve">, , </w:t>
      </w:r>
    </w:p>
    <w:p w:rsidR="00CC094C" w:rsidRPr="00CC094C" w:rsidRDefault="00CC094C" w:rsidP="00CC094C">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CC094C">
          <w:rPr>
            <w:rFonts w:ascii="Times New Roman" w:eastAsia="Times New Roman" w:hAnsi="Times New Roman" w:cs="Times New Roman"/>
            <w:color w:val="0000FF"/>
            <w:sz w:val="24"/>
            <w:szCs w:val="24"/>
            <w:u w:val="single"/>
          </w:rPr>
          <w:t>https://doi.org/10.1016/j.gca.2005.04.017</w:t>
        </w:r>
      </w:hyperlink>
      <w:bookmarkStart w:id="1" w:name="_GoBack"/>
      <w:bookmarkEnd w:id="1"/>
      <w:r w:rsidRPr="00CC094C">
        <w:rPr>
          <w:rFonts w:ascii="Times New Roman" w:eastAsia="Times New Roman" w:hAnsi="Times New Roman" w:cs="Times New Roman"/>
          <w:sz w:val="24"/>
          <w:szCs w:val="24"/>
        </w:rPr>
        <w:t xml:space="preserve"> </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Abstract</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We present a model of bacterial sulfate reduction that includes equations describing the fractionation relationship between the sulfur and the oxygen isotope composition of residual sulfate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and the amount of residual sulfate. The model is based exclusively on oxygen isotope exchange between cell-internal </w:t>
      </w:r>
      <w:hyperlink r:id="rId6" w:tooltip="Learn more about sulfur compounds from ScienceDirect's AI-generated Topic Pages" w:history="1">
        <w:r w:rsidRPr="00CC094C">
          <w:rPr>
            <w:rFonts w:ascii="Times New Roman" w:eastAsia="Times New Roman" w:hAnsi="Times New Roman" w:cs="Times New Roman"/>
            <w:color w:val="0000FF"/>
            <w:sz w:val="24"/>
            <w:szCs w:val="24"/>
            <w:u w:val="single"/>
          </w:rPr>
          <w:t>sulfur compounds</w:t>
        </w:r>
      </w:hyperlink>
      <w:r w:rsidRPr="00CC094C">
        <w:rPr>
          <w:rFonts w:ascii="Times New Roman" w:eastAsia="Times New Roman" w:hAnsi="Times New Roman" w:cs="Times New Roman"/>
          <w:sz w:val="24"/>
          <w:szCs w:val="24"/>
        </w:rPr>
        <w:t xml:space="preserve"> and ambient water as the dominating mechanism controlling oxygen isotope fractionation processes. We show that our model explains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patterns observed from natural environments and from laboratory experiments, whereas other models, favoring kinetic isotope fractionation processes as dominant process, fail to explain many (but not all) observed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patterns. Moreover, we show that a “typical”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slope does not exist. We postulate that measurements of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and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can be used as a tool to determine cell-specific sulfate reduction rates, oxygen isotope exchange rates, and equilibrium oxygen isotope exchange factors. Data from culture experiments are used to determine the range of </w:t>
      </w:r>
      <w:hyperlink r:id="rId7" w:tooltip="Learn more about sulfur isotope from ScienceDirect's AI-generated Topic Pages" w:history="1">
        <w:r w:rsidRPr="00CC094C">
          <w:rPr>
            <w:rFonts w:ascii="Times New Roman" w:eastAsia="Times New Roman" w:hAnsi="Times New Roman" w:cs="Times New Roman"/>
            <w:color w:val="0000FF"/>
            <w:sz w:val="24"/>
            <w:szCs w:val="24"/>
            <w:u w:val="single"/>
          </w:rPr>
          <w:t>sulfur isotope</w:t>
        </w:r>
      </w:hyperlink>
      <w:r w:rsidRPr="00CC094C">
        <w:rPr>
          <w:rFonts w:ascii="Times New Roman" w:eastAsia="Times New Roman" w:hAnsi="Times New Roman" w:cs="Times New Roman"/>
          <w:sz w:val="24"/>
          <w:szCs w:val="24"/>
        </w:rPr>
        <w:t xml:space="preserve"> fractionation factors in which a simplified set of equations can be used. Numerical examples demonstrate the application of the equations. We postulate that, during denitrification, the oxygen isotope effects in residual nitrate are also the result of oxygen isotope exchange with ambient water. Consequently, the equations for the relationship between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and the amount of residual sulfate could be modified and used to calculate the fractionation-relationship between δ</w:t>
      </w:r>
      <w:r w:rsidRPr="00CC094C">
        <w:rPr>
          <w:rFonts w:ascii="Times New Roman" w:eastAsia="Times New Roman" w:hAnsi="Times New Roman" w:cs="Times New Roman"/>
          <w:sz w:val="24"/>
          <w:szCs w:val="24"/>
          <w:vertAlign w:val="superscript"/>
        </w:rPr>
        <w:t>15</w:t>
      </w:r>
      <w:r w:rsidRPr="00CC094C">
        <w:rPr>
          <w:rFonts w:ascii="Times New Roman" w:eastAsia="Times New Roman" w:hAnsi="Times New Roman" w:cs="Times New Roman"/>
          <w:sz w:val="24"/>
          <w:szCs w:val="24"/>
        </w:rPr>
        <w:t>N</w:t>
      </w:r>
      <w:r w:rsidRPr="00CC094C">
        <w:rPr>
          <w:rFonts w:ascii="Times New Roman" w:eastAsia="Times New Roman" w:hAnsi="Times New Roman" w:cs="Times New Roman"/>
          <w:sz w:val="24"/>
          <w:szCs w:val="24"/>
          <w:vertAlign w:val="subscript"/>
        </w:rPr>
        <w:t>NO3_residual</w:t>
      </w:r>
      <w:r w:rsidRPr="00CC094C">
        <w:rPr>
          <w:rFonts w:ascii="Times New Roman" w:eastAsia="Times New Roman" w:hAnsi="Times New Roman" w:cs="Times New Roman"/>
          <w:sz w:val="24"/>
          <w:szCs w:val="24"/>
        </w:rPr>
        <w: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NO3_residual</w:t>
      </w:r>
      <w:r w:rsidRPr="00CC094C">
        <w:rPr>
          <w:rFonts w:ascii="Times New Roman" w:eastAsia="Times New Roman" w:hAnsi="Times New Roman" w:cs="Times New Roman"/>
          <w:sz w:val="24"/>
          <w:szCs w:val="24"/>
        </w:rPr>
        <w:t>, and the amount of residual nitrate during denitrification.</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Introduction</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The investigation of the mechanisms by which sulfate-reducing bacteria cause isotope effects in residual sulfate provides information on the pathways of dissimilatory sulfate reduction and on the relationship between sulfate reduction rates and sulfur and oxygen isotope effects. Although the analysis of sulfur isotope fractionation alone is of limited use for the determination of cell specific sulfate reduction rates (</w:t>
      </w:r>
      <w:proofErr w:type="spellStart"/>
      <w:r w:rsidRPr="00CC094C">
        <w:rPr>
          <w:rFonts w:ascii="Times New Roman" w:eastAsia="Times New Roman" w:hAnsi="Times New Roman" w:cs="Times New Roman"/>
          <w:sz w:val="24"/>
          <w:szCs w:val="24"/>
        </w:rPr>
        <w:t>Detmers</w:t>
      </w:r>
      <w:proofErr w:type="spellEnd"/>
      <w:r w:rsidRPr="00CC094C">
        <w:rPr>
          <w:rFonts w:ascii="Times New Roman" w:eastAsia="Times New Roman" w:hAnsi="Times New Roman" w:cs="Times New Roman"/>
          <w:sz w:val="24"/>
          <w:szCs w:val="24"/>
        </w:rPr>
        <w:t xml:space="preserve"> et al., 2001), a combined investigation of sulfur and oxygen isotope effects on residual sulfate could be the key to a better understanding of cell-specific sulfate reduction rates (</w:t>
      </w:r>
      <w:proofErr w:type="spellStart"/>
      <w:r w:rsidRPr="00CC094C">
        <w:rPr>
          <w:rFonts w:ascii="Times New Roman" w:eastAsia="Times New Roman" w:hAnsi="Times New Roman" w:cs="Times New Roman"/>
          <w:sz w:val="24"/>
          <w:szCs w:val="24"/>
        </w:rPr>
        <w:t>sSRR</w:t>
      </w:r>
      <w:proofErr w:type="spellEnd"/>
      <w:r w:rsidRPr="00CC094C">
        <w:rPr>
          <w:rFonts w:ascii="Times New Roman" w:eastAsia="Times New Roman" w:hAnsi="Times New Roman" w:cs="Times New Roman"/>
          <w:sz w:val="24"/>
          <w:szCs w:val="24"/>
        </w:rPr>
        <w:t xml:space="preserve">, rate of sulfate reduction per bacterium). Such an approach has been suggested by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1998,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1999, who proposed that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relationships directly reflect sulfate reduction rates in marine sediments. The goal of this paper is to establish a mathematical framework for the investigation of dissimilatory sulfate reduction, in particular for the relationship between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sulfate reduction rates, oxygen isotope exchange rates with ambient water, and sulfur isotope fractionation factors.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lastRenderedPageBreak/>
        <w:t>In the first part of this paper, we discuss potential oxygen isotope effects caused by bacterial sulfate reducers. We then review two proposed mechanisms for the explanation of observed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relationships: a model that postulates a predominance of kinetic oxygen isotope fractionation steps linked to different sulfate reduction steps and a model postulating a predominance of oxygen isotope exchange between cell-internal sulfur compounds and ambient water. We conclude that the second model best explains the observations from natural environments and experimental data. In a second part, we establish a reaction scheme for dissimilatory sulfate reduction that involves oxygen isotope exchange between cell-internal sulfur compounds and ambient water. We present the results of experiments with sulfate-reducing bacteria that were performed to evaluate the importance of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cell-internal sulfur compounds. These results allow us to discriminate a “general case” in which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cell-internal sulfite occurs, from a “special case,” where no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cell-internal sulfite takes place. For both cases, we develop mathematical equations relating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sulfate reduction rates, oxygen isotope exchange rates with ambient water, and sulfur isotope fractionation factors. In a third part, we use numerical examples to demonstrate that our model explains the observed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relationships and that it can be used as a powerful tool to tackle unresolved questions about dissimilatory sulfate reduction, such as the determination of cell-specific sulfate reduction rates, oxygen isotope exchange rates, and equilibrium oxygen isotope exchange factors. Finally, we speculate that our sulfate reduction model could be applied to explain oxygen isotope effects in residual nitrate affected by dissimilatory nitrate reduction (denitrification). We show that, during bacterial denitrification, oxygen isotope exchange between cell-internal nitrogen compounds and ambient water might be controlling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NO3_residual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15</w:t>
      </w:r>
      <w:r w:rsidRPr="00CC094C">
        <w:rPr>
          <w:rFonts w:ascii="Times New Roman" w:eastAsia="Times New Roman" w:hAnsi="Times New Roman" w:cs="Times New Roman"/>
          <w:sz w:val="24"/>
          <w:szCs w:val="24"/>
        </w:rPr>
        <w:t>N</w:t>
      </w:r>
      <w:r w:rsidRPr="00CC094C">
        <w:rPr>
          <w:rFonts w:ascii="Times New Roman" w:eastAsia="Times New Roman" w:hAnsi="Times New Roman" w:cs="Times New Roman"/>
          <w:sz w:val="24"/>
          <w:szCs w:val="24"/>
          <w:vertAlign w:val="subscript"/>
        </w:rPr>
        <w:t>NO3_residual</w:t>
      </w:r>
      <w:r w:rsidRPr="00CC094C">
        <w:rPr>
          <w:rFonts w:ascii="Times New Roman" w:eastAsia="Times New Roman" w:hAnsi="Times New Roman" w:cs="Times New Roman"/>
          <w:sz w:val="24"/>
          <w:szCs w:val="24"/>
        </w:rPr>
        <w:t xml:space="preserve"> relationships.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Under normal earth surface conditions (intermediate pH and temperatures below 50°C), oxygen isotope exchange of sulfate with ambient water is extremely slow (Chiba and Sakai, 1985) and does not directly influence the oxygen isotope composition of sulfate. In natural environments,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 xml:space="preserve">O of sulfate is strongly influenced by microbial sulfate reduction and by disproportionation and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reduced sulfur compounds (Ku et al 1999,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and </w:t>
      </w:r>
      <w:proofErr w:type="spellStart"/>
      <w:r w:rsidRPr="00CC094C">
        <w:rPr>
          <w:rFonts w:ascii="Times New Roman" w:eastAsia="Times New Roman" w:hAnsi="Times New Roman" w:cs="Times New Roman"/>
          <w:sz w:val="24"/>
          <w:szCs w:val="24"/>
        </w:rPr>
        <w:t>Thamdrup</w:t>
      </w:r>
      <w:proofErr w:type="spellEnd"/>
      <w:r w:rsidRPr="00CC094C">
        <w:rPr>
          <w:rFonts w:ascii="Times New Roman" w:eastAsia="Times New Roman" w:hAnsi="Times New Roman" w:cs="Times New Roman"/>
          <w:sz w:val="24"/>
          <w:szCs w:val="24"/>
        </w:rPr>
        <w:t xml:space="preserve"> 2001,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2001, Lu et al 2001,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2003). In interstitial waters of marine sediments, changes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of up to +17‰ (starting from a seawater sulfate value around 9.6‰) have been observed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1998,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1999, Ku et al 1999,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2000,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2003) and from the anoxic </w:t>
      </w:r>
      <w:proofErr w:type="spellStart"/>
      <w:r w:rsidRPr="00CC094C">
        <w:rPr>
          <w:rFonts w:ascii="Times New Roman" w:eastAsia="Times New Roman" w:hAnsi="Times New Roman" w:cs="Times New Roman"/>
          <w:sz w:val="24"/>
          <w:szCs w:val="24"/>
        </w:rPr>
        <w:t>Framvaren</w:t>
      </w:r>
      <w:proofErr w:type="spellEnd"/>
      <w:r w:rsidRPr="00CC094C">
        <w:rPr>
          <w:rFonts w:ascii="Times New Roman" w:eastAsia="Times New Roman" w:hAnsi="Times New Roman" w:cs="Times New Roman"/>
          <w:sz w:val="24"/>
          <w:szCs w:val="24"/>
        </w:rPr>
        <w:t xml:space="preserve"> Fjord, </w:t>
      </w:r>
      <w:proofErr w:type="spellStart"/>
      <w:r w:rsidRPr="00CC094C">
        <w:rPr>
          <w:rFonts w:ascii="Times New Roman" w:eastAsia="Times New Roman" w:hAnsi="Times New Roman" w:cs="Times New Roman"/>
          <w:sz w:val="24"/>
          <w:szCs w:val="24"/>
        </w:rPr>
        <w:t>Mandernack</w:t>
      </w:r>
      <w:proofErr w:type="spellEnd"/>
      <w:r w:rsidRPr="00CC094C">
        <w:rPr>
          <w:rFonts w:ascii="Times New Roman" w:eastAsia="Times New Roman" w:hAnsi="Times New Roman" w:cs="Times New Roman"/>
          <w:sz w:val="24"/>
          <w:szCs w:val="24"/>
        </w:rPr>
        <w:t xml:space="preserve"> et al. (2003) report an enrichment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sulfate from 10.4‰ to 15.5‰.</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Despite the commonly accepted scheme for the pathway of dissimilatory sulfate reduction by sulfate-reducing bacteria (Rees 1973, </w:t>
      </w:r>
      <w:proofErr w:type="spellStart"/>
      <w:r w:rsidRPr="00CC094C">
        <w:rPr>
          <w:rFonts w:ascii="Times New Roman" w:eastAsia="Times New Roman" w:hAnsi="Times New Roman" w:cs="Times New Roman"/>
          <w:sz w:val="24"/>
          <w:szCs w:val="24"/>
        </w:rPr>
        <w:t>Habicht</w:t>
      </w:r>
      <w:proofErr w:type="spellEnd"/>
      <w:r w:rsidRPr="00CC094C">
        <w:rPr>
          <w:rFonts w:ascii="Times New Roman" w:eastAsia="Times New Roman" w:hAnsi="Times New Roman" w:cs="Times New Roman"/>
          <w:sz w:val="24"/>
          <w:szCs w:val="24"/>
        </w:rPr>
        <w:t xml:space="preserve"> and Canfield 1997; for a revision see Brunner and </w:t>
      </w:r>
      <w:proofErr w:type="spellStart"/>
      <w:r w:rsidRPr="00CC094C">
        <w:rPr>
          <w:rFonts w:ascii="Times New Roman" w:eastAsia="Times New Roman" w:hAnsi="Times New Roman" w:cs="Times New Roman"/>
          <w:sz w:val="24"/>
          <w:szCs w:val="24"/>
        </w:rPr>
        <w:t>Bernasconi</w:t>
      </w:r>
      <w:proofErr w:type="spellEnd"/>
      <w:r w:rsidRPr="00CC094C">
        <w:rPr>
          <w:rFonts w:ascii="Times New Roman" w:eastAsia="Times New Roman" w:hAnsi="Times New Roman" w:cs="Times New Roman"/>
          <w:sz w:val="24"/>
          <w:szCs w:val="24"/>
        </w:rPr>
        <w:t>, 2005), the mechanisms controlling the oxygen isotope fractionation during the reduction process are still a matter of debate. In spite of the extremely slow oxygen isotope exchange of sulfate with ambient water, laboratory experiments have shown that changes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obviously depend on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ambient water (</w:t>
      </w:r>
      <w:proofErr w:type="spellStart"/>
      <w:r w:rsidRPr="00CC094C">
        <w:rPr>
          <w:rFonts w:ascii="Times New Roman" w:eastAsia="Times New Roman" w:hAnsi="Times New Roman" w:cs="Times New Roman"/>
          <w:sz w:val="24"/>
          <w:szCs w:val="24"/>
        </w:rPr>
        <w:t>Mizutani</w:t>
      </w:r>
      <w:proofErr w:type="spellEnd"/>
      <w:r w:rsidRPr="00CC094C">
        <w:rPr>
          <w:rFonts w:ascii="Times New Roman" w:eastAsia="Times New Roman" w:hAnsi="Times New Roman" w:cs="Times New Roman"/>
          <w:sz w:val="24"/>
          <w:szCs w:val="24"/>
        </w:rPr>
        <w:t xml:space="preserve"> and Rafter 1973, Fritz et al 1989). </w:t>
      </w:r>
      <w:proofErr w:type="spellStart"/>
      <w:r w:rsidRPr="00CC094C">
        <w:rPr>
          <w:rFonts w:ascii="Times New Roman" w:eastAsia="Times New Roman" w:hAnsi="Times New Roman" w:cs="Times New Roman"/>
          <w:sz w:val="24"/>
          <w:szCs w:val="24"/>
        </w:rPr>
        <w:t>Mizutani</w:t>
      </w:r>
      <w:proofErr w:type="spellEnd"/>
      <w:r w:rsidRPr="00CC094C">
        <w:rPr>
          <w:rFonts w:ascii="Times New Roman" w:eastAsia="Times New Roman" w:hAnsi="Times New Roman" w:cs="Times New Roman"/>
          <w:sz w:val="24"/>
          <w:szCs w:val="24"/>
        </w:rPr>
        <w:t xml:space="preserve"> and Rafter (1973) and Fritz et al. (1989) concluded that, therefore, during bacterial sulfate reduction, intermediate sulfur compounds (i.e., sulfite or sulfate activated by the enzyme ATP sulfurylase to form adenosine </w:t>
      </w:r>
      <w:proofErr w:type="spellStart"/>
      <w:r w:rsidRPr="00CC094C">
        <w:rPr>
          <w:rFonts w:ascii="Times New Roman" w:eastAsia="Times New Roman" w:hAnsi="Times New Roman" w:cs="Times New Roman"/>
          <w:sz w:val="24"/>
          <w:szCs w:val="24"/>
        </w:rPr>
        <w:t>phosphosulfate</w:t>
      </w:r>
      <w:proofErr w:type="spellEnd"/>
      <w:r w:rsidRPr="00CC094C">
        <w:rPr>
          <w:rFonts w:ascii="Times New Roman" w:eastAsia="Times New Roman" w:hAnsi="Times New Roman" w:cs="Times New Roman"/>
          <w:sz w:val="24"/>
          <w:szCs w:val="24"/>
        </w:rPr>
        <w:t xml:space="preserve"> (APS)) do exchange oxygen with ambient water. Consequently, the overall oxygen isotope effect in residual sulfate by an individual sulfate-reducing bacterium is a combination of (Fig. 1): </w:t>
      </w:r>
    </w:p>
    <w:p w:rsidR="00CC094C" w:rsidRPr="00CC094C" w:rsidRDefault="00CC094C" w:rsidP="00CC094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Kinetic forward and backward isotope fractionation steps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f_i</w:t>
      </w:r>
      <w:r w:rsidRPr="00CC094C">
        <w:rPr>
          <w:rFonts w:ascii="Times New Roman" w:eastAsia="Times New Roman" w:hAnsi="Times New Roman" w:cs="Times New Roman"/>
          <w:sz w:val="24"/>
          <w:szCs w:val="24"/>
        </w:rPr>
        <w:t xml:space="preserve"> and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b_i</w:t>
      </w:r>
      <w:r w:rsidRPr="00CC094C">
        <w:rPr>
          <w:rFonts w:ascii="Times New Roman" w:eastAsia="Times New Roman" w:hAnsi="Times New Roman" w:cs="Times New Roman"/>
          <w:sz w:val="24"/>
          <w:szCs w:val="24"/>
        </w:rPr>
        <w:t>).</w:t>
      </w:r>
    </w:p>
    <w:p w:rsidR="00CC094C" w:rsidRPr="00CC094C" w:rsidRDefault="00CC094C" w:rsidP="00CC094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lastRenderedPageBreak/>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Oxygen isotope exchange between intermediate sulfur compounds with ambient water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H2O</w:t>
      </w:r>
      <w:r w:rsidRPr="00CC094C">
        <w:rPr>
          <w:rFonts w:ascii="Times New Roman" w:eastAsia="Times New Roman" w:hAnsi="Times New Roman" w:cs="Times New Roman"/>
          <w:sz w:val="24"/>
          <w:szCs w:val="24"/>
        </w:rPr>
        <w:t>). This exchange (no net flux) of oxygen isotopes is strictly bidirectional, therefore, the fractionation involved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ex</w:t>
      </w:r>
      <w:r w:rsidRPr="00CC094C">
        <w:rPr>
          <w:rFonts w:ascii="Times New Roman" w:eastAsia="Times New Roman" w:hAnsi="Times New Roman" w:cs="Times New Roman"/>
          <w:sz w:val="24"/>
          <w:szCs w:val="24"/>
        </w:rPr>
        <w:t>) is an equilibrium isotope fractionation.</w:t>
      </w:r>
    </w:p>
    <w:p w:rsidR="00CC094C" w:rsidRPr="00CC094C" w:rsidRDefault="00CC094C" w:rsidP="00CC094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Oxygen isotope effects during backward reactions (i.e. flux b</w:t>
      </w:r>
      <w:r w:rsidRPr="00CC094C">
        <w:rPr>
          <w:rFonts w:ascii="Times New Roman" w:eastAsia="Times New Roman" w:hAnsi="Times New Roman" w:cs="Times New Roman"/>
          <w:sz w:val="24"/>
          <w:szCs w:val="24"/>
          <w:vertAlign w:val="subscript"/>
        </w:rPr>
        <w:t>3</w:t>
      </w:r>
      <w:r w:rsidRPr="00CC094C">
        <w:rPr>
          <w:rFonts w:ascii="Times New Roman" w:eastAsia="Times New Roman" w:hAnsi="Times New Roman" w:cs="Times New Roman"/>
          <w:sz w:val="24"/>
          <w:szCs w:val="24"/>
        </w:rPr>
        <w:t xml:space="preserve">: the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sulfite adds oxygen from an external source).</w:t>
      </w:r>
    </w:p>
    <w:p w:rsidR="00CC094C" w:rsidRPr="00CC094C" w:rsidRDefault="00CC094C" w:rsidP="00CC094C">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Ratios between backward and forward fluxes (X</w:t>
      </w:r>
      <w:r w:rsidRPr="00CC094C">
        <w:rPr>
          <w:rFonts w:ascii="Times New Roman" w:eastAsia="Times New Roman" w:hAnsi="Times New Roman" w:cs="Times New Roman"/>
          <w:sz w:val="24"/>
          <w:szCs w:val="24"/>
          <w:vertAlign w:val="subscript"/>
        </w:rPr>
        <w:t>i</w:t>
      </w:r>
      <w:r w:rsidRPr="00CC094C">
        <w:rPr>
          <w:rFonts w:ascii="Times New Roman" w:eastAsia="Times New Roman" w:hAnsi="Times New Roman" w:cs="Times New Roman"/>
          <w:sz w:val="24"/>
          <w:szCs w:val="24"/>
        </w:rPr>
        <w:t xml:space="preserve"> = b</w:t>
      </w:r>
      <w:r w:rsidRPr="00CC094C">
        <w:rPr>
          <w:rFonts w:ascii="Times New Roman" w:eastAsia="Times New Roman" w:hAnsi="Times New Roman" w:cs="Times New Roman"/>
          <w:sz w:val="24"/>
          <w:szCs w:val="24"/>
          <w:vertAlign w:val="subscript"/>
        </w:rPr>
        <w:t>i</w:t>
      </w:r>
      <w:r w:rsidRPr="00CC094C">
        <w:rPr>
          <w:rFonts w:ascii="Times New Roman" w:eastAsia="Times New Roman" w:hAnsi="Times New Roman" w:cs="Times New Roman"/>
          <w:sz w:val="24"/>
          <w:szCs w:val="24"/>
        </w:rPr>
        <w:t>/f</w:t>
      </w:r>
      <w:r w:rsidRPr="00CC094C">
        <w:rPr>
          <w:rFonts w:ascii="Times New Roman" w:eastAsia="Times New Roman" w:hAnsi="Times New Roman" w:cs="Times New Roman"/>
          <w:sz w:val="24"/>
          <w:szCs w:val="24"/>
          <w:vertAlign w:val="subscript"/>
        </w:rPr>
        <w:t>i</w:t>
      </w: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Fritz et al. (1989) proposed that the oxygen isotope exchange between intermediate sulfur compounds with ambient water is the main driving factor for oxygen isotope effects in residual sulfate by sulfate-reducing bacteria. In particular, in their experiments, Fritz et al. (1989) observed that during progressive sulfate reduction of sulfate in waters with strongly depleted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the oxygen isotope composition of sulfate decreased and the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 increased. These results clearly indicated that oxygen isotope exchange with ambient water rather than kinetic factors are a dominating factor controlling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sulfate in these experiments. However, other authors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2000, </w:t>
      </w:r>
      <w:proofErr w:type="spellStart"/>
      <w:r w:rsidRPr="00CC094C">
        <w:rPr>
          <w:rFonts w:ascii="Times New Roman" w:eastAsia="Times New Roman" w:hAnsi="Times New Roman" w:cs="Times New Roman"/>
          <w:sz w:val="24"/>
          <w:szCs w:val="24"/>
        </w:rPr>
        <w:t>Mandernack</w:t>
      </w:r>
      <w:proofErr w:type="spellEnd"/>
      <w:r w:rsidRPr="00CC094C">
        <w:rPr>
          <w:rFonts w:ascii="Times New Roman" w:eastAsia="Times New Roman" w:hAnsi="Times New Roman" w:cs="Times New Roman"/>
          <w:sz w:val="24"/>
          <w:szCs w:val="24"/>
        </w:rPr>
        <w:t xml:space="preserve"> et al 2003) identified kinetic isotope fractionation as a major factor controlling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 xml:space="preserve">O of residual sulfate on the basis of data sets from natural environments. This implies that either the different mechanisms dominate in different circumstances (e.g., different </w:t>
      </w:r>
      <w:proofErr w:type="spellStart"/>
      <w:r w:rsidRPr="00CC094C">
        <w:rPr>
          <w:rFonts w:ascii="Times New Roman" w:eastAsia="Times New Roman" w:hAnsi="Times New Roman" w:cs="Times New Roman"/>
          <w:sz w:val="24"/>
          <w:szCs w:val="24"/>
        </w:rPr>
        <w:t>sSSR</w:t>
      </w:r>
      <w:proofErr w:type="spellEnd"/>
      <w:r w:rsidRPr="00CC094C">
        <w:rPr>
          <w:rFonts w:ascii="Times New Roman" w:eastAsia="Times New Roman" w:hAnsi="Times New Roman" w:cs="Times New Roman"/>
          <w:sz w:val="24"/>
          <w:szCs w:val="24"/>
        </w:rPr>
        <w:t>, X</w:t>
      </w:r>
      <w:r w:rsidRPr="00CC094C">
        <w:rPr>
          <w:rFonts w:ascii="Times New Roman" w:eastAsia="Times New Roman" w:hAnsi="Times New Roman" w:cs="Times New Roman"/>
          <w:sz w:val="24"/>
          <w:szCs w:val="24"/>
          <w:vertAlign w:val="subscript"/>
        </w:rPr>
        <w:t>i</w:t>
      </w:r>
      <w:r w:rsidRPr="00CC094C">
        <w:rPr>
          <w:rFonts w:ascii="Times New Roman" w:eastAsia="Times New Roman" w:hAnsi="Times New Roman" w:cs="Times New Roman"/>
          <w:sz w:val="24"/>
          <w:szCs w:val="24"/>
        </w:rPr>
        <w:t>-ratios, or bacterial species) or that the isotope equilibrium–dominated process produces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relationships that mimic kinetic isotope fractionation. In order to clarify this point, we discuss the differences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patterns between a process dominated by equilibrium oxygen isotope exchange and a process dominated by kinetic oxygen isotope fractionation.</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Kinetic oxygen isotope fractionation during sulfate reduction can be treated like kinetic sulfur isotope fractionation, the only differences being the different fractionation factors for the involved fractionation steps. Thus, a mathematical expression of the total kinetic oxygen isotope effect by a cell is equivalent to the one for sulfur isotope effects (for derivation see Brunner and </w:t>
      </w:r>
      <w:proofErr w:type="spellStart"/>
      <w:r w:rsidRPr="00CC094C">
        <w:rPr>
          <w:rFonts w:ascii="Times New Roman" w:eastAsia="Times New Roman" w:hAnsi="Times New Roman" w:cs="Times New Roman"/>
          <w:sz w:val="24"/>
          <w:szCs w:val="24"/>
        </w:rPr>
        <w:t>Bernasconi</w:t>
      </w:r>
      <w:proofErr w:type="spellEnd"/>
      <w:r w:rsidRPr="00CC094C">
        <w:rPr>
          <w:rFonts w:ascii="Times New Roman" w:eastAsia="Times New Roman" w:hAnsi="Times New Roman" w:cs="Times New Roman"/>
          <w:sz w:val="24"/>
          <w:szCs w:val="24"/>
        </w:rPr>
        <w:t xml:space="preserve">, 2005): </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Because the ratios of backward and forward reactions (X</w:t>
      </w:r>
      <w:r w:rsidRPr="00CC094C">
        <w:rPr>
          <w:rFonts w:ascii="Times New Roman" w:eastAsia="Times New Roman" w:hAnsi="Times New Roman" w:cs="Times New Roman"/>
          <w:sz w:val="24"/>
          <w:szCs w:val="24"/>
          <w:vertAlign w:val="subscript"/>
        </w:rPr>
        <w:t>i</w:t>
      </w:r>
      <w:r w:rsidRPr="00CC094C">
        <w:rPr>
          <w:rFonts w:ascii="Times New Roman" w:eastAsia="Times New Roman" w:hAnsi="Times New Roman" w:cs="Times New Roman"/>
          <w:sz w:val="24"/>
          <w:szCs w:val="24"/>
        </w:rPr>
        <w:t>) are identical for sulfur and oxygen isotope fractionation, the enrichment of both isotopes in the residual sulfate follows a linear relationship. Theoretically, in a closed system, both isotope compositions would increase towards infinity. However, the complete consumption of sulfate stops this trend. The slope of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 equals the ratio between the total isotope effects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cell</w:t>
      </w:r>
      <w:r w:rsidRPr="00CC094C">
        <w:rPr>
          <w:rFonts w:ascii="Times New Roman" w:eastAsia="Times New Roman" w:hAnsi="Times New Roman" w:cs="Times New Roman"/>
          <w:sz w:val="24"/>
          <w:szCs w:val="24"/>
        </w:rPr>
        <w:t>:Δ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cell</w:t>
      </w:r>
      <w:r w:rsidRPr="00CC094C">
        <w:rPr>
          <w:rFonts w:ascii="Times New Roman" w:eastAsia="Times New Roman" w:hAnsi="Times New Roman" w:cs="Times New Roman"/>
          <w:sz w:val="24"/>
          <w:szCs w:val="24"/>
        </w:rPr>
        <w:t>). A constant ratio of 1:4 for this slope (the oxygen isotope effect is one fourth of the sulfur isotope effect) has been proposed (</w:t>
      </w:r>
      <w:proofErr w:type="spellStart"/>
      <w:r w:rsidRPr="00CC094C">
        <w:rPr>
          <w:rFonts w:ascii="Times New Roman" w:eastAsia="Times New Roman" w:hAnsi="Times New Roman" w:cs="Times New Roman"/>
          <w:sz w:val="24"/>
          <w:szCs w:val="24"/>
        </w:rPr>
        <w:t>Mizutani</w:t>
      </w:r>
      <w:proofErr w:type="spellEnd"/>
      <w:r w:rsidRPr="00CC094C">
        <w:rPr>
          <w:rFonts w:ascii="Times New Roman" w:eastAsia="Times New Roman" w:hAnsi="Times New Roman" w:cs="Times New Roman"/>
          <w:sz w:val="24"/>
          <w:szCs w:val="24"/>
        </w:rPr>
        <w:t xml:space="preserve"> and Rafter, 1969) and this value has been used in the literature as diagnostic for sulfate modified by microbial sulfate reduction (for a discussion see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(2000)). </w:t>
      </w:r>
      <w:proofErr w:type="spellStart"/>
      <w:r w:rsidRPr="00CC094C">
        <w:rPr>
          <w:rFonts w:ascii="Times New Roman" w:eastAsia="Times New Roman" w:hAnsi="Times New Roman" w:cs="Times New Roman"/>
          <w:sz w:val="24"/>
          <w:szCs w:val="24"/>
        </w:rPr>
        <w:t>Aharon</w:t>
      </w:r>
      <w:proofErr w:type="spellEnd"/>
      <w:r w:rsidRPr="00CC094C">
        <w:rPr>
          <w:rFonts w:ascii="Times New Roman" w:eastAsia="Times New Roman" w:hAnsi="Times New Roman" w:cs="Times New Roman"/>
          <w:sz w:val="24"/>
          <w:szCs w:val="24"/>
        </w:rPr>
        <w:t xml:space="preserve"> and Fu (2000) pointed out that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 relationships of sulfate modified by microbial sulfate reduction have slopes in a range of 1:4 to 1:1.4. In the scenario where kinetic oxygen isotope fractionation dominates, different slopes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 relationships have to be explained by individual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f_3</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f_3</w:t>
      </w:r>
      <w:r w:rsidRPr="00CC094C">
        <w:rPr>
          <w:rFonts w:ascii="Times New Roman" w:eastAsia="Times New Roman" w:hAnsi="Times New Roman" w:cs="Times New Roman"/>
          <w:sz w:val="24"/>
          <w:szCs w:val="24"/>
        </w:rPr>
        <w:t xml:space="preserve"> ratios for each isotope fractionation step that are </w:t>
      </w:r>
      <w:r w:rsidRPr="00CC094C">
        <w:rPr>
          <w:rFonts w:ascii="Times New Roman" w:eastAsia="Times New Roman" w:hAnsi="Times New Roman" w:cs="Times New Roman"/>
          <w:sz w:val="24"/>
          <w:szCs w:val="24"/>
        </w:rPr>
        <w:lastRenderedPageBreak/>
        <w:t>combined by different cell-internal backward and forward fluxes to yield the observed variety of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slopes.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Fritz et al. (1989) carried out laboratory sulfate reduction experiments with </w:t>
      </w:r>
      <w:proofErr w:type="spellStart"/>
      <w:r w:rsidRPr="00CC094C">
        <w:rPr>
          <w:rFonts w:ascii="Times New Roman" w:eastAsia="Times New Roman" w:hAnsi="Times New Roman" w:cs="Times New Roman"/>
          <w:i/>
          <w:iCs/>
          <w:sz w:val="24"/>
          <w:szCs w:val="24"/>
        </w:rPr>
        <w:t>Desulfovibrio</w:t>
      </w:r>
      <w:proofErr w:type="spellEnd"/>
      <w:r w:rsidRPr="00CC094C">
        <w:rPr>
          <w:rFonts w:ascii="Times New Roman" w:eastAsia="Times New Roman" w:hAnsi="Times New Roman" w:cs="Times New Roman"/>
          <w:i/>
          <w:iCs/>
          <w:sz w:val="24"/>
          <w:szCs w:val="24"/>
        </w:rPr>
        <w:t xml:space="preserve"> </w:t>
      </w:r>
      <w:proofErr w:type="spellStart"/>
      <w:r w:rsidRPr="00CC094C">
        <w:rPr>
          <w:rFonts w:ascii="Times New Roman" w:eastAsia="Times New Roman" w:hAnsi="Times New Roman" w:cs="Times New Roman"/>
          <w:i/>
          <w:iCs/>
          <w:sz w:val="24"/>
          <w:szCs w:val="24"/>
        </w:rPr>
        <w:t>desulfuricans</w:t>
      </w:r>
      <w:proofErr w:type="spellEnd"/>
      <w:r w:rsidRPr="00CC094C">
        <w:rPr>
          <w:rFonts w:ascii="Times New Roman" w:eastAsia="Times New Roman" w:hAnsi="Times New Roman" w:cs="Times New Roman"/>
          <w:sz w:val="24"/>
          <w:szCs w:val="24"/>
        </w:rPr>
        <w:t xml:space="preserve"> in waters with different oxygen isotope compositions. They found that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residual sulfate approached asymptotically a steady-state value equal to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ambient water plus a temperature-dependent equilibrium fractionation factor (+25‰ at 30°C, +27‰ at 17°C, and, extrapolated, +29‰ at 5°C). In the experiments of Fritz et al. (1989), the sulfur isotope composition of residual sulfate followed a Rayleigh distillation process with kinetic isotope enrichment factors of −9‰ to −22‰.</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In interstitial waters from the Mediterranean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values of sulfate approach a constant value, whereas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 values continue to increase with increasing depth and decreasing sulfate concentration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1998,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1999). When plotted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space the data first show a linear increase with different slopes for different locations and then reach a plateau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The highest measured oxygen isotope values in the Mediterranean are about 3‰ below the proposed equilibrium values of Fritz et al. (1989). From an “equilibrium oxygen isotope exchange” point of view, the variation in the slopes of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relationships can be explained by differences in the oxygen isotope exchange rates, by different equilibrium values due to variations in the temperature, and by different oxygen isotope compositions of ambient waters.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The implications of the above discussion about the differences between a process dominated by oxygen isotope exchange with ambient water and process dominated by kinetic oxygen isotope fractionation can be summarized in the following thought experiment. In a closed-system experiment with sulfate-reducing bacteria, where aliquots of the residual sulfate are analyzed for their sulfur and oxygen isotope composition,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pattern reveals if oxygen isotope exchange with ambient water dominates over kinetic oxygen isotope fractionation or vice versa. In case of a dominance of oxygen isotope exchange with ambient water, the values for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increase and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residual sulfate approaches a constant equilibrium value. In case of a domination of kinetic oxygen isotope fractionation,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relationship would be linear (constant slope) and both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and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would increase, without reaching a constant value. This implies, that in the second case, oxygen isotope enrichment would continue when the constant value, predicted by the oxygen isotope exchange scenario, is reached.</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There are two strong arguments against a kinetically dominated oxygen isotope fractionation process. Firstly, in the experiments by Fritz et al. (1989), the decrease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sulfate observed during progressive reduction when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water was very negative indicates that oxygen isotope exchange was the dominant factor. The parallel experiments conducted with waters with heavier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on the other hand, showed an increase in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sulfate. Secondly, to our best knowledge, there is no report of oxygen isotope enrichment in sulfate over the postulated equilibrium values (additional experiments to test this have been carried out and are presented below). This is also strong evidence against a kinetically dominated oxygen isotope fractionation process. As we will demonstrate below, a linear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relation is also observed at an initial stage of equilibrium isotope exchange and is not sufficient to postulate a dominance of kinetic oxygen isotope fractionation by microbial sulfate reducers. Consequently, we introduce a bacterial sulfate reduction scheme that neglects potential kinetic oxygen isotope fractionation effects in favor of oxygen isotope exchange between cell-internal sulfur compounds (APS (sulfate) and sulfite) and ambient water (Fig. 2).</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lastRenderedPageBreak/>
        <w:t xml:space="preserve">The depicted sulfate reduction scheme includes the revisions of the sulfate reduction model of Rees (1973) proposed by Brunner and </w:t>
      </w:r>
      <w:proofErr w:type="spellStart"/>
      <w:r w:rsidRPr="00CC094C">
        <w:rPr>
          <w:rFonts w:ascii="Times New Roman" w:eastAsia="Times New Roman" w:hAnsi="Times New Roman" w:cs="Times New Roman"/>
          <w:sz w:val="24"/>
          <w:szCs w:val="24"/>
        </w:rPr>
        <w:t>Bernasconi</w:t>
      </w:r>
      <w:proofErr w:type="spellEnd"/>
      <w:r w:rsidRPr="00CC094C">
        <w:rPr>
          <w:rFonts w:ascii="Times New Roman" w:eastAsia="Times New Roman" w:hAnsi="Times New Roman" w:cs="Times New Roman"/>
          <w:sz w:val="24"/>
          <w:szCs w:val="24"/>
        </w:rPr>
        <w:t xml:space="preserve"> (2005). However, the results presented here are also valid for the original model of Rees (1973), because the revisions of Brunner and </w:t>
      </w:r>
      <w:proofErr w:type="spellStart"/>
      <w:r w:rsidRPr="00CC094C">
        <w:rPr>
          <w:rFonts w:ascii="Times New Roman" w:eastAsia="Times New Roman" w:hAnsi="Times New Roman" w:cs="Times New Roman"/>
          <w:sz w:val="24"/>
          <w:szCs w:val="24"/>
        </w:rPr>
        <w:t>Bernasconi</w:t>
      </w:r>
      <w:proofErr w:type="spellEnd"/>
      <w:r w:rsidRPr="00CC094C">
        <w:rPr>
          <w:rFonts w:ascii="Times New Roman" w:eastAsia="Times New Roman" w:hAnsi="Times New Roman" w:cs="Times New Roman"/>
          <w:sz w:val="24"/>
          <w:szCs w:val="24"/>
        </w:rPr>
        <w:t xml:space="preserve"> (2005) mainly focus on a reassessment of the sulfur isotope fractionation factor (−53‰ instead of −25‰) in the reduction of sulfite to sulfide and the possibility that this process is a multi-step reaction. Both modifications have no influence on the oxygen isotope composition of residual sulfate, because oxygen isotope effects related to sulfite reduction are likely to be erased by oxygen isotope exchange between sulfite and ambient water and oxygen isotope exchange between APS and ambient water.</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As pointed out above, there is strong evidence that isotope exchange between cell-internal sulfur compounds and ambient water dominates the oxygen isotope effects caused by microbial sulfate reduction. Either the kinetic isotope fractionation of oxygen is too small or it is erased by oxygen isotope exchange between sulfur compounds and ambient water. This allows us to assume that kinetic oxygen isotope fractionation effects equal zero and to establish a simplified model for the oxygen isotope effect by a sulfate reducing bacterium (Fig. 2). However, two fundamental questions remain: At which sulfate reduction step does the oxygen isotope exchange between sulfur compound and ambient water occur? And what is the influence of the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sulfur compounds, which includes the incorporation of an external oxygen source, on the oxygen isotope composition of residual sulfate?</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Fritz et al. (1989) discussed the relative importance of oxygen isotope exchange between the sulfate-enzyme complex (i.e., APS) and ambient water compared to the oxygen isotope exchange between sulfite and ambient water. They concluded that the backward reaction of sulfite to sulfate (flux b</w:t>
      </w:r>
      <w:r w:rsidRPr="00CC094C">
        <w:rPr>
          <w:rFonts w:ascii="Times New Roman" w:eastAsia="Times New Roman" w:hAnsi="Times New Roman" w:cs="Times New Roman"/>
          <w:sz w:val="24"/>
          <w:szCs w:val="24"/>
          <w:vertAlign w:val="subscript"/>
        </w:rPr>
        <w:t>3</w:t>
      </w:r>
      <w:r w:rsidRPr="00CC094C">
        <w:rPr>
          <w:rFonts w:ascii="Times New Roman" w:eastAsia="Times New Roman" w:hAnsi="Times New Roman" w:cs="Times New Roman"/>
          <w:sz w:val="24"/>
          <w:szCs w:val="24"/>
        </w:rPr>
        <w:t xml:space="preserve">) implies the use of water oxygen and thus the breakage of H–O bonds. They hypothesized that this breakage would cause a kinetic oxygen isotope fractionation, not being compatible to their laboratory results (Fig. 2). Therefore, Fritz et al. (1989) concluded that the oxygen isotope exchange of APS with ambient water is the significant oxygen isotope exchange process (“ex1” in Fig. 2). Laboratory investigations of anaerobic bacterial disproportionation of elemental sulfur by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(2001) can be used as an analog for the oxygen isotope effect by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sulfite to sulfate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H2O_sulfite_reox</w:t>
      </w:r>
      <w:r w:rsidRPr="00CC094C">
        <w:rPr>
          <w:rFonts w:ascii="Times New Roman" w:eastAsia="Times New Roman" w:hAnsi="Times New Roman" w:cs="Times New Roman"/>
          <w:sz w:val="24"/>
          <w:szCs w:val="24"/>
        </w:rPr>
        <w:t xml:space="preserve"> in Fig. 2). The overall reaction of this process is written as </w:t>
      </w:r>
    </w:p>
    <w:p w:rsidR="00CC094C" w:rsidRPr="00CC094C" w:rsidRDefault="00CC094C" w:rsidP="00CC094C">
      <w:pPr>
        <w:spacing w:after="0"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This equation shows that the oxygen in sulfate is derived from water. In natural environments, oxygen could also be derived from other sources with oxygen isotope composition different from ambient water, such as nitrate or iron oxides. However, in the laboratory experiment where other oxygen sources were absent, the resulting sulfate was enriched in </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by +16.6‰ to +17.4‰ (at 28°C) compared to the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of water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2001). This value is probably the result of oxygen isotope exchange of sulfite with water (ex2 in Fig. 2) and subsequent oxidation of sulfite to sulfate with a kinetic isotope fractionation. Using the equilibrium value of Fritz et al. (1989), the oxygen isotope composition of sulfite would be calculated as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sulfite</w:t>
      </w:r>
      <w:r w:rsidRPr="00CC094C">
        <w:rPr>
          <w:rFonts w:ascii="Times New Roman" w:eastAsia="Times New Roman" w:hAnsi="Times New Roman" w:cs="Times New Roman"/>
          <w:sz w:val="24"/>
          <w:szCs w:val="24"/>
        </w:rPr>
        <w:t xml:space="preserve"> =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water</w:t>
      </w:r>
      <w:r w:rsidRPr="00CC094C">
        <w:rPr>
          <w:rFonts w:ascii="Times New Roman" w:eastAsia="Times New Roman" w:hAnsi="Times New Roman" w:cs="Times New Roman"/>
          <w:sz w:val="24"/>
          <w:szCs w:val="24"/>
        </w:rPr>
        <w:t xml:space="preserve"> + 25‰ (at 28°C). By adding one oxygen atom from water (with an enrichment factor of +4‰ (Taylor et al., 1984)) sulfite is oxidized to sulfate. The resulting oxygen isotope composition of sulfate could then be approximated as </w:t>
      </w:r>
      <w:r w:rsidRPr="00CC094C">
        <w:rPr>
          <w:rFonts w:ascii="Times New Roman" w:eastAsia="Times New Roman" w:hAnsi="Times New Roman" w:cs="Times New Roman"/>
        </w:rPr>
        <w:t>‰‰‰</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This value is close to the results of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(2001) and implies that in their experiments the equilibrium exchange between water and sulfite almost reached completeness. However, owing to the direct incorporation of an oxygen atom from water, which shifts the oxygen isotope value towards the light isotope composition of water, sulfite-derived sulfate cannot have been the source of the high oxygen isotope equilibrium value observed by Fritz et al. (1989). Consequently, oxygen </w:t>
      </w:r>
      <w:r w:rsidRPr="00CC094C">
        <w:rPr>
          <w:rFonts w:ascii="Times New Roman" w:eastAsia="Times New Roman" w:hAnsi="Times New Roman" w:cs="Times New Roman"/>
          <w:sz w:val="24"/>
          <w:szCs w:val="24"/>
        </w:rPr>
        <w:lastRenderedPageBreak/>
        <w:t>isotope exchange of enzymatically complexed sulfate with ambient water (“ex1” in Fig. 2) is likely to be the significant process controlling their experiments. Rees (1973) suggested that sulfur isotope fractionations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r w:rsidRPr="00CC094C">
        <w:rPr>
          <w:rFonts w:ascii="Times New Roman" w:eastAsia="Times New Roman" w:hAnsi="Times New Roman" w:cs="Times New Roman"/>
          <w:sz w:val="24"/>
          <w:szCs w:val="24"/>
          <w:vertAlign w:val="subscript"/>
        </w:rPr>
        <w:t>cell</w:t>
      </w:r>
      <w:r w:rsidRPr="00CC094C">
        <w:rPr>
          <w:rFonts w:ascii="Times New Roman" w:eastAsia="Times New Roman" w:hAnsi="Times New Roman" w:cs="Times New Roman"/>
          <w:sz w:val="24"/>
          <w:szCs w:val="24"/>
        </w:rPr>
        <w:t xml:space="preserve">) smaller than −25‰ are typical for cases where no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sulfite occurs (b</w:t>
      </w:r>
      <w:r w:rsidRPr="00CC094C">
        <w:rPr>
          <w:rFonts w:ascii="Times New Roman" w:eastAsia="Times New Roman" w:hAnsi="Times New Roman" w:cs="Times New Roman"/>
          <w:sz w:val="24"/>
          <w:szCs w:val="24"/>
          <w:vertAlign w:val="subscript"/>
        </w:rPr>
        <w:t>3</w:t>
      </w:r>
      <w:r w:rsidRPr="00CC094C">
        <w:rPr>
          <w:rFonts w:ascii="Times New Roman" w:eastAsia="Times New Roman" w:hAnsi="Times New Roman" w:cs="Times New Roman"/>
          <w:sz w:val="24"/>
          <w:szCs w:val="24"/>
        </w:rPr>
        <w:t xml:space="preserve"> and X</w:t>
      </w:r>
      <w:r w:rsidRPr="00CC094C">
        <w:rPr>
          <w:rFonts w:ascii="Times New Roman" w:eastAsia="Times New Roman" w:hAnsi="Times New Roman" w:cs="Times New Roman"/>
          <w:sz w:val="24"/>
          <w:szCs w:val="24"/>
          <w:vertAlign w:val="subscript"/>
        </w:rPr>
        <w:t>3</w:t>
      </w:r>
      <w:r w:rsidRPr="00CC094C">
        <w:rPr>
          <w:rFonts w:ascii="Times New Roman" w:eastAsia="Times New Roman" w:hAnsi="Times New Roman" w:cs="Times New Roman"/>
          <w:sz w:val="24"/>
          <w:szCs w:val="24"/>
        </w:rPr>
        <w:t xml:space="preserve"> equal zero). According to his model, a value of −22‰ would have been more accurate, but this small difference does not have consequences for the discussion below. The sulfur isotope enrichment factors in the experiments of Fritz et al. (1989) were in a range of −9‰ to −22‰. This could explain why </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O-depleted sulfite-derived sulfate did not contribute to the equilibrium value. On the other hand, the constant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sulfate</w:t>
      </w:r>
      <w:r w:rsidRPr="00CC094C">
        <w:rPr>
          <w:rFonts w:ascii="Times New Roman" w:eastAsia="Times New Roman" w:hAnsi="Times New Roman" w:cs="Times New Roman"/>
          <w:sz w:val="24"/>
          <w:szCs w:val="24"/>
        </w:rPr>
        <w:t xml:space="preserve"> of about 26.4‰ in interstitial waters from the Mediterranean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1999), which are about 2–3‰ below the predicted equilibrium (calculated to be around 29‰ for a temperature of 12°C–13°C (Shipboard Scientific Party, 1996) and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seawater</w:t>
      </w:r>
      <w:r w:rsidRPr="00CC094C">
        <w:rPr>
          <w:rFonts w:ascii="Times New Roman" w:eastAsia="Times New Roman" w:hAnsi="Times New Roman" w:cs="Times New Roman"/>
          <w:sz w:val="24"/>
          <w:szCs w:val="24"/>
        </w:rPr>
        <w:t xml:space="preserve"> of 1.4‰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et al., 1999)) may indicate a contribution of oxygen from sulfite oxidation. Thus, we distinguish between a case in which sulfite oxidation plays an important role and a case in which sulfite oxidation does not influence the oxygen isotope fractionation process. The limit between these cases is defined by the lack of a backward flux from sulfite to sulfate. Sulfur isotope fractionation factors larger than −25‰ require an oxidative flux from the sulfite pool to sulfate. This flux is expected to create an offset between the equilibrium oxygen isotope value and the observed values. We tested this hypothesis by performing sulfate reduction experiments with bacteria that induce sulfur isotope fractionations larger than −25‰.</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Section snippets</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Materials, Methods, and Culture Experiments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For our experiment, cultures of the SO</w:t>
      </w:r>
      <w:r w:rsidRPr="00CC094C">
        <w:rPr>
          <w:rFonts w:ascii="Times New Roman" w:eastAsia="Times New Roman" w:hAnsi="Times New Roman" w:cs="Times New Roman"/>
          <w:sz w:val="24"/>
          <w:szCs w:val="24"/>
          <w:vertAlign w:val="subscript"/>
        </w:rPr>
        <w:t>4</w:t>
      </w:r>
      <w:r w:rsidRPr="00CC094C">
        <w:rPr>
          <w:rFonts w:ascii="Times New Roman" w:eastAsia="Times New Roman" w:hAnsi="Times New Roman" w:cs="Times New Roman"/>
          <w:sz w:val="24"/>
          <w:szCs w:val="24"/>
          <w:vertAlign w:val="superscript"/>
        </w:rPr>
        <w:t>2−</w:t>
      </w:r>
      <w:r w:rsidRPr="00CC094C">
        <w:rPr>
          <w:rFonts w:ascii="Times New Roman" w:eastAsia="Times New Roman" w:hAnsi="Times New Roman" w:cs="Times New Roman"/>
          <w:sz w:val="24"/>
          <w:szCs w:val="24"/>
        </w:rPr>
        <w:t>-reducing bacterium PRTOL1 (</w:t>
      </w:r>
      <w:proofErr w:type="spellStart"/>
      <w:r w:rsidRPr="00CC094C">
        <w:rPr>
          <w:rFonts w:ascii="Times New Roman" w:eastAsia="Times New Roman" w:hAnsi="Times New Roman" w:cs="Times New Roman"/>
          <w:sz w:val="24"/>
          <w:szCs w:val="24"/>
        </w:rPr>
        <w:t>Beller</w:t>
      </w:r>
      <w:proofErr w:type="spellEnd"/>
      <w:r w:rsidRPr="00CC094C">
        <w:rPr>
          <w:rFonts w:ascii="Times New Roman" w:eastAsia="Times New Roman" w:hAnsi="Times New Roman" w:cs="Times New Roman"/>
          <w:sz w:val="24"/>
          <w:szCs w:val="24"/>
        </w:rPr>
        <w:t xml:space="preserve"> et al., 1996) were used. Here we describe the culturing conditions only briefly; for a more detailed description see </w:t>
      </w:r>
      <w:proofErr w:type="spellStart"/>
      <w:r w:rsidRPr="00CC094C">
        <w:rPr>
          <w:rFonts w:ascii="Times New Roman" w:eastAsia="Times New Roman" w:hAnsi="Times New Roman" w:cs="Times New Roman"/>
          <w:sz w:val="24"/>
          <w:szCs w:val="24"/>
        </w:rPr>
        <w:t>Kleikemper</w:t>
      </w:r>
      <w:proofErr w:type="spellEnd"/>
      <w:r w:rsidRPr="00CC094C">
        <w:rPr>
          <w:rFonts w:ascii="Times New Roman" w:eastAsia="Times New Roman" w:hAnsi="Times New Roman" w:cs="Times New Roman"/>
          <w:sz w:val="24"/>
          <w:szCs w:val="24"/>
        </w:rPr>
        <w:t xml:space="preserve"> et al. (2004). For the initial cultivation of the bacteria to be used as inoculum, SO</w:t>
      </w:r>
      <w:r w:rsidRPr="00CC094C">
        <w:rPr>
          <w:rFonts w:ascii="Times New Roman" w:eastAsia="Times New Roman" w:hAnsi="Times New Roman" w:cs="Times New Roman"/>
          <w:sz w:val="24"/>
          <w:szCs w:val="24"/>
          <w:vertAlign w:val="subscript"/>
        </w:rPr>
        <w:t>4</w:t>
      </w:r>
      <w:r w:rsidRPr="00CC094C">
        <w:rPr>
          <w:rFonts w:ascii="Times New Roman" w:eastAsia="Times New Roman" w:hAnsi="Times New Roman" w:cs="Times New Roman"/>
          <w:sz w:val="24"/>
          <w:szCs w:val="24"/>
          <w:vertAlign w:val="superscript"/>
        </w:rPr>
        <w:t>2−</w:t>
      </w:r>
      <w:r w:rsidRPr="00CC094C">
        <w:rPr>
          <w:rFonts w:ascii="Times New Roman" w:eastAsia="Times New Roman" w:hAnsi="Times New Roman" w:cs="Times New Roman"/>
          <w:sz w:val="24"/>
          <w:szCs w:val="24"/>
        </w:rPr>
        <w:t xml:space="preserve"> was added as FeSO</w:t>
      </w:r>
      <w:r w:rsidRPr="00CC094C">
        <w:rPr>
          <w:rFonts w:ascii="Times New Roman" w:eastAsia="Times New Roman" w:hAnsi="Times New Roman" w:cs="Times New Roman"/>
          <w:sz w:val="24"/>
          <w:szCs w:val="24"/>
          <w:vertAlign w:val="subscript"/>
        </w:rPr>
        <w:t>4</w:t>
      </w:r>
      <w:r w:rsidRPr="00CC094C">
        <w:rPr>
          <w:rFonts w:ascii="Times New Roman" w:eastAsia="Times New Roman" w:hAnsi="Times New Roman" w:cs="Times New Roman"/>
          <w:sz w:val="24"/>
          <w:szCs w:val="24"/>
        </w:rPr>
        <w:t xml:space="preserve"> and for the subsequent culturing experiments, SO</w:t>
      </w:r>
      <w:r w:rsidRPr="00CC094C">
        <w:rPr>
          <w:rFonts w:ascii="Times New Roman" w:eastAsia="Times New Roman" w:hAnsi="Times New Roman" w:cs="Times New Roman"/>
          <w:sz w:val="24"/>
          <w:szCs w:val="24"/>
          <w:vertAlign w:val="subscript"/>
        </w:rPr>
        <w:t>4</w:t>
      </w:r>
      <w:r w:rsidRPr="00CC094C">
        <w:rPr>
          <w:rFonts w:ascii="Times New Roman" w:eastAsia="Times New Roman" w:hAnsi="Times New Roman" w:cs="Times New Roman"/>
          <w:sz w:val="24"/>
          <w:szCs w:val="24"/>
          <w:vertAlign w:val="superscript"/>
        </w:rPr>
        <w:t>2−</w:t>
      </w:r>
      <w:r w:rsidRPr="00CC094C">
        <w:rPr>
          <w:rFonts w:ascii="Times New Roman" w:eastAsia="Times New Roman" w:hAnsi="Times New Roman" w:cs="Times New Roman"/>
          <w:sz w:val="24"/>
          <w:szCs w:val="24"/>
        </w:rPr>
        <w:t xml:space="preserve"> was added as Na</w:t>
      </w:r>
      <w:r w:rsidRPr="00CC094C">
        <w:rPr>
          <w:rFonts w:ascii="Times New Roman" w:eastAsia="Times New Roman" w:hAnsi="Times New Roman" w:cs="Times New Roman"/>
          <w:sz w:val="24"/>
          <w:szCs w:val="24"/>
          <w:vertAlign w:val="subscript"/>
        </w:rPr>
        <w:t>2</w:t>
      </w:r>
      <w:r w:rsidRPr="00CC094C">
        <w:rPr>
          <w:rFonts w:ascii="Times New Roman" w:eastAsia="Times New Roman" w:hAnsi="Times New Roman" w:cs="Times New Roman"/>
          <w:sz w:val="24"/>
          <w:szCs w:val="24"/>
        </w:rPr>
        <w:t>SO</w:t>
      </w:r>
      <w:r w:rsidRPr="00CC094C">
        <w:rPr>
          <w:rFonts w:ascii="Times New Roman" w:eastAsia="Times New Roman" w:hAnsi="Times New Roman" w:cs="Times New Roman"/>
          <w:sz w:val="24"/>
          <w:szCs w:val="24"/>
          <w:vertAlign w:val="subscript"/>
        </w:rPr>
        <w:t>4</w:t>
      </w:r>
      <w:r w:rsidRPr="00CC094C">
        <w:rPr>
          <w:rFonts w:ascii="Times New Roman" w:eastAsia="Times New Roman" w:hAnsi="Times New Roman" w:cs="Times New Roman"/>
          <w:sz w:val="24"/>
          <w:szCs w:val="24"/>
        </w:rPr>
        <w:t>. Organic acids were added from anaerobic autoclaved stock solutions to give final concentrations of 5 mM acetate,</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A mathematical framework relating the oxygen and sulfur isotope composition and the amount of residual sulfate</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To the best of our knowledge, no attempt has been made to put the oxygen isotope effects of sulfate reduction into a mathematical framework. Such a model is the precondition for the understanding of oxygen isotope effects and their relation to sulfate reduction rates. We present a model integrating the following major parameters controlled by sulfate-reducing bacteria: </w:t>
      </w:r>
    </w:p>
    <w:p w:rsidR="00CC094C" w:rsidRPr="00CC094C" w:rsidRDefault="00CC094C" w:rsidP="00CC094C">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Cell-specific sulfate reduction rate (</w:t>
      </w:r>
      <w:proofErr w:type="spellStart"/>
      <w:r w:rsidRPr="00CC094C">
        <w:rPr>
          <w:rFonts w:ascii="Times New Roman" w:eastAsia="Times New Roman" w:hAnsi="Times New Roman" w:cs="Times New Roman"/>
          <w:sz w:val="24"/>
          <w:szCs w:val="24"/>
        </w:rPr>
        <w:t>sSRR</w:t>
      </w:r>
      <w:proofErr w:type="spellEnd"/>
      <w:r w:rsidRPr="00CC094C">
        <w:rPr>
          <w:rFonts w:ascii="Times New Roman" w:eastAsia="Times New Roman" w:hAnsi="Times New Roman" w:cs="Times New Roman"/>
          <w:sz w:val="24"/>
          <w:szCs w:val="24"/>
        </w:rPr>
        <w:t>)</w:t>
      </w:r>
    </w:p>
    <w:p w:rsidR="00CC094C" w:rsidRPr="00CC094C" w:rsidRDefault="00CC094C" w:rsidP="00CC094C">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 and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 of residual sulfate</w:t>
      </w:r>
    </w:p>
    <w:p w:rsidR="00CC094C" w:rsidRPr="00CC094C" w:rsidRDefault="00CC094C" w:rsidP="00CC094C">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lastRenderedPageBreak/>
        <w:t>Amount of residual sulfate</w:t>
      </w:r>
    </w:p>
    <w:p w:rsidR="00CC094C" w:rsidRPr="00CC094C" w:rsidRDefault="00CC094C" w:rsidP="00CC094C">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Cell-internal backward</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Discussion and interpretation</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Equations 3 and 4 describe the fractionation relationship between the amount and the oxygen and sulfur isotope composition of residual sulfate for bacterial sulfate reduction. The full derivation of the equations is available upon request from the corresponding author. The calculations were based on the following assumptions: </w:t>
      </w:r>
    </w:p>
    <w:p w:rsidR="00CC094C" w:rsidRPr="00CC094C" w:rsidRDefault="00CC094C" w:rsidP="00CC094C">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Sulfate reduction takes place in a closed system (i.e., no in- or output of sulfate and no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produced hydrogen sulfide).</w:t>
      </w:r>
    </w:p>
    <w:p w:rsidR="00CC094C" w:rsidRPr="00CC094C" w:rsidRDefault="00CC094C" w:rsidP="00CC094C">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The </w:t>
      </w:r>
      <w:proofErr w:type="spellStart"/>
      <w:r w:rsidRPr="00CC094C">
        <w:rPr>
          <w:rFonts w:ascii="Times New Roman" w:eastAsia="Times New Roman" w:hAnsi="Times New Roman" w:cs="Times New Roman"/>
          <w:sz w:val="24"/>
          <w:szCs w:val="24"/>
        </w:rPr>
        <w:t>sSRR</w:t>
      </w:r>
      <w:proofErr w:type="spellEnd"/>
      <w:r w:rsidRPr="00CC094C">
        <w:rPr>
          <w:rFonts w:ascii="Times New Roman" w:eastAsia="Times New Roman" w:hAnsi="Times New Roman" w:cs="Times New Roman"/>
          <w:sz w:val="24"/>
          <w:szCs w:val="24"/>
        </w:rPr>
        <w:t xml:space="preserve"> are constant.</w:t>
      </w:r>
    </w:p>
    <w:p w:rsidR="00CC094C" w:rsidRPr="00CC094C" w:rsidRDefault="00CC094C" w:rsidP="00CC094C">
      <w:pPr>
        <w:numPr>
          <w:ilvl w:val="0"/>
          <w:numId w:val="3"/>
        </w:num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t>
      </w:r>
    </w:p>
    <w:p w:rsidR="00CC094C" w:rsidRPr="00CC094C" w:rsidRDefault="00CC094C" w:rsidP="00CC094C">
      <w:pPr>
        <w:spacing w:before="100" w:beforeAutospacing="1" w:after="100" w:afterAutospacing="1" w:line="240" w:lineRule="auto"/>
        <w:ind w:left="720"/>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The number of</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Conclusions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We present mathematical equations describing the fractionation relationship between the amount, the oxygen isotope composition, and the sulfur isotope composition of residual sulfate for bacterial sulfate reduction. One equation describes a “general case,” where the oxygen isotope effects of cell-internal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sulfite are taken into account. A second equation is derived for a “special case,” where </w:t>
      </w:r>
      <w:proofErr w:type="spellStart"/>
      <w:r w:rsidRPr="00CC094C">
        <w:rPr>
          <w:rFonts w:ascii="Times New Roman" w:eastAsia="Times New Roman" w:hAnsi="Times New Roman" w:cs="Times New Roman"/>
          <w:sz w:val="24"/>
          <w:szCs w:val="24"/>
        </w:rPr>
        <w:t>reoxidation</w:t>
      </w:r>
      <w:proofErr w:type="spellEnd"/>
      <w:r w:rsidRPr="00CC094C">
        <w:rPr>
          <w:rFonts w:ascii="Times New Roman" w:eastAsia="Times New Roman" w:hAnsi="Times New Roman" w:cs="Times New Roman"/>
          <w:sz w:val="24"/>
          <w:szCs w:val="24"/>
        </w:rPr>
        <w:t xml:space="preserve"> of sulfite is neglected.</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We demonstrate that δ</w:t>
      </w:r>
      <w:r w:rsidRPr="00CC094C">
        <w:rPr>
          <w:rFonts w:ascii="Times New Roman" w:eastAsia="Times New Roman" w:hAnsi="Times New Roman" w:cs="Times New Roman"/>
          <w:sz w:val="24"/>
          <w:szCs w:val="24"/>
          <w:vertAlign w:val="superscript"/>
        </w:rPr>
        <w:t>18</w:t>
      </w:r>
      <w:r w:rsidRPr="00CC094C">
        <w:rPr>
          <w:rFonts w:ascii="Times New Roman" w:eastAsia="Times New Roman" w:hAnsi="Times New Roman" w:cs="Times New Roman"/>
          <w:sz w:val="24"/>
          <w:szCs w:val="24"/>
        </w:rPr>
        <w:t>O</w:t>
      </w:r>
      <w:r w:rsidRPr="00CC094C">
        <w:rPr>
          <w:rFonts w:ascii="Times New Roman" w:eastAsia="Times New Roman" w:hAnsi="Times New Roman" w:cs="Times New Roman"/>
          <w:sz w:val="24"/>
          <w:szCs w:val="24"/>
          <w:vertAlign w:val="subscript"/>
        </w:rPr>
        <w:t>SO4_residual</w:t>
      </w:r>
      <w:r w:rsidRPr="00CC094C">
        <w:rPr>
          <w:rFonts w:ascii="Times New Roman" w:eastAsia="Times New Roman" w:hAnsi="Times New Roman" w:cs="Times New Roman"/>
          <w:sz w:val="24"/>
          <w:szCs w:val="24"/>
        </w:rPr>
        <w:t xml:space="preserve"> vs. δ</w:t>
      </w:r>
      <w:r w:rsidRPr="00CC094C">
        <w:rPr>
          <w:rFonts w:ascii="Times New Roman" w:eastAsia="Times New Roman" w:hAnsi="Times New Roman" w:cs="Times New Roman"/>
          <w:sz w:val="24"/>
          <w:szCs w:val="24"/>
          <w:vertAlign w:val="superscript"/>
        </w:rPr>
        <w:t>34</w:t>
      </w:r>
      <w:r w:rsidRPr="00CC094C">
        <w:rPr>
          <w:rFonts w:ascii="Times New Roman" w:eastAsia="Times New Roman" w:hAnsi="Times New Roman" w:cs="Times New Roman"/>
          <w:sz w:val="24"/>
          <w:szCs w:val="24"/>
        </w:rPr>
        <w:t>S</w:t>
      </w:r>
    </w:p>
    <w:p w:rsidR="00CC094C" w:rsidRPr="00CC094C" w:rsidRDefault="00CC094C" w:rsidP="00CC094C">
      <w:pPr>
        <w:spacing w:before="100" w:beforeAutospacing="1" w:after="100" w:afterAutospacing="1" w:line="240" w:lineRule="auto"/>
        <w:outlineLvl w:val="1"/>
        <w:rPr>
          <w:rFonts w:ascii="Times New Roman" w:eastAsia="Times New Roman" w:hAnsi="Times New Roman" w:cs="Times New Roman"/>
          <w:b/>
          <w:bCs/>
          <w:sz w:val="36"/>
          <w:szCs w:val="36"/>
        </w:rPr>
      </w:pPr>
      <w:r w:rsidRPr="00CC094C">
        <w:rPr>
          <w:rFonts w:ascii="Times New Roman" w:eastAsia="Times New Roman" w:hAnsi="Times New Roman" w:cs="Times New Roman"/>
          <w:b/>
          <w:bCs/>
          <w:sz w:val="36"/>
          <w:szCs w:val="36"/>
        </w:rPr>
        <w:t>Acknowledgments</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sz w:val="24"/>
          <w:szCs w:val="24"/>
        </w:rPr>
        <w:t xml:space="preserve">We thank James Farquhar, Tim Lyons, an anonymous reviewer, and Donald Canfield for the thorough and constructive comments that greatly helped improve this paper. Kurt </w:t>
      </w:r>
      <w:proofErr w:type="spellStart"/>
      <w:r w:rsidRPr="00CC094C">
        <w:rPr>
          <w:rFonts w:ascii="Times New Roman" w:eastAsia="Times New Roman" w:hAnsi="Times New Roman" w:cs="Times New Roman"/>
          <w:sz w:val="24"/>
          <w:szCs w:val="24"/>
        </w:rPr>
        <w:t>Hanselmann</w:t>
      </w:r>
      <w:proofErr w:type="spellEnd"/>
      <w:r w:rsidRPr="00CC094C">
        <w:rPr>
          <w:rFonts w:ascii="Times New Roman" w:eastAsia="Times New Roman" w:hAnsi="Times New Roman" w:cs="Times New Roman"/>
          <w:sz w:val="24"/>
          <w:szCs w:val="24"/>
        </w:rPr>
        <w:t xml:space="preserve"> and Rolf </w:t>
      </w:r>
      <w:proofErr w:type="spellStart"/>
      <w:r w:rsidRPr="00CC094C">
        <w:rPr>
          <w:rFonts w:ascii="Times New Roman" w:eastAsia="Times New Roman" w:hAnsi="Times New Roman" w:cs="Times New Roman"/>
          <w:sz w:val="24"/>
          <w:szCs w:val="24"/>
        </w:rPr>
        <w:t>Warthmann</w:t>
      </w:r>
      <w:proofErr w:type="spellEnd"/>
      <w:r w:rsidRPr="00CC094C">
        <w:rPr>
          <w:rFonts w:ascii="Times New Roman" w:eastAsia="Times New Roman" w:hAnsi="Times New Roman" w:cs="Times New Roman"/>
          <w:sz w:val="24"/>
          <w:szCs w:val="24"/>
        </w:rPr>
        <w:t xml:space="preserve"> are acknowledged for their comments on the metabolism of sulfate-reducing bacteria. We thank Helmut </w:t>
      </w:r>
      <w:proofErr w:type="spellStart"/>
      <w:r w:rsidRPr="00CC094C">
        <w:rPr>
          <w:rFonts w:ascii="Times New Roman" w:eastAsia="Times New Roman" w:hAnsi="Times New Roman" w:cs="Times New Roman"/>
          <w:sz w:val="24"/>
          <w:szCs w:val="24"/>
        </w:rPr>
        <w:t>Weissert</w:t>
      </w:r>
      <w:proofErr w:type="spellEnd"/>
      <w:r w:rsidRPr="00CC094C">
        <w:rPr>
          <w:rFonts w:ascii="Times New Roman" w:eastAsia="Times New Roman" w:hAnsi="Times New Roman" w:cs="Times New Roman"/>
          <w:sz w:val="24"/>
          <w:szCs w:val="24"/>
        </w:rPr>
        <w:t xml:space="preserve">, Judith McKenzie, and Michael </w:t>
      </w:r>
      <w:proofErr w:type="spellStart"/>
      <w:r w:rsidRPr="00CC094C">
        <w:rPr>
          <w:rFonts w:ascii="Times New Roman" w:eastAsia="Times New Roman" w:hAnsi="Times New Roman" w:cs="Times New Roman"/>
          <w:sz w:val="24"/>
          <w:szCs w:val="24"/>
        </w:rPr>
        <w:t>Böttcher</w:t>
      </w:r>
      <w:proofErr w:type="spellEnd"/>
      <w:r w:rsidRPr="00CC094C">
        <w:rPr>
          <w:rFonts w:ascii="Times New Roman" w:eastAsia="Times New Roman" w:hAnsi="Times New Roman" w:cs="Times New Roman"/>
          <w:sz w:val="24"/>
          <w:szCs w:val="24"/>
        </w:rPr>
        <w:t xml:space="preserve"> for constructive comments on earlier versions of the manuscript. This work was supported by ETH, Zurich.</w:t>
      </w:r>
    </w:p>
    <w:p w:rsidR="00CC094C" w:rsidRPr="00CC094C" w:rsidRDefault="00CC094C" w:rsidP="00CC094C">
      <w:pPr>
        <w:spacing w:before="100" w:beforeAutospacing="1" w:after="100" w:afterAutospacing="1" w:line="240" w:lineRule="auto"/>
        <w:rPr>
          <w:rFonts w:ascii="Times New Roman" w:eastAsia="Times New Roman" w:hAnsi="Times New Roman" w:cs="Times New Roman"/>
          <w:sz w:val="24"/>
          <w:szCs w:val="24"/>
        </w:rPr>
      </w:pPr>
      <w:r w:rsidRPr="00CC094C">
        <w:rPr>
          <w:rFonts w:ascii="Times New Roman" w:eastAsia="Times New Roman" w:hAnsi="Times New Roman" w:cs="Times New Roman"/>
          <w:i/>
          <w:iCs/>
          <w:sz w:val="24"/>
          <w:szCs w:val="24"/>
        </w:rPr>
        <w:t>Associate editor:</w:t>
      </w:r>
      <w:r w:rsidRPr="00CC094C">
        <w:rPr>
          <w:rFonts w:ascii="Times New Roman" w:eastAsia="Times New Roman" w:hAnsi="Times New Roman" w:cs="Times New Roman"/>
          <w:sz w:val="24"/>
          <w:szCs w:val="24"/>
        </w:rPr>
        <w:t xml:space="preserve"> Donald Canfield</w:t>
      </w:r>
    </w:p>
    <w:p w:rsidR="00E30FEA" w:rsidRDefault="00E30FEA"/>
    <w:sectPr w:rsidR="00E30FEA">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70521C"/>
    <w:multiLevelType w:val="multilevel"/>
    <w:tmpl w:val="A80A1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4B97D0E"/>
    <w:multiLevelType w:val="multilevel"/>
    <w:tmpl w:val="930CB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3C971D1"/>
    <w:multiLevelType w:val="multilevel"/>
    <w:tmpl w:val="48346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94C"/>
    <w:rsid w:val="00CC094C"/>
    <w:rsid w:val="00E30F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08037"/>
  <w15:chartTrackingRefBased/>
  <w15:docId w15:val="{7D908594-3F73-41C0-BEAE-D31B3D4CA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3679110">
      <w:bodyDiv w:val="1"/>
      <w:marLeft w:val="0"/>
      <w:marRight w:val="0"/>
      <w:marTop w:val="0"/>
      <w:marBottom w:val="0"/>
      <w:divBdr>
        <w:top w:val="none" w:sz="0" w:space="0" w:color="auto"/>
        <w:left w:val="none" w:sz="0" w:space="0" w:color="auto"/>
        <w:bottom w:val="none" w:sz="0" w:space="0" w:color="auto"/>
        <w:right w:val="none" w:sz="0" w:space="0" w:color="auto"/>
      </w:divBdr>
      <w:divsChild>
        <w:div w:id="689838595">
          <w:marLeft w:val="0"/>
          <w:marRight w:val="0"/>
          <w:marTop w:val="0"/>
          <w:marBottom w:val="0"/>
          <w:divBdr>
            <w:top w:val="none" w:sz="0" w:space="0" w:color="auto"/>
            <w:left w:val="none" w:sz="0" w:space="0" w:color="auto"/>
            <w:bottom w:val="none" w:sz="0" w:space="0" w:color="auto"/>
            <w:right w:val="none" w:sz="0" w:space="0" w:color="auto"/>
          </w:divBdr>
          <w:divsChild>
            <w:div w:id="1401439268">
              <w:marLeft w:val="0"/>
              <w:marRight w:val="0"/>
              <w:marTop w:val="0"/>
              <w:marBottom w:val="0"/>
              <w:divBdr>
                <w:top w:val="none" w:sz="0" w:space="0" w:color="auto"/>
                <w:left w:val="none" w:sz="0" w:space="0" w:color="auto"/>
                <w:bottom w:val="none" w:sz="0" w:space="0" w:color="auto"/>
                <w:right w:val="none" w:sz="0" w:space="0" w:color="auto"/>
              </w:divBdr>
              <w:divsChild>
                <w:div w:id="582178611">
                  <w:marLeft w:val="0"/>
                  <w:marRight w:val="0"/>
                  <w:marTop w:val="0"/>
                  <w:marBottom w:val="0"/>
                  <w:divBdr>
                    <w:top w:val="none" w:sz="0" w:space="0" w:color="auto"/>
                    <w:left w:val="none" w:sz="0" w:space="0" w:color="auto"/>
                    <w:bottom w:val="none" w:sz="0" w:space="0" w:color="auto"/>
                    <w:right w:val="none" w:sz="0" w:space="0" w:color="auto"/>
                  </w:divBdr>
                  <w:divsChild>
                    <w:div w:id="36379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282984">
          <w:marLeft w:val="0"/>
          <w:marRight w:val="0"/>
          <w:marTop w:val="0"/>
          <w:marBottom w:val="0"/>
          <w:divBdr>
            <w:top w:val="none" w:sz="0" w:space="0" w:color="auto"/>
            <w:left w:val="none" w:sz="0" w:space="0" w:color="auto"/>
            <w:bottom w:val="none" w:sz="0" w:space="0" w:color="auto"/>
            <w:right w:val="none" w:sz="0" w:space="0" w:color="auto"/>
          </w:divBdr>
          <w:divsChild>
            <w:div w:id="1813789801">
              <w:marLeft w:val="0"/>
              <w:marRight w:val="0"/>
              <w:marTop w:val="0"/>
              <w:marBottom w:val="0"/>
              <w:divBdr>
                <w:top w:val="none" w:sz="0" w:space="0" w:color="auto"/>
                <w:left w:val="none" w:sz="0" w:space="0" w:color="auto"/>
                <w:bottom w:val="none" w:sz="0" w:space="0" w:color="auto"/>
                <w:right w:val="none" w:sz="0" w:space="0" w:color="auto"/>
              </w:divBdr>
              <w:divsChild>
                <w:div w:id="658775749">
                  <w:marLeft w:val="0"/>
                  <w:marRight w:val="0"/>
                  <w:marTop w:val="0"/>
                  <w:marBottom w:val="0"/>
                  <w:divBdr>
                    <w:top w:val="none" w:sz="0" w:space="0" w:color="auto"/>
                    <w:left w:val="none" w:sz="0" w:space="0" w:color="auto"/>
                    <w:bottom w:val="none" w:sz="0" w:space="0" w:color="auto"/>
                    <w:right w:val="none" w:sz="0" w:space="0" w:color="auto"/>
                  </w:divBdr>
                  <w:divsChild>
                    <w:div w:id="1893077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9160486">
          <w:marLeft w:val="0"/>
          <w:marRight w:val="0"/>
          <w:marTop w:val="0"/>
          <w:marBottom w:val="0"/>
          <w:divBdr>
            <w:top w:val="none" w:sz="0" w:space="0" w:color="auto"/>
            <w:left w:val="none" w:sz="0" w:space="0" w:color="auto"/>
            <w:bottom w:val="none" w:sz="0" w:space="0" w:color="auto"/>
            <w:right w:val="none" w:sz="0" w:space="0" w:color="auto"/>
          </w:divBdr>
          <w:divsChild>
            <w:div w:id="2058553968">
              <w:marLeft w:val="0"/>
              <w:marRight w:val="0"/>
              <w:marTop w:val="0"/>
              <w:marBottom w:val="0"/>
              <w:divBdr>
                <w:top w:val="none" w:sz="0" w:space="0" w:color="auto"/>
                <w:left w:val="none" w:sz="0" w:space="0" w:color="auto"/>
                <w:bottom w:val="none" w:sz="0" w:space="0" w:color="auto"/>
                <w:right w:val="none" w:sz="0" w:space="0" w:color="auto"/>
              </w:divBdr>
            </w:div>
          </w:divsChild>
        </w:div>
        <w:div w:id="255989903">
          <w:marLeft w:val="0"/>
          <w:marRight w:val="0"/>
          <w:marTop w:val="0"/>
          <w:marBottom w:val="0"/>
          <w:divBdr>
            <w:top w:val="none" w:sz="0" w:space="0" w:color="auto"/>
            <w:left w:val="none" w:sz="0" w:space="0" w:color="auto"/>
            <w:bottom w:val="none" w:sz="0" w:space="0" w:color="auto"/>
            <w:right w:val="none" w:sz="0" w:space="0" w:color="auto"/>
          </w:divBdr>
          <w:divsChild>
            <w:div w:id="1126120402">
              <w:marLeft w:val="0"/>
              <w:marRight w:val="0"/>
              <w:marTop w:val="0"/>
              <w:marBottom w:val="0"/>
              <w:divBdr>
                <w:top w:val="none" w:sz="0" w:space="0" w:color="auto"/>
                <w:left w:val="none" w:sz="0" w:space="0" w:color="auto"/>
                <w:bottom w:val="none" w:sz="0" w:space="0" w:color="auto"/>
                <w:right w:val="none" w:sz="0" w:space="0" w:color="auto"/>
              </w:divBdr>
            </w:div>
          </w:divsChild>
        </w:div>
        <w:div w:id="1092048894">
          <w:marLeft w:val="0"/>
          <w:marRight w:val="0"/>
          <w:marTop w:val="0"/>
          <w:marBottom w:val="0"/>
          <w:divBdr>
            <w:top w:val="none" w:sz="0" w:space="0" w:color="auto"/>
            <w:left w:val="none" w:sz="0" w:space="0" w:color="auto"/>
            <w:bottom w:val="none" w:sz="0" w:space="0" w:color="auto"/>
            <w:right w:val="none" w:sz="0" w:space="0" w:color="auto"/>
          </w:divBdr>
          <w:divsChild>
            <w:div w:id="211236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iencedirect.com/topics/earth-and-planetary-sciences/sulfur-isotop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sulfur-compounds" TargetMode="External"/><Relationship Id="rId5" Type="http://schemas.openxmlformats.org/officeDocument/2006/relationships/hyperlink" Target="https://doi.org/10.1016/j.gca.2005.04.01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3602</Words>
  <Characters>20536</Characters>
  <Application>Microsoft Office Word</Application>
  <DocSecurity>0</DocSecurity>
  <Lines>171</Lines>
  <Paragraphs>48</Paragraphs>
  <ScaleCrop>false</ScaleCrop>
  <Company/>
  <LinksUpToDate>false</LinksUpToDate>
  <CharactersWithSpaces>24090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2023-11-11T08:13:00Z</dcterms:created>
  <dcterms:modified xsi:type="dcterms:W3CDTF">2023-11-11T08:14:00Z</dcterms:modified>
</cp:coreProperties>
</file>