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71161" w:rsidRPr="00971161" w:rsidRDefault="00971161" w:rsidP="00971161">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971161">
        <w:rPr>
          <w:rFonts w:ascii="Times New Roman" w:eastAsia="Times New Roman" w:hAnsi="Times New Roman" w:cs="Times New Roman"/>
          <w:b/>
          <w:bCs/>
          <w:kern w:val="36"/>
          <w:sz w:val="48"/>
          <w:szCs w:val="48"/>
          <w:lang w:val="en-US" w:eastAsia="ru-RU"/>
        </w:rPr>
        <w:t>Testing the plume theory</w:t>
      </w:r>
    </w:p>
    <w:bookmarkStart w:id="0" w:name="baep-author-id18-profile"/>
    <w:bookmarkStart w:id="1" w:name="_GoBack"/>
    <w:bookmarkEnd w:id="1"/>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eastAsia="ru-RU"/>
        </w:rPr>
        <w:fldChar w:fldCharType="begin"/>
      </w:r>
      <w:r w:rsidRPr="00971161">
        <w:rPr>
          <w:rFonts w:ascii="Times New Roman" w:eastAsia="Times New Roman" w:hAnsi="Times New Roman" w:cs="Times New Roman"/>
          <w:sz w:val="24"/>
          <w:szCs w:val="24"/>
          <w:lang w:val="en-US" w:eastAsia="ru-RU"/>
        </w:rPr>
        <w:instrText xml:space="preserve"> HYPERLINK "https://www.sciencedirect.com/author/7401749394/ian-h-campbell" </w:instrText>
      </w:r>
      <w:r w:rsidRPr="00971161">
        <w:rPr>
          <w:rFonts w:ascii="Times New Roman" w:eastAsia="Times New Roman" w:hAnsi="Times New Roman" w:cs="Times New Roman"/>
          <w:sz w:val="24"/>
          <w:szCs w:val="24"/>
          <w:lang w:eastAsia="ru-RU"/>
        </w:rPr>
        <w:fldChar w:fldCharType="separate"/>
      </w:r>
      <w:r w:rsidRPr="00971161">
        <w:rPr>
          <w:rFonts w:ascii="Times New Roman" w:eastAsia="Times New Roman" w:hAnsi="Times New Roman" w:cs="Times New Roman"/>
          <w:color w:val="0000FF"/>
          <w:sz w:val="24"/>
          <w:szCs w:val="24"/>
          <w:u w:val="single"/>
          <w:lang w:val="en-US" w:eastAsia="ru-RU"/>
        </w:rPr>
        <w:t>Ian H. Campbell</w:t>
      </w:r>
      <w:r w:rsidRPr="00971161">
        <w:rPr>
          <w:rFonts w:ascii="Times New Roman" w:eastAsia="Times New Roman" w:hAnsi="Times New Roman" w:cs="Times New Roman"/>
          <w:sz w:val="24"/>
          <w:szCs w:val="24"/>
          <w:lang w:eastAsia="ru-RU"/>
        </w:rPr>
        <w:fldChar w:fldCharType="end"/>
      </w:r>
      <w:bookmarkEnd w:id="0"/>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Abstract</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 xml:space="preserve">The physics of low Reynolds number plumes is well understood, and this allows a number of testable predictions to be made about </w:t>
      </w:r>
      <w:hyperlink r:id="rId4" w:history="1">
        <w:r w:rsidRPr="00971161">
          <w:rPr>
            <w:rFonts w:ascii="Times New Roman" w:eastAsia="Times New Roman" w:hAnsi="Times New Roman" w:cs="Times New Roman"/>
            <w:color w:val="0000FF"/>
            <w:sz w:val="24"/>
            <w:szCs w:val="24"/>
            <w:u w:val="single"/>
            <w:lang w:val="en-US" w:eastAsia="ru-RU"/>
          </w:rPr>
          <w:t>mantle plumes</w:t>
        </w:r>
      </w:hyperlink>
      <w:r w:rsidRPr="00971161">
        <w:rPr>
          <w:rFonts w:ascii="Times New Roman" w:eastAsia="Times New Roman" w:hAnsi="Times New Roman" w:cs="Times New Roman"/>
          <w:sz w:val="24"/>
          <w:szCs w:val="24"/>
          <w:lang w:val="en-US" w:eastAsia="ru-RU"/>
        </w:rPr>
        <w:t xml:space="preserve">. Mantle plumes are predicted to originate from the core–mantle boundary and consist of a large head, </w:t>
      </w:r>
      <w:r w:rsidRPr="00971161">
        <w:rPr>
          <w:rFonts w:ascii="Cambria Math" w:eastAsia="Times New Roman" w:hAnsi="Cambria Math" w:cs="Cambria Math"/>
          <w:sz w:val="24"/>
          <w:szCs w:val="24"/>
          <w:lang w:val="en-US" w:eastAsia="ru-RU"/>
        </w:rPr>
        <w:t>∼</w:t>
      </w:r>
      <w:r w:rsidRPr="00971161">
        <w:rPr>
          <w:rFonts w:ascii="Times New Roman" w:eastAsia="Times New Roman" w:hAnsi="Times New Roman" w:cs="Times New Roman"/>
          <w:sz w:val="24"/>
          <w:szCs w:val="24"/>
          <w:lang w:val="en-US" w:eastAsia="ru-RU"/>
        </w:rPr>
        <w:t xml:space="preserve"> 1000 km in diameter followed by a narrower tail. When the head reaches the top of its ascent it flattens to form a disk with a diameter from 2000 to 2500 km. The prediction that plumes originate from the core–mantle boundary has recently been confirmed by seismic studies, using a new finite frequency technique, which has successfully traced plumes to the core–mantle boundary. The prediction that plume heads should form flattened disks 2000 to 2500 km across is confirmed by the length of thickened </w:t>
      </w:r>
      <w:hyperlink r:id="rId5" w:history="1">
        <w:r w:rsidRPr="00971161">
          <w:rPr>
            <w:rFonts w:ascii="Times New Roman" w:eastAsia="Times New Roman" w:hAnsi="Times New Roman" w:cs="Times New Roman"/>
            <w:color w:val="0000FF"/>
            <w:sz w:val="24"/>
            <w:szCs w:val="24"/>
            <w:u w:val="single"/>
            <w:lang w:val="en-US" w:eastAsia="ru-RU"/>
          </w:rPr>
          <w:t>oceanic crust</w:t>
        </w:r>
      </w:hyperlink>
      <w:r w:rsidRPr="00971161">
        <w:rPr>
          <w:rFonts w:ascii="Times New Roman" w:eastAsia="Times New Roman" w:hAnsi="Times New Roman" w:cs="Times New Roman"/>
          <w:sz w:val="24"/>
          <w:szCs w:val="24"/>
          <w:lang w:val="en-US" w:eastAsia="ru-RU"/>
        </w:rPr>
        <w:t xml:space="preserve"> that developed during the early stages of the opening of the North Atlantic above the Iceland plume head. This resulted in hot mantle from the plume head being drawn into the spreading </w:t>
      </w:r>
      <w:proofErr w:type="spellStart"/>
      <w:r w:rsidRPr="00971161">
        <w:rPr>
          <w:rFonts w:ascii="Times New Roman" w:eastAsia="Times New Roman" w:hAnsi="Times New Roman" w:cs="Times New Roman"/>
          <w:sz w:val="24"/>
          <w:szCs w:val="24"/>
          <w:lang w:val="en-US" w:eastAsia="ru-RU"/>
        </w:rPr>
        <w:t>centre</w:t>
      </w:r>
      <w:proofErr w:type="spellEnd"/>
      <w:r w:rsidRPr="00971161">
        <w:rPr>
          <w:rFonts w:ascii="Times New Roman" w:eastAsia="Times New Roman" w:hAnsi="Times New Roman" w:cs="Times New Roman"/>
          <w:sz w:val="24"/>
          <w:szCs w:val="24"/>
          <w:lang w:val="en-US" w:eastAsia="ru-RU"/>
        </w:rPr>
        <w:t xml:space="preserve"> to produce 2400 km of thickened oceanic crust on both sides of the Atlantic, as predicted. Initial eruption from a plume head should be preceded by </w:t>
      </w:r>
      <w:r w:rsidRPr="00971161">
        <w:rPr>
          <w:rFonts w:ascii="Cambria Math" w:eastAsia="Times New Roman" w:hAnsi="Cambria Math" w:cs="Cambria Math"/>
          <w:sz w:val="24"/>
          <w:szCs w:val="24"/>
          <w:lang w:val="en-US" w:eastAsia="ru-RU"/>
        </w:rPr>
        <w:t>∼</w:t>
      </w:r>
      <w:r w:rsidRPr="00971161">
        <w:rPr>
          <w:rFonts w:ascii="Times New Roman" w:eastAsia="Times New Roman" w:hAnsi="Times New Roman" w:cs="Times New Roman"/>
          <w:sz w:val="24"/>
          <w:szCs w:val="24"/>
          <w:lang w:val="en-US" w:eastAsia="ru-RU"/>
        </w:rPr>
        <w:t xml:space="preserve"> 1000 m of domal uplift. Uplift prior to </w:t>
      </w:r>
      <w:hyperlink r:id="rId6" w:history="1">
        <w:r w:rsidRPr="00971161">
          <w:rPr>
            <w:rFonts w:ascii="Times New Roman" w:eastAsia="Times New Roman" w:hAnsi="Times New Roman" w:cs="Times New Roman"/>
            <w:color w:val="0000FF"/>
            <w:sz w:val="24"/>
            <w:szCs w:val="24"/>
            <w:u w:val="single"/>
            <w:lang w:val="en-US" w:eastAsia="ru-RU"/>
          </w:rPr>
          <w:t>volcanism</w:t>
        </w:r>
      </w:hyperlink>
      <w:r w:rsidRPr="00971161">
        <w:rPr>
          <w:rFonts w:ascii="Times New Roman" w:eastAsia="Times New Roman" w:hAnsi="Times New Roman" w:cs="Times New Roman"/>
          <w:sz w:val="24"/>
          <w:szCs w:val="24"/>
          <w:lang w:val="en-US" w:eastAsia="ru-RU"/>
        </w:rPr>
        <w:t xml:space="preserve"> has been documented for a number of </w:t>
      </w:r>
      <w:hyperlink r:id="rId7" w:history="1">
        <w:r w:rsidRPr="00971161">
          <w:rPr>
            <w:rFonts w:ascii="Times New Roman" w:eastAsia="Times New Roman" w:hAnsi="Times New Roman" w:cs="Times New Roman"/>
            <w:color w:val="0000FF"/>
            <w:sz w:val="24"/>
            <w:szCs w:val="24"/>
            <w:u w:val="single"/>
            <w:lang w:val="en-US" w:eastAsia="ru-RU"/>
          </w:rPr>
          <w:t>flood basalt</w:t>
        </w:r>
      </w:hyperlink>
      <w:r w:rsidRPr="00971161">
        <w:rPr>
          <w:rFonts w:ascii="Times New Roman" w:eastAsia="Times New Roman" w:hAnsi="Times New Roman" w:cs="Times New Roman"/>
          <w:sz w:val="24"/>
          <w:szCs w:val="24"/>
          <w:lang w:val="en-US" w:eastAsia="ru-RU"/>
        </w:rPr>
        <w:t xml:space="preserve"> provinces, the best example being </w:t>
      </w:r>
      <w:proofErr w:type="spellStart"/>
      <w:r w:rsidRPr="00971161">
        <w:rPr>
          <w:rFonts w:ascii="Times New Roman" w:eastAsia="Times New Roman" w:hAnsi="Times New Roman" w:cs="Times New Roman"/>
          <w:sz w:val="24"/>
          <w:szCs w:val="24"/>
          <w:lang w:val="en-US" w:eastAsia="ru-RU"/>
        </w:rPr>
        <w:t>Emeishan</w:t>
      </w:r>
      <w:proofErr w:type="spellEnd"/>
      <w:r w:rsidRPr="00971161">
        <w:rPr>
          <w:rFonts w:ascii="Times New Roman" w:eastAsia="Times New Roman" w:hAnsi="Times New Roman" w:cs="Times New Roman"/>
          <w:sz w:val="24"/>
          <w:szCs w:val="24"/>
          <w:lang w:val="en-US" w:eastAsia="ru-RU"/>
        </w:rPr>
        <w:t xml:space="preserve"> in China where the shape and magnitude of the observed uplifted dome agrees closely with that predicted from laboratory and </w:t>
      </w:r>
      <w:hyperlink r:id="rId8" w:history="1">
        <w:r w:rsidRPr="00971161">
          <w:rPr>
            <w:rFonts w:ascii="Times New Roman" w:eastAsia="Times New Roman" w:hAnsi="Times New Roman" w:cs="Times New Roman"/>
            <w:color w:val="0000FF"/>
            <w:sz w:val="24"/>
            <w:szCs w:val="24"/>
            <w:u w:val="single"/>
            <w:lang w:val="en-US" w:eastAsia="ru-RU"/>
          </w:rPr>
          <w:t>numerical modelling</w:t>
        </w:r>
      </w:hyperlink>
      <w:r w:rsidRPr="00971161">
        <w:rPr>
          <w:rFonts w:ascii="Times New Roman" w:eastAsia="Times New Roman" w:hAnsi="Times New Roman" w:cs="Times New Roman"/>
          <w:sz w:val="24"/>
          <w:szCs w:val="24"/>
          <w:lang w:val="en-US" w:eastAsia="ru-RU"/>
        </w:rPr>
        <w:t xml:space="preserve">. High-temperature </w:t>
      </w:r>
      <w:hyperlink r:id="rId9" w:history="1">
        <w:proofErr w:type="spellStart"/>
        <w:r w:rsidRPr="00971161">
          <w:rPr>
            <w:rFonts w:ascii="Times New Roman" w:eastAsia="Times New Roman" w:hAnsi="Times New Roman" w:cs="Times New Roman"/>
            <w:color w:val="0000FF"/>
            <w:sz w:val="24"/>
            <w:szCs w:val="24"/>
            <w:u w:val="single"/>
            <w:lang w:val="en-US" w:eastAsia="ru-RU"/>
          </w:rPr>
          <w:t>picrites</w:t>
        </w:r>
        <w:proofErr w:type="spellEnd"/>
      </w:hyperlink>
      <w:r w:rsidRPr="00971161">
        <w:rPr>
          <w:rFonts w:ascii="Times New Roman" w:eastAsia="Times New Roman" w:hAnsi="Times New Roman" w:cs="Times New Roman"/>
          <w:sz w:val="24"/>
          <w:szCs w:val="24"/>
          <w:lang w:val="en-US" w:eastAsia="ru-RU"/>
        </w:rPr>
        <w:t xml:space="preserve"> are expected to dominate the first eruptive products of a new plume and should be more abundant near the </w:t>
      </w:r>
      <w:proofErr w:type="spellStart"/>
      <w:r w:rsidRPr="00971161">
        <w:rPr>
          <w:rFonts w:ascii="Times New Roman" w:eastAsia="Times New Roman" w:hAnsi="Times New Roman" w:cs="Times New Roman"/>
          <w:sz w:val="24"/>
          <w:szCs w:val="24"/>
          <w:lang w:val="en-US" w:eastAsia="ru-RU"/>
        </w:rPr>
        <w:t>centre</w:t>
      </w:r>
      <w:proofErr w:type="spellEnd"/>
      <w:r w:rsidRPr="00971161">
        <w:rPr>
          <w:rFonts w:ascii="Times New Roman" w:eastAsia="Times New Roman" w:hAnsi="Times New Roman" w:cs="Times New Roman"/>
          <w:sz w:val="24"/>
          <w:szCs w:val="24"/>
          <w:lang w:val="en-US" w:eastAsia="ru-RU"/>
        </w:rPr>
        <w:t xml:space="preserve"> of the volcanic province. This distribution of </w:t>
      </w:r>
      <w:proofErr w:type="spellStart"/>
      <w:r w:rsidRPr="00971161">
        <w:rPr>
          <w:rFonts w:ascii="Times New Roman" w:eastAsia="Times New Roman" w:hAnsi="Times New Roman" w:cs="Times New Roman"/>
          <w:sz w:val="24"/>
          <w:szCs w:val="24"/>
          <w:lang w:val="en-US" w:eastAsia="ru-RU"/>
        </w:rPr>
        <w:t>picrites</w:t>
      </w:r>
      <w:proofErr w:type="spellEnd"/>
      <w:r w:rsidRPr="00971161">
        <w:rPr>
          <w:rFonts w:ascii="Times New Roman" w:eastAsia="Times New Roman" w:hAnsi="Times New Roman" w:cs="Times New Roman"/>
          <w:sz w:val="24"/>
          <w:szCs w:val="24"/>
          <w:lang w:val="en-US" w:eastAsia="ru-RU"/>
        </w:rPr>
        <w:t xml:space="preserve"> is observed in the Karoo and </w:t>
      </w:r>
      <w:proofErr w:type="spellStart"/>
      <w:r w:rsidRPr="00971161">
        <w:rPr>
          <w:rFonts w:ascii="Times New Roman" w:eastAsia="Times New Roman" w:hAnsi="Times New Roman" w:cs="Times New Roman"/>
          <w:sz w:val="24"/>
          <w:szCs w:val="24"/>
          <w:lang w:val="en-US" w:eastAsia="ru-RU"/>
        </w:rPr>
        <w:t>Emeishan</w:t>
      </w:r>
      <w:proofErr w:type="spellEnd"/>
      <w:r w:rsidRPr="00971161">
        <w:rPr>
          <w:rFonts w:ascii="Times New Roman" w:eastAsia="Times New Roman" w:hAnsi="Times New Roman" w:cs="Times New Roman"/>
          <w:sz w:val="24"/>
          <w:szCs w:val="24"/>
          <w:lang w:val="en-US" w:eastAsia="ru-RU"/>
        </w:rPr>
        <w:t xml:space="preserve">. </w:t>
      </w:r>
      <w:proofErr w:type="spellStart"/>
      <w:r w:rsidRPr="00971161">
        <w:rPr>
          <w:rFonts w:ascii="Times New Roman" w:eastAsia="Times New Roman" w:hAnsi="Times New Roman" w:cs="Times New Roman"/>
          <w:sz w:val="24"/>
          <w:szCs w:val="24"/>
          <w:lang w:val="en-US" w:eastAsia="ru-RU"/>
        </w:rPr>
        <w:t>Picrites</w:t>
      </w:r>
      <w:proofErr w:type="spellEnd"/>
      <w:r w:rsidRPr="00971161">
        <w:rPr>
          <w:rFonts w:ascii="Times New Roman" w:eastAsia="Times New Roman" w:hAnsi="Times New Roman" w:cs="Times New Roman"/>
          <w:sz w:val="24"/>
          <w:szCs w:val="24"/>
          <w:lang w:val="en-US" w:eastAsia="ru-RU"/>
        </w:rPr>
        <w:t xml:space="preserve"> are also found in the Iceland–North Atlantic </w:t>
      </w:r>
      <w:hyperlink r:id="rId10" w:history="1">
        <w:r w:rsidRPr="00971161">
          <w:rPr>
            <w:rFonts w:ascii="Times New Roman" w:eastAsia="Times New Roman" w:hAnsi="Times New Roman" w:cs="Times New Roman"/>
            <w:color w:val="0000FF"/>
            <w:sz w:val="24"/>
            <w:szCs w:val="24"/>
            <w:u w:val="single"/>
            <w:lang w:val="en-US" w:eastAsia="ru-RU"/>
          </w:rPr>
          <w:t>Igneous Province</w:t>
        </w:r>
      </w:hyperlink>
      <w:r w:rsidRPr="00971161">
        <w:rPr>
          <w:rFonts w:ascii="Times New Roman" w:eastAsia="Times New Roman" w:hAnsi="Times New Roman" w:cs="Times New Roman"/>
          <w:sz w:val="24"/>
          <w:szCs w:val="24"/>
          <w:lang w:val="en-US" w:eastAsia="ru-RU"/>
        </w:rPr>
        <w:t>, Reunion–Deccan, Parana–</w:t>
      </w:r>
      <w:proofErr w:type="spellStart"/>
      <w:r w:rsidRPr="00971161">
        <w:rPr>
          <w:rFonts w:ascii="Times New Roman" w:eastAsia="Times New Roman" w:hAnsi="Times New Roman" w:cs="Times New Roman"/>
          <w:sz w:val="24"/>
          <w:szCs w:val="24"/>
          <w:lang w:val="en-US" w:eastAsia="ru-RU"/>
        </w:rPr>
        <w:t>Etendeka</w:t>
      </w:r>
      <w:proofErr w:type="spellEnd"/>
      <w:r w:rsidRPr="00971161">
        <w:rPr>
          <w:rFonts w:ascii="Times New Roman" w:eastAsia="Times New Roman" w:hAnsi="Times New Roman" w:cs="Times New Roman"/>
          <w:sz w:val="24"/>
          <w:szCs w:val="24"/>
          <w:lang w:val="en-US" w:eastAsia="ru-RU"/>
        </w:rPr>
        <w:t>–Tristan da Cunha, Siberian Traps (</w:t>
      </w:r>
      <w:proofErr w:type="spellStart"/>
      <w:r w:rsidRPr="00971161">
        <w:rPr>
          <w:rFonts w:ascii="Times New Roman" w:eastAsia="Times New Roman" w:hAnsi="Times New Roman" w:cs="Times New Roman"/>
          <w:sz w:val="24"/>
          <w:szCs w:val="24"/>
          <w:lang w:val="en-US" w:eastAsia="ru-RU"/>
        </w:rPr>
        <w:t>Meymechites</w:t>
      </w:r>
      <w:proofErr w:type="spellEnd"/>
      <w:r w:rsidRPr="00971161">
        <w:rPr>
          <w:rFonts w:ascii="Times New Roman" w:eastAsia="Times New Roman" w:hAnsi="Times New Roman" w:cs="Times New Roman"/>
          <w:sz w:val="24"/>
          <w:szCs w:val="24"/>
          <w:lang w:val="en-US" w:eastAsia="ru-RU"/>
        </w:rPr>
        <w:t xml:space="preserve">), Caribbean–Colombian and Hawaii </w:t>
      </w:r>
      <w:hyperlink r:id="rId11" w:history="1">
        <w:r w:rsidRPr="00971161">
          <w:rPr>
            <w:rFonts w:ascii="Times New Roman" w:eastAsia="Times New Roman" w:hAnsi="Times New Roman" w:cs="Times New Roman"/>
            <w:color w:val="0000FF"/>
            <w:sz w:val="24"/>
            <w:szCs w:val="24"/>
            <w:u w:val="single"/>
            <w:lang w:val="en-US" w:eastAsia="ru-RU"/>
          </w:rPr>
          <w:t>large igneous provinces</w:t>
        </w:r>
      </w:hyperlink>
      <w:r w:rsidRPr="00971161">
        <w:rPr>
          <w:rFonts w:ascii="Times New Roman" w:eastAsia="Times New Roman" w:hAnsi="Times New Roman" w:cs="Times New Roman"/>
          <w:sz w:val="24"/>
          <w:szCs w:val="24"/>
          <w:lang w:val="en-US" w:eastAsia="ru-RU"/>
        </w:rPr>
        <w:t xml:space="preserve"> (LIPs). The excellent agreement between the predictions of the mantle plume hypothesis and observations provides strong support for the veracity of the hypothesis. Confirmation that plume heads have a diameter of 1000 km in the </w:t>
      </w:r>
      <w:hyperlink r:id="rId12" w:history="1">
        <w:r w:rsidRPr="00971161">
          <w:rPr>
            <w:rFonts w:ascii="Times New Roman" w:eastAsia="Times New Roman" w:hAnsi="Times New Roman" w:cs="Times New Roman"/>
            <w:color w:val="0000FF"/>
            <w:sz w:val="24"/>
            <w:szCs w:val="24"/>
            <w:u w:val="single"/>
            <w:lang w:val="en-US" w:eastAsia="ru-RU"/>
          </w:rPr>
          <w:t>upper mantle</w:t>
        </w:r>
      </w:hyperlink>
      <w:r w:rsidRPr="00971161">
        <w:rPr>
          <w:rFonts w:ascii="Times New Roman" w:eastAsia="Times New Roman" w:hAnsi="Times New Roman" w:cs="Times New Roman"/>
          <w:sz w:val="24"/>
          <w:szCs w:val="24"/>
          <w:lang w:val="en-US" w:eastAsia="ru-RU"/>
        </w:rPr>
        <w:t xml:space="preserve"> requires that plumes originate near the core–mantle boundary. As a consequence, plume tails sample a </w:t>
      </w:r>
      <w:hyperlink r:id="rId13" w:history="1">
        <w:r w:rsidRPr="00971161">
          <w:rPr>
            <w:rFonts w:ascii="Times New Roman" w:eastAsia="Times New Roman" w:hAnsi="Times New Roman" w:cs="Times New Roman"/>
            <w:color w:val="0000FF"/>
            <w:sz w:val="24"/>
            <w:szCs w:val="24"/>
            <w:u w:val="single"/>
            <w:lang w:val="en-US" w:eastAsia="ru-RU"/>
          </w:rPr>
          <w:t>thermal boundary layer</w:t>
        </w:r>
      </w:hyperlink>
      <w:r w:rsidRPr="00971161">
        <w:rPr>
          <w:rFonts w:ascii="Times New Roman" w:eastAsia="Times New Roman" w:hAnsi="Times New Roman" w:cs="Times New Roman"/>
          <w:sz w:val="24"/>
          <w:szCs w:val="24"/>
          <w:lang w:val="en-US" w:eastAsia="ru-RU"/>
        </w:rPr>
        <w:t xml:space="preserve"> near the core–mantle boundary and plume heads are a mixture of this material and </w:t>
      </w:r>
      <w:hyperlink r:id="rId14" w:history="1">
        <w:r w:rsidRPr="00971161">
          <w:rPr>
            <w:rFonts w:ascii="Times New Roman" w:eastAsia="Times New Roman" w:hAnsi="Times New Roman" w:cs="Times New Roman"/>
            <w:color w:val="0000FF"/>
            <w:sz w:val="24"/>
            <w:szCs w:val="24"/>
            <w:u w:val="single"/>
            <w:lang w:val="en-US" w:eastAsia="ru-RU"/>
          </w:rPr>
          <w:t>lower mantle</w:t>
        </w:r>
      </w:hyperlink>
      <w:r w:rsidRPr="00971161">
        <w:rPr>
          <w:rFonts w:ascii="Times New Roman" w:eastAsia="Times New Roman" w:hAnsi="Times New Roman" w:cs="Times New Roman"/>
          <w:sz w:val="24"/>
          <w:szCs w:val="24"/>
          <w:lang w:val="en-US" w:eastAsia="ru-RU"/>
        </w:rPr>
        <w:t xml:space="preserve"> that becomes entrained into the head. The melting products of plume tails and heads can therefore be used to deduce the composition of the material in the thermal boundary layer near the core and the lower mantle respectively. Furthermore, because the high-temperature melting products of plumes can be </w:t>
      </w:r>
      <w:proofErr w:type="spellStart"/>
      <w:r w:rsidRPr="00971161">
        <w:rPr>
          <w:rFonts w:ascii="Times New Roman" w:eastAsia="Times New Roman" w:hAnsi="Times New Roman" w:cs="Times New Roman"/>
          <w:sz w:val="24"/>
          <w:szCs w:val="24"/>
          <w:lang w:val="en-US" w:eastAsia="ru-RU"/>
        </w:rPr>
        <w:t>recognised</w:t>
      </w:r>
      <w:proofErr w:type="spellEnd"/>
      <w:r w:rsidRPr="00971161">
        <w:rPr>
          <w:rFonts w:ascii="Times New Roman" w:eastAsia="Times New Roman" w:hAnsi="Times New Roman" w:cs="Times New Roman"/>
          <w:sz w:val="24"/>
          <w:szCs w:val="24"/>
          <w:lang w:val="en-US" w:eastAsia="ru-RU"/>
        </w:rPr>
        <w:t xml:space="preserve"> throughout the </w:t>
      </w:r>
      <w:hyperlink r:id="rId15" w:history="1">
        <w:r w:rsidRPr="00971161">
          <w:rPr>
            <w:rFonts w:ascii="Times New Roman" w:eastAsia="Times New Roman" w:hAnsi="Times New Roman" w:cs="Times New Roman"/>
            <w:color w:val="0000FF"/>
            <w:sz w:val="24"/>
            <w:szCs w:val="24"/>
            <w:u w:val="single"/>
            <w:lang w:val="en-US" w:eastAsia="ru-RU"/>
          </w:rPr>
          <w:t>geological record</w:t>
        </w:r>
      </w:hyperlink>
      <w:r w:rsidRPr="00971161">
        <w:rPr>
          <w:rFonts w:ascii="Times New Roman" w:eastAsia="Times New Roman" w:hAnsi="Times New Roman" w:cs="Times New Roman"/>
          <w:sz w:val="24"/>
          <w:szCs w:val="24"/>
          <w:lang w:val="en-US" w:eastAsia="ru-RU"/>
        </w:rPr>
        <w:t xml:space="preserve"> they can be used to document the variations in the chemistry of the mantle in the boundary layer near the core with time.</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Introduction</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 xml:space="preserve">It was Wilson (1963) who first suggested that the age progression in the Hawaiian Islands was produced by the oceanic lithosphere moving over a stationary “hot spot” in the mantle but he offered no physical explanation as to why the mantle beneath Hawaii should be anomalously hot. Eight years later Morgan (1971) </w:t>
      </w:r>
      <w:proofErr w:type="spellStart"/>
      <w:r w:rsidRPr="00971161">
        <w:rPr>
          <w:rFonts w:ascii="Times New Roman" w:eastAsia="Times New Roman" w:hAnsi="Times New Roman" w:cs="Times New Roman"/>
          <w:sz w:val="24"/>
          <w:szCs w:val="24"/>
          <w:lang w:val="en-US" w:eastAsia="ru-RU"/>
        </w:rPr>
        <w:t>recognised</w:t>
      </w:r>
      <w:proofErr w:type="spellEnd"/>
      <w:r w:rsidRPr="00971161">
        <w:rPr>
          <w:rFonts w:ascii="Times New Roman" w:eastAsia="Times New Roman" w:hAnsi="Times New Roman" w:cs="Times New Roman"/>
          <w:sz w:val="24"/>
          <w:szCs w:val="24"/>
          <w:lang w:val="en-US" w:eastAsia="ru-RU"/>
        </w:rPr>
        <w:t xml:space="preserve"> that Wilson's hotspots were probably plumes of hot mantle that originated from a boundary layer above the core. Over the last thirty-five years a combination of laboratory experiments, numerical models, and geophysical and geochemical observations have resulted in the Wilson–Morgan hypothesis maturing from vague suggestion to a well-established theory.</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 xml:space="preserve">Mantle plumes can be defined as focused, dominantly vertical flows driven by buoyancy. They are one of two distinct components in mantle convection, each driven by buoyancy anomalies that originate in one of the mantle's boundary layers. The upper boundary layer is relatively cold. </w:t>
      </w:r>
      <w:r w:rsidRPr="00971161">
        <w:rPr>
          <w:rFonts w:ascii="Times New Roman" w:eastAsia="Times New Roman" w:hAnsi="Times New Roman" w:cs="Times New Roman"/>
          <w:sz w:val="24"/>
          <w:szCs w:val="24"/>
          <w:lang w:val="en-US" w:eastAsia="ru-RU"/>
        </w:rPr>
        <w:lastRenderedPageBreak/>
        <w:t xml:space="preserve">Oceanic lithosphere forms at mid-ocean ridges, cools so that it eventually becomes denser than the underlying mantle and sinks back into the mantle at subduction zones. The sinking of outer boundary layer is the force that drives plate tectonics and it is indirectly responsible for the generation of mid-ocean ridge and island-arc basalts. The mantle's lower boundary layer is relatively hot. Heat conducted from the Earth's core warms the overlying mantle and lowers its density until it eventually breaks away to form plumes. Plumes are thought to be responsible for continental flood basalts, giant oceanic plateaus and age-progressive aseismic ridges, which are collectively referred to as large igneous provinces (LIPs; Coffin and </w:t>
      </w:r>
      <w:proofErr w:type="spellStart"/>
      <w:r w:rsidRPr="00971161">
        <w:rPr>
          <w:rFonts w:ascii="Times New Roman" w:eastAsia="Times New Roman" w:hAnsi="Times New Roman" w:cs="Times New Roman"/>
          <w:sz w:val="24"/>
          <w:szCs w:val="24"/>
          <w:lang w:val="en-US" w:eastAsia="ru-RU"/>
        </w:rPr>
        <w:t>Eldholm</w:t>
      </w:r>
      <w:proofErr w:type="spellEnd"/>
      <w:r w:rsidRPr="00971161">
        <w:rPr>
          <w:rFonts w:ascii="Times New Roman" w:eastAsia="Times New Roman" w:hAnsi="Times New Roman" w:cs="Times New Roman"/>
          <w:sz w:val="24"/>
          <w:szCs w:val="24"/>
          <w:lang w:val="en-US" w:eastAsia="ru-RU"/>
        </w:rPr>
        <w:t>, 1994).</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 xml:space="preserve">Fig. 1 is a plan of the Deccan Traps, which is a typical flood basalt province. The Deccan Traps and Seychelles continental fragment, which were part of the Indian sub-continent before they were separated from India by spreading on the Carlsberg–Central Indian Ocean Ridge, covered an </w:t>
      </w:r>
      <w:proofErr w:type="spellStart"/>
      <w:r w:rsidRPr="00971161">
        <w:rPr>
          <w:rFonts w:ascii="Times New Roman" w:eastAsia="Times New Roman" w:hAnsi="Times New Roman" w:cs="Times New Roman"/>
          <w:sz w:val="24"/>
          <w:szCs w:val="24"/>
          <w:lang w:val="en-US" w:eastAsia="ru-RU"/>
        </w:rPr>
        <w:t>equi</w:t>
      </w:r>
      <w:proofErr w:type="spellEnd"/>
      <w:r w:rsidRPr="00971161">
        <w:rPr>
          <w:rFonts w:ascii="Times New Roman" w:eastAsia="Times New Roman" w:hAnsi="Times New Roman" w:cs="Times New Roman"/>
          <w:sz w:val="24"/>
          <w:szCs w:val="24"/>
          <w:lang w:val="en-US" w:eastAsia="ru-RU"/>
        </w:rPr>
        <w:t xml:space="preserve">-dimensional area about 2000 km across (White and McKenzie, 1989). Notice that the Deccan Traps are connected by the 200–300 km wide </w:t>
      </w:r>
      <w:proofErr w:type="spellStart"/>
      <w:r w:rsidRPr="00971161">
        <w:rPr>
          <w:rFonts w:ascii="Times New Roman" w:eastAsia="Times New Roman" w:hAnsi="Times New Roman" w:cs="Times New Roman"/>
          <w:sz w:val="24"/>
          <w:szCs w:val="24"/>
          <w:lang w:val="en-US" w:eastAsia="ru-RU"/>
        </w:rPr>
        <w:t>Chagos</w:t>
      </w:r>
      <w:proofErr w:type="spellEnd"/>
      <w:r w:rsidRPr="00971161">
        <w:rPr>
          <w:rFonts w:ascii="Times New Roman" w:eastAsia="Times New Roman" w:hAnsi="Times New Roman" w:cs="Times New Roman"/>
          <w:sz w:val="24"/>
          <w:szCs w:val="24"/>
          <w:lang w:val="en-US" w:eastAsia="ru-RU"/>
        </w:rPr>
        <w:t>–</w:t>
      </w:r>
      <w:proofErr w:type="spellStart"/>
      <w:r w:rsidRPr="00971161">
        <w:rPr>
          <w:rFonts w:ascii="Times New Roman" w:eastAsia="Times New Roman" w:hAnsi="Times New Roman" w:cs="Times New Roman"/>
          <w:sz w:val="24"/>
          <w:szCs w:val="24"/>
          <w:lang w:val="en-US" w:eastAsia="ru-RU"/>
        </w:rPr>
        <w:t>Lacadive</w:t>
      </w:r>
      <w:proofErr w:type="spellEnd"/>
      <w:r w:rsidRPr="00971161">
        <w:rPr>
          <w:rFonts w:ascii="Times New Roman" w:eastAsia="Times New Roman" w:hAnsi="Times New Roman" w:cs="Times New Roman"/>
          <w:sz w:val="24"/>
          <w:szCs w:val="24"/>
          <w:lang w:val="en-US" w:eastAsia="ru-RU"/>
        </w:rPr>
        <w:t xml:space="preserve"> Ridge, across the Carlsberg–Central Indian Ridge, through the Mascarene Plateau to an active volcano at Reunion. The plume hypothesis attributes flood basalts, like the Deccan traps (and giant oceanic plateaus), to melting of a plume head, and aseismic ridges, such as the </w:t>
      </w:r>
      <w:proofErr w:type="spellStart"/>
      <w:r w:rsidRPr="00971161">
        <w:rPr>
          <w:rFonts w:ascii="Times New Roman" w:eastAsia="Times New Roman" w:hAnsi="Times New Roman" w:cs="Times New Roman"/>
          <w:sz w:val="24"/>
          <w:szCs w:val="24"/>
          <w:lang w:val="en-US" w:eastAsia="ru-RU"/>
        </w:rPr>
        <w:t>Chagos</w:t>
      </w:r>
      <w:proofErr w:type="spellEnd"/>
      <w:r w:rsidRPr="00971161">
        <w:rPr>
          <w:rFonts w:ascii="Times New Roman" w:eastAsia="Times New Roman" w:hAnsi="Times New Roman" w:cs="Times New Roman"/>
          <w:sz w:val="24"/>
          <w:szCs w:val="24"/>
          <w:lang w:val="en-US" w:eastAsia="ru-RU"/>
        </w:rPr>
        <w:t>–</w:t>
      </w:r>
      <w:proofErr w:type="spellStart"/>
      <w:r w:rsidRPr="00971161">
        <w:rPr>
          <w:rFonts w:ascii="Times New Roman" w:eastAsia="Times New Roman" w:hAnsi="Times New Roman" w:cs="Times New Roman"/>
          <w:sz w:val="24"/>
          <w:szCs w:val="24"/>
          <w:lang w:val="en-US" w:eastAsia="ru-RU"/>
        </w:rPr>
        <w:t>Lacadive</w:t>
      </w:r>
      <w:proofErr w:type="spellEnd"/>
      <w:r w:rsidRPr="00971161">
        <w:rPr>
          <w:rFonts w:ascii="Times New Roman" w:eastAsia="Times New Roman" w:hAnsi="Times New Roman" w:cs="Times New Roman"/>
          <w:sz w:val="24"/>
          <w:szCs w:val="24"/>
          <w:lang w:val="en-US" w:eastAsia="ru-RU"/>
        </w:rPr>
        <w:t xml:space="preserve"> Ridge–</w:t>
      </w:r>
      <w:proofErr w:type="spellStart"/>
      <w:r w:rsidRPr="00971161">
        <w:rPr>
          <w:rFonts w:ascii="Times New Roman" w:eastAsia="Times New Roman" w:hAnsi="Times New Roman" w:cs="Times New Roman"/>
          <w:sz w:val="24"/>
          <w:szCs w:val="24"/>
          <w:lang w:val="en-US" w:eastAsia="ru-RU"/>
        </w:rPr>
        <w:t>Mascarine</w:t>
      </w:r>
      <w:proofErr w:type="spellEnd"/>
      <w:r w:rsidRPr="00971161">
        <w:rPr>
          <w:rFonts w:ascii="Times New Roman" w:eastAsia="Times New Roman" w:hAnsi="Times New Roman" w:cs="Times New Roman"/>
          <w:sz w:val="24"/>
          <w:szCs w:val="24"/>
          <w:lang w:val="en-US" w:eastAsia="ru-RU"/>
        </w:rPr>
        <w:t xml:space="preserve"> Plateau, to melting of a plume tail.</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 xml:space="preserve">When a plume head rises beneath continental crust the associated buoyancy anomaly lifts the lithosphere, which places it under tension. This can lead to run-away extension and to the formation of a new ocean basin (Hill, 1991, </w:t>
      </w:r>
      <w:proofErr w:type="spellStart"/>
      <w:r w:rsidRPr="00971161">
        <w:rPr>
          <w:rFonts w:ascii="Times New Roman" w:eastAsia="Times New Roman" w:hAnsi="Times New Roman" w:cs="Times New Roman"/>
          <w:sz w:val="24"/>
          <w:szCs w:val="24"/>
          <w:lang w:val="en-US" w:eastAsia="ru-RU"/>
        </w:rPr>
        <w:t>Courtillot</w:t>
      </w:r>
      <w:proofErr w:type="spellEnd"/>
      <w:r w:rsidRPr="00971161">
        <w:rPr>
          <w:rFonts w:ascii="Times New Roman" w:eastAsia="Times New Roman" w:hAnsi="Times New Roman" w:cs="Times New Roman"/>
          <w:sz w:val="24"/>
          <w:szCs w:val="24"/>
          <w:lang w:val="en-US" w:eastAsia="ru-RU"/>
        </w:rPr>
        <w:t xml:space="preserve"> et al., 1999). During the initial stages of rifting, the hot mantle in the underlying plume head is drawn into the spreading </w:t>
      </w:r>
      <w:proofErr w:type="spellStart"/>
      <w:r w:rsidRPr="00971161">
        <w:rPr>
          <w:rFonts w:ascii="Times New Roman" w:eastAsia="Times New Roman" w:hAnsi="Times New Roman" w:cs="Times New Roman"/>
          <w:sz w:val="24"/>
          <w:szCs w:val="24"/>
          <w:lang w:val="en-US" w:eastAsia="ru-RU"/>
        </w:rPr>
        <w:t>centre</w:t>
      </w:r>
      <w:proofErr w:type="spellEnd"/>
      <w:r w:rsidRPr="00971161">
        <w:rPr>
          <w:rFonts w:ascii="Times New Roman" w:eastAsia="Times New Roman" w:hAnsi="Times New Roman" w:cs="Times New Roman"/>
          <w:sz w:val="24"/>
          <w:szCs w:val="24"/>
          <w:lang w:val="en-US" w:eastAsia="ru-RU"/>
        </w:rPr>
        <w:t xml:space="preserve"> to produce thickened oceanic crust as illustrated in Fig. 2. There is therefore an expectation that there will be two stages of flood volcanism (Campbell, 1998) if flood volcanism is followed by run-away extension. Stage 1 is melting of a plume head before the onset of significant extension (Hooper, 1990). It produces a continental flood basalt or oceanic plateau, the oceanic equivalent of a flood basalt province, if the plume rises below an ocean basin. Stage 2 is melting of the plume head to form thickened oceanic crust as it is drawn into the developing spreading </w:t>
      </w:r>
      <w:proofErr w:type="spellStart"/>
      <w:r w:rsidRPr="00971161">
        <w:rPr>
          <w:rFonts w:ascii="Times New Roman" w:eastAsia="Times New Roman" w:hAnsi="Times New Roman" w:cs="Times New Roman"/>
          <w:sz w:val="24"/>
          <w:szCs w:val="24"/>
          <w:lang w:val="en-US" w:eastAsia="ru-RU"/>
        </w:rPr>
        <w:t>centre</w:t>
      </w:r>
      <w:proofErr w:type="spellEnd"/>
      <w:r w:rsidRPr="00971161">
        <w:rPr>
          <w:rFonts w:ascii="Times New Roman" w:eastAsia="Times New Roman" w:hAnsi="Times New Roman" w:cs="Times New Roman"/>
          <w:sz w:val="24"/>
          <w:szCs w:val="24"/>
          <w:lang w:val="en-US" w:eastAsia="ru-RU"/>
        </w:rPr>
        <w:t xml:space="preserve">. There is a time gap between stages 1 and 2, which varies from case to case, depending on the strength of lithosphere that was rifted during continental break-up but is normally several million years (Hill, 1991). The volume of magma produced during stage 2 can be greater than that produced during stage 1 because extension raises the top of the plume head to lower pressures inducing more extensive melting. Fig. 3 shows the extent of thickened oceanic crust associated with the opening of the North Atlantic by the Iceland plume. A firm prediction of the plume hypothesis is that similar thickened oceanic crust should exist off the west coast of India in association with the Reunion–Deccan plume, and off the east coast of South America and the west </w:t>
      </w:r>
      <w:proofErr w:type="spellStart"/>
      <w:r w:rsidRPr="00971161">
        <w:rPr>
          <w:rFonts w:ascii="Times New Roman" w:eastAsia="Times New Roman" w:hAnsi="Times New Roman" w:cs="Times New Roman"/>
          <w:sz w:val="24"/>
          <w:szCs w:val="24"/>
          <w:lang w:val="en-US" w:eastAsia="ru-RU"/>
        </w:rPr>
        <w:t>cost</w:t>
      </w:r>
      <w:proofErr w:type="spellEnd"/>
      <w:r w:rsidRPr="00971161">
        <w:rPr>
          <w:rFonts w:ascii="Times New Roman" w:eastAsia="Times New Roman" w:hAnsi="Times New Roman" w:cs="Times New Roman"/>
          <w:sz w:val="24"/>
          <w:szCs w:val="24"/>
          <w:lang w:val="en-US" w:eastAsia="ru-RU"/>
        </w:rPr>
        <w:t xml:space="preserve"> of Africa in association with the Parana–</w:t>
      </w:r>
      <w:proofErr w:type="spellStart"/>
      <w:r w:rsidRPr="00971161">
        <w:rPr>
          <w:rFonts w:ascii="Times New Roman" w:eastAsia="Times New Roman" w:hAnsi="Times New Roman" w:cs="Times New Roman"/>
          <w:sz w:val="24"/>
          <w:szCs w:val="24"/>
          <w:lang w:val="en-US" w:eastAsia="ru-RU"/>
        </w:rPr>
        <w:t>Etendeka</w:t>
      </w:r>
      <w:proofErr w:type="spellEnd"/>
      <w:r w:rsidRPr="00971161">
        <w:rPr>
          <w:rFonts w:ascii="Times New Roman" w:eastAsia="Times New Roman" w:hAnsi="Times New Roman" w:cs="Times New Roman"/>
          <w:sz w:val="24"/>
          <w:szCs w:val="24"/>
          <w:lang w:val="en-US" w:eastAsia="ru-RU"/>
        </w:rPr>
        <w:t>–Tristan da Cunha plume.</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Recently the validity of the plume hypothesis has been challenged (</w:t>
      </w:r>
      <w:proofErr w:type="spellStart"/>
      <w:r w:rsidRPr="00971161">
        <w:rPr>
          <w:rFonts w:ascii="Times New Roman" w:eastAsia="Times New Roman" w:hAnsi="Times New Roman" w:cs="Times New Roman"/>
          <w:sz w:val="24"/>
          <w:szCs w:val="24"/>
          <w:lang w:val="en-US" w:eastAsia="ru-RU"/>
        </w:rPr>
        <w:t>Foulger</w:t>
      </w:r>
      <w:proofErr w:type="spellEnd"/>
      <w:r w:rsidRPr="00971161">
        <w:rPr>
          <w:rFonts w:ascii="Times New Roman" w:eastAsia="Times New Roman" w:hAnsi="Times New Roman" w:cs="Times New Roman"/>
          <w:sz w:val="24"/>
          <w:szCs w:val="24"/>
          <w:lang w:val="en-US" w:eastAsia="ru-RU"/>
        </w:rPr>
        <w:t xml:space="preserve"> et al., 2005 and references therein). Critics claim that it is not predictive and that the hypothesis changes as new observations become available. This is not correct. Mantle plumes are low Reynolds number plumes and their physics is well understood (Griffiths and Campbell, 1990, and references therein). As a consequence, the mantle plume hypothesis makes numerous testable predictions, many of which are quantitative and exacting. The purpose of this paper is to set out these predictions and to test them against the available observations. The reader is referred to Davies (2005) for a more theoretical </w:t>
      </w:r>
      <w:proofErr w:type="spellStart"/>
      <w:r w:rsidRPr="00971161">
        <w:rPr>
          <w:rFonts w:ascii="Times New Roman" w:eastAsia="Times New Roman" w:hAnsi="Times New Roman" w:cs="Times New Roman"/>
          <w:sz w:val="24"/>
          <w:szCs w:val="24"/>
          <w:lang w:val="en-US" w:eastAsia="ru-RU"/>
        </w:rPr>
        <w:t>defence</w:t>
      </w:r>
      <w:proofErr w:type="spellEnd"/>
      <w:r w:rsidRPr="00971161">
        <w:rPr>
          <w:rFonts w:ascii="Times New Roman" w:eastAsia="Times New Roman" w:hAnsi="Times New Roman" w:cs="Times New Roman"/>
          <w:sz w:val="24"/>
          <w:szCs w:val="24"/>
          <w:lang w:val="en-US" w:eastAsia="ru-RU"/>
        </w:rPr>
        <w:t xml:space="preserve"> of the plume theory.</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Access through your organization</w:t>
      </w:r>
    </w:p>
    <w:p w:rsidR="00971161" w:rsidRPr="00971161" w:rsidRDefault="00971161" w:rsidP="00971161">
      <w:pPr>
        <w:spacing w:before="100" w:beforeAutospacing="1" w:after="100" w:afterAutospacing="1"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Check access to the full text by signing in through your organization.</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Section snippets</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lastRenderedPageBreak/>
        <w:t>Theory</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High pressure experimental studies of the melting point of iron–nickel alloys show that the core is several hundred degrees hotter than the overlying mantle (</w:t>
      </w:r>
      <w:proofErr w:type="spellStart"/>
      <w:r w:rsidRPr="00971161">
        <w:rPr>
          <w:rFonts w:ascii="Times New Roman" w:eastAsia="Times New Roman" w:hAnsi="Times New Roman" w:cs="Times New Roman"/>
          <w:sz w:val="24"/>
          <w:szCs w:val="24"/>
          <w:lang w:val="en-US" w:eastAsia="ru-RU"/>
        </w:rPr>
        <w:t>Boehler</w:t>
      </w:r>
      <w:proofErr w:type="spellEnd"/>
      <w:r w:rsidRPr="00971161">
        <w:rPr>
          <w:rFonts w:ascii="Times New Roman" w:eastAsia="Times New Roman" w:hAnsi="Times New Roman" w:cs="Times New Roman"/>
          <w:sz w:val="24"/>
          <w:szCs w:val="24"/>
          <w:lang w:val="en-US" w:eastAsia="ru-RU"/>
        </w:rPr>
        <w:t>, 1993). A temperature difference of this magnitude must produce an unstable boundary layer above the core which, in turn, must give rise to mantle plumes. This conclusion is supported by dynamo theory, which also requires a large heat flow out of the core in order to produce Earth's magnetic field (</w:t>
      </w:r>
      <w:proofErr w:type="spellStart"/>
      <w:r w:rsidRPr="00971161">
        <w:rPr>
          <w:rFonts w:ascii="Times New Roman" w:eastAsia="Times New Roman" w:hAnsi="Times New Roman" w:cs="Times New Roman"/>
          <w:sz w:val="24"/>
          <w:szCs w:val="24"/>
          <w:lang w:val="en-US" w:eastAsia="ru-RU"/>
        </w:rPr>
        <w:t>Gubbins</w:t>
      </w:r>
      <w:proofErr w:type="spellEnd"/>
      <w:r w:rsidRPr="00971161">
        <w:rPr>
          <w:rFonts w:ascii="Times New Roman" w:eastAsia="Times New Roman" w:hAnsi="Times New Roman" w:cs="Times New Roman"/>
          <w:sz w:val="24"/>
          <w:szCs w:val="24"/>
          <w:lang w:val="en-US" w:eastAsia="ru-RU"/>
        </w:rPr>
        <w:t xml:space="preserve"> et al., 2003). Plumes are </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New plumes consist of a large head followed by a small tail</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Flood basalts and oceanic plateaus are the first eruptive products of a new mantle plume and they are commonly connected to the current position of the plume by an aseismic ridge. The example of the Deccan Traps–Reunion system has already been mentioned. Other examples where flood basalts or oceanic plateaus are connected to the current position of the hotspot include; the North Atlantic Igneous Province (Iceland), Parana–</w:t>
      </w:r>
      <w:proofErr w:type="spellStart"/>
      <w:r w:rsidRPr="00971161">
        <w:rPr>
          <w:rFonts w:ascii="Times New Roman" w:eastAsia="Times New Roman" w:hAnsi="Times New Roman" w:cs="Times New Roman"/>
          <w:sz w:val="24"/>
          <w:szCs w:val="24"/>
          <w:lang w:val="en-US" w:eastAsia="ru-RU"/>
        </w:rPr>
        <w:t>Etendeka</w:t>
      </w:r>
      <w:proofErr w:type="spellEnd"/>
      <w:r w:rsidRPr="00971161">
        <w:rPr>
          <w:rFonts w:ascii="Times New Roman" w:eastAsia="Times New Roman" w:hAnsi="Times New Roman" w:cs="Times New Roman"/>
          <w:sz w:val="24"/>
          <w:szCs w:val="24"/>
          <w:lang w:val="en-US" w:eastAsia="ru-RU"/>
        </w:rPr>
        <w:t xml:space="preserve"> (Tristan da Cunha), and Kerguelen Plateaus (Kerguelen). North</w:t>
      </w:r>
    </w:p>
    <w:p w:rsidR="00971161" w:rsidRPr="00971161" w:rsidRDefault="00971161" w:rsidP="00971161">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971161">
        <w:rPr>
          <w:rFonts w:ascii="Times New Roman" w:eastAsia="Times New Roman" w:hAnsi="Times New Roman" w:cs="Times New Roman"/>
          <w:b/>
          <w:bCs/>
          <w:sz w:val="36"/>
          <w:szCs w:val="36"/>
          <w:lang w:val="en-US" w:eastAsia="ru-RU"/>
        </w:rPr>
        <w:t>Conclusions</w:t>
      </w:r>
    </w:p>
    <w:p w:rsidR="00971161" w:rsidRPr="00971161" w:rsidRDefault="00971161" w:rsidP="00971161">
      <w:pPr>
        <w:spacing w:after="0" w:line="240" w:lineRule="auto"/>
        <w:rPr>
          <w:rFonts w:ascii="Times New Roman" w:eastAsia="Times New Roman" w:hAnsi="Times New Roman" w:cs="Times New Roman"/>
          <w:sz w:val="24"/>
          <w:szCs w:val="24"/>
          <w:lang w:val="en-US" w:eastAsia="ru-RU"/>
        </w:rPr>
      </w:pPr>
      <w:r w:rsidRPr="00971161">
        <w:rPr>
          <w:rFonts w:ascii="Times New Roman" w:eastAsia="Times New Roman" w:hAnsi="Times New Roman" w:cs="Times New Roman"/>
          <w:sz w:val="24"/>
          <w:szCs w:val="24"/>
          <w:lang w:val="en-US" w:eastAsia="ru-RU"/>
        </w:rPr>
        <w:t>The excellent agreement between the predictions made from plume theory and the observations made from LIPs leaves no doubt that the plume hypothesis is correct. The hypothesis correctly predicts (</w:t>
      </w:r>
      <w:proofErr w:type="spellStart"/>
      <w:r w:rsidRPr="00971161">
        <w:rPr>
          <w:rFonts w:ascii="Times New Roman" w:eastAsia="Times New Roman" w:hAnsi="Times New Roman" w:cs="Times New Roman"/>
          <w:sz w:val="24"/>
          <w:szCs w:val="24"/>
          <w:lang w:val="en-US" w:eastAsia="ru-RU"/>
        </w:rPr>
        <w:t>i</w:t>
      </w:r>
      <w:proofErr w:type="spellEnd"/>
      <w:r w:rsidRPr="00971161">
        <w:rPr>
          <w:rFonts w:ascii="Times New Roman" w:eastAsia="Times New Roman" w:hAnsi="Times New Roman" w:cs="Times New Roman"/>
          <w:sz w:val="24"/>
          <w:szCs w:val="24"/>
          <w:lang w:val="en-US" w:eastAsia="ru-RU"/>
        </w:rPr>
        <w:t>) rapid initial volcanism from the plume head followed by reduced volcanism from the plume tail, (ii) the size of the flattened plume head is 2000 to 2500 km across in the upper mantle, (iii) flood volcanism is preceded by domal uplift, (iv) both heads and tails should produce high-temperature</w:t>
      </w:r>
      <w:r>
        <w:rPr>
          <w:rFonts w:ascii="Times New Roman" w:eastAsia="Times New Roman" w:hAnsi="Times New Roman" w:cs="Times New Roman"/>
          <w:sz w:val="24"/>
          <w:szCs w:val="24"/>
          <w:lang w:val="en-US" w:eastAsia="ru-RU"/>
        </w:rPr>
        <w:t>…</w:t>
      </w:r>
    </w:p>
    <w:p w:rsidR="00112714" w:rsidRPr="00971161" w:rsidRDefault="00112714">
      <w:pPr>
        <w:rPr>
          <w:lang w:val="en-US"/>
        </w:rPr>
      </w:pPr>
    </w:p>
    <w:sectPr w:rsidR="00112714" w:rsidRPr="0097116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161"/>
    <w:rsid w:val="00112714"/>
    <w:rsid w:val="009711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822B6"/>
  <w15:chartTrackingRefBased/>
  <w15:docId w15:val="{2F61FD9F-BC03-437F-BA82-D5002A965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7081898">
      <w:bodyDiv w:val="1"/>
      <w:marLeft w:val="0"/>
      <w:marRight w:val="0"/>
      <w:marTop w:val="0"/>
      <w:marBottom w:val="0"/>
      <w:divBdr>
        <w:top w:val="none" w:sz="0" w:space="0" w:color="auto"/>
        <w:left w:val="none" w:sz="0" w:space="0" w:color="auto"/>
        <w:bottom w:val="none" w:sz="0" w:space="0" w:color="auto"/>
        <w:right w:val="none" w:sz="0" w:space="0" w:color="auto"/>
      </w:divBdr>
      <w:divsChild>
        <w:div w:id="1234777007">
          <w:marLeft w:val="0"/>
          <w:marRight w:val="0"/>
          <w:marTop w:val="0"/>
          <w:marBottom w:val="0"/>
          <w:divBdr>
            <w:top w:val="none" w:sz="0" w:space="0" w:color="auto"/>
            <w:left w:val="none" w:sz="0" w:space="0" w:color="auto"/>
            <w:bottom w:val="none" w:sz="0" w:space="0" w:color="auto"/>
            <w:right w:val="none" w:sz="0" w:space="0" w:color="auto"/>
          </w:divBdr>
          <w:divsChild>
            <w:div w:id="1952281760">
              <w:marLeft w:val="0"/>
              <w:marRight w:val="0"/>
              <w:marTop w:val="0"/>
              <w:marBottom w:val="0"/>
              <w:divBdr>
                <w:top w:val="none" w:sz="0" w:space="0" w:color="auto"/>
                <w:left w:val="none" w:sz="0" w:space="0" w:color="auto"/>
                <w:bottom w:val="none" w:sz="0" w:space="0" w:color="auto"/>
                <w:right w:val="none" w:sz="0" w:space="0" w:color="auto"/>
              </w:divBdr>
              <w:divsChild>
                <w:div w:id="1752699041">
                  <w:marLeft w:val="0"/>
                  <w:marRight w:val="0"/>
                  <w:marTop w:val="0"/>
                  <w:marBottom w:val="0"/>
                  <w:divBdr>
                    <w:top w:val="none" w:sz="0" w:space="0" w:color="auto"/>
                    <w:left w:val="none" w:sz="0" w:space="0" w:color="auto"/>
                    <w:bottom w:val="none" w:sz="0" w:space="0" w:color="auto"/>
                    <w:right w:val="none" w:sz="0" w:space="0" w:color="auto"/>
                  </w:divBdr>
                  <w:divsChild>
                    <w:div w:id="50189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2401">
          <w:marLeft w:val="0"/>
          <w:marRight w:val="0"/>
          <w:marTop w:val="0"/>
          <w:marBottom w:val="0"/>
          <w:divBdr>
            <w:top w:val="none" w:sz="0" w:space="0" w:color="auto"/>
            <w:left w:val="none" w:sz="0" w:space="0" w:color="auto"/>
            <w:bottom w:val="none" w:sz="0" w:space="0" w:color="auto"/>
            <w:right w:val="none" w:sz="0" w:space="0" w:color="auto"/>
          </w:divBdr>
          <w:divsChild>
            <w:div w:id="1070274268">
              <w:marLeft w:val="0"/>
              <w:marRight w:val="0"/>
              <w:marTop w:val="0"/>
              <w:marBottom w:val="0"/>
              <w:divBdr>
                <w:top w:val="none" w:sz="0" w:space="0" w:color="auto"/>
                <w:left w:val="none" w:sz="0" w:space="0" w:color="auto"/>
                <w:bottom w:val="none" w:sz="0" w:space="0" w:color="auto"/>
                <w:right w:val="none" w:sz="0" w:space="0" w:color="auto"/>
              </w:divBdr>
              <w:divsChild>
                <w:div w:id="158021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588159">
          <w:marLeft w:val="0"/>
          <w:marRight w:val="0"/>
          <w:marTop w:val="0"/>
          <w:marBottom w:val="0"/>
          <w:divBdr>
            <w:top w:val="none" w:sz="0" w:space="0" w:color="auto"/>
            <w:left w:val="none" w:sz="0" w:space="0" w:color="auto"/>
            <w:bottom w:val="none" w:sz="0" w:space="0" w:color="auto"/>
            <w:right w:val="none" w:sz="0" w:space="0" w:color="auto"/>
          </w:divBdr>
          <w:divsChild>
            <w:div w:id="173884825">
              <w:marLeft w:val="0"/>
              <w:marRight w:val="0"/>
              <w:marTop w:val="0"/>
              <w:marBottom w:val="0"/>
              <w:divBdr>
                <w:top w:val="none" w:sz="0" w:space="0" w:color="auto"/>
                <w:left w:val="none" w:sz="0" w:space="0" w:color="auto"/>
                <w:bottom w:val="none" w:sz="0" w:space="0" w:color="auto"/>
                <w:right w:val="none" w:sz="0" w:space="0" w:color="auto"/>
              </w:divBdr>
              <w:divsChild>
                <w:div w:id="51851451">
                  <w:marLeft w:val="0"/>
                  <w:marRight w:val="0"/>
                  <w:marTop w:val="0"/>
                  <w:marBottom w:val="0"/>
                  <w:divBdr>
                    <w:top w:val="none" w:sz="0" w:space="0" w:color="auto"/>
                    <w:left w:val="none" w:sz="0" w:space="0" w:color="auto"/>
                    <w:bottom w:val="none" w:sz="0" w:space="0" w:color="auto"/>
                    <w:right w:val="none" w:sz="0" w:space="0" w:color="auto"/>
                  </w:divBdr>
                  <w:divsChild>
                    <w:div w:id="447360090">
                      <w:marLeft w:val="0"/>
                      <w:marRight w:val="0"/>
                      <w:marTop w:val="0"/>
                      <w:marBottom w:val="0"/>
                      <w:divBdr>
                        <w:top w:val="none" w:sz="0" w:space="0" w:color="auto"/>
                        <w:left w:val="none" w:sz="0" w:space="0" w:color="auto"/>
                        <w:bottom w:val="none" w:sz="0" w:space="0" w:color="auto"/>
                        <w:right w:val="none" w:sz="0" w:space="0" w:color="auto"/>
                      </w:divBdr>
                      <w:divsChild>
                        <w:div w:id="27244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631874">
          <w:marLeft w:val="0"/>
          <w:marRight w:val="0"/>
          <w:marTop w:val="0"/>
          <w:marBottom w:val="0"/>
          <w:divBdr>
            <w:top w:val="none" w:sz="0" w:space="0" w:color="auto"/>
            <w:left w:val="none" w:sz="0" w:space="0" w:color="auto"/>
            <w:bottom w:val="none" w:sz="0" w:space="0" w:color="auto"/>
            <w:right w:val="none" w:sz="0" w:space="0" w:color="auto"/>
          </w:divBdr>
        </w:div>
        <w:div w:id="1938711794">
          <w:marLeft w:val="0"/>
          <w:marRight w:val="0"/>
          <w:marTop w:val="0"/>
          <w:marBottom w:val="0"/>
          <w:divBdr>
            <w:top w:val="none" w:sz="0" w:space="0" w:color="auto"/>
            <w:left w:val="none" w:sz="0" w:space="0" w:color="auto"/>
            <w:bottom w:val="none" w:sz="0" w:space="0" w:color="auto"/>
            <w:right w:val="none" w:sz="0" w:space="0" w:color="auto"/>
          </w:divBdr>
          <w:divsChild>
            <w:div w:id="1055205869">
              <w:marLeft w:val="0"/>
              <w:marRight w:val="0"/>
              <w:marTop w:val="0"/>
              <w:marBottom w:val="0"/>
              <w:divBdr>
                <w:top w:val="none" w:sz="0" w:space="0" w:color="auto"/>
                <w:left w:val="none" w:sz="0" w:space="0" w:color="auto"/>
                <w:bottom w:val="none" w:sz="0" w:space="0" w:color="auto"/>
                <w:right w:val="none" w:sz="0" w:space="0" w:color="auto"/>
              </w:divBdr>
              <w:divsChild>
                <w:div w:id="1519856621">
                  <w:marLeft w:val="0"/>
                  <w:marRight w:val="0"/>
                  <w:marTop w:val="0"/>
                  <w:marBottom w:val="0"/>
                  <w:divBdr>
                    <w:top w:val="none" w:sz="0" w:space="0" w:color="auto"/>
                    <w:left w:val="none" w:sz="0" w:space="0" w:color="auto"/>
                    <w:bottom w:val="none" w:sz="0" w:space="0" w:color="auto"/>
                    <w:right w:val="none" w:sz="0" w:space="0" w:color="auto"/>
                  </w:divBdr>
                  <w:divsChild>
                    <w:div w:id="495341986">
                      <w:marLeft w:val="0"/>
                      <w:marRight w:val="0"/>
                      <w:marTop w:val="0"/>
                      <w:marBottom w:val="0"/>
                      <w:divBdr>
                        <w:top w:val="none" w:sz="0" w:space="0" w:color="auto"/>
                        <w:left w:val="none" w:sz="0" w:space="0" w:color="auto"/>
                        <w:bottom w:val="none" w:sz="0" w:space="0" w:color="auto"/>
                        <w:right w:val="none" w:sz="0" w:space="0" w:color="auto"/>
                      </w:divBdr>
                      <w:divsChild>
                        <w:div w:id="59200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1504666">
          <w:marLeft w:val="0"/>
          <w:marRight w:val="0"/>
          <w:marTop w:val="0"/>
          <w:marBottom w:val="0"/>
          <w:divBdr>
            <w:top w:val="none" w:sz="0" w:space="0" w:color="auto"/>
            <w:left w:val="none" w:sz="0" w:space="0" w:color="auto"/>
            <w:bottom w:val="none" w:sz="0" w:space="0" w:color="auto"/>
            <w:right w:val="none" w:sz="0" w:space="0" w:color="auto"/>
          </w:divBdr>
          <w:divsChild>
            <w:div w:id="189268948">
              <w:marLeft w:val="0"/>
              <w:marRight w:val="0"/>
              <w:marTop w:val="0"/>
              <w:marBottom w:val="0"/>
              <w:divBdr>
                <w:top w:val="none" w:sz="0" w:space="0" w:color="auto"/>
                <w:left w:val="none" w:sz="0" w:space="0" w:color="auto"/>
                <w:bottom w:val="none" w:sz="0" w:space="0" w:color="auto"/>
                <w:right w:val="none" w:sz="0" w:space="0" w:color="auto"/>
              </w:divBdr>
              <w:divsChild>
                <w:div w:id="756948156">
                  <w:marLeft w:val="0"/>
                  <w:marRight w:val="0"/>
                  <w:marTop w:val="0"/>
                  <w:marBottom w:val="0"/>
                  <w:divBdr>
                    <w:top w:val="none" w:sz="0" w:space="0" w:color="auto"/>
                    <w:left w:val="none" w:sz="0" w:space="0" w:color="auto"/>
                    <w:bottom w:val="none" w:sz="0" w:space="0" w:color="auto"/>
                    <w:right w:val="none" w:sz="0" w:space="0" w:color="auto"/>
                  </w:divBdr>
                </w:div>
                <w:div w:id="1965965654">
                  <w:marLeft w:val="0"/>
                  <w:marRight w:val="0"/>
                  <w:marTop w:val="0"/>
                  <w:marBottom w:val="0"/>
                  <w:divBdr>
                    <w:top w:val="none" w:sz="0" w:space="0" w:color="auto"/>
                    <w:left w:val="none" w:sz="0" w:space="0" w:color="auto"/>
                    <w:bottom w:val="none" w:sz="0" w:space="0" w:color="auto"/>
                    <w:right w:val="none" w:sz="0" w:space="0" w:color="auto"/>
                  </w:divBdr>
                </w:div>
                <w:div w:id="757605055">
                  <w:marLeft w:val="0"/>
                  <w:marRight w:val="0"/>
                  <w:marTop w:val="0"/>
                  <w:marBottom w:val="0"/>
                  <w:divBdr>
                    <w:top w:val="none" w:sz="0" w:space="0" w:color="auto"/>
                    <w:left w:val="none" w:sz="0" w:space="0" w:color="auto"/>
                    <w:bottom w:val="none" w:sz="0" w:space="0" w:color="auto"/>
                    <w:right w:val="none" w:sz="0" w:space="0" w:color="auto"/>
                  </w:divBdr>
                </w:div>
                <w:div w:id="1399014">
                  <w:marLeft w:val="0"/>
                  <w:marRight w:val="0"/>
                  <w:marTop w:val="0"/>
                  <w:marBottom w:val="0"/>
                  <w:divBdr>
                    <w:top w:val="none" w:sz="0" w:space="0" w:color="auto"/>
                    <w:left w:val="none" w:sz="0" w:space="0" w:color="auto"/>
                    <w:bottom w:val="none" w:sz="0" w:space="0" w:color="auto"/>
                    <w:right w:val="none" w:sz="0" w:space="0" w:color="auto"/>
                  </w:divBdr>
                </w:div>
                <w:div w:id="457727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469707">
          <w:marLeft w:val="0"/>
          <w:marRight w:val="0"/>
          <w:marTop w:val="0"/>
          <w:marBottom w:val="0"/>
          <w:divBdr>
            <w:top w:val="none" w:sz="0" w:space="0" w:color="auto"/>
            <w:left w:val="none" w:sz="0" w:space="0" w:color="auto"/>
            <w:bottom w:val="none" w:sz="0" w:space="0" w:color="auto"/>
            <w:right w:val="none" w:sz="0" w:space="0" w:color="auto"/>
          </w:divBdr>
        </w:div>
        <w:div w:id="1885212825">
          <w:marLeft w:val="0"/>
          <w:marRight w:val="0"/>
          <w:marTop w:val="0"/>
          <w:marBottom w:val="0"/>
          <w:divBdr>
            <w:top w:val="none" w:sz="0" w:space="0" w:color="auto"/>
            <w:left w:val="none" w:sz="0" w:space="0" w:color="auto"/>
            <w:bottom w:val="none" w:sz="0" w:space="0" w:color="auto"/>
            <w:right w:val="none" w:sz="0" w:space="0" w:color="auto"/>
          </w:divBdr>
          <w:divsChild>
            <w:div w:id="560098282">
              <w:marLeft w:val="0"/>
              <w:marRight w:val="0"/>
              <w:marTop w:val="0"/>
              <w:marBottom w:val="0"/>
              <w:divBdr>
                <w:top w:val="none" w:sz="0" w:space="0" w:color="auto"/>
                <w:left w:val="none" w:sz="0" w:space="0" w:color="auto"/>
                <w:bottom w:val="none" w:sz="0" w:space="0" w:color="auto"/>
                <w:right w:val="none" w:sz="0" w:space="0" w:color="auto"/>
              </w:divBdr>
            </w:div>
            <w:div w:id="114061035">
              <w:marLeft w:val="0"/>
              <w:marRight w:val="0"/>
              <w:marTop w:val="0"/>
              <w:marBottom w:val="0"/>
              <w:divBdr>
                <w:top w:val="none" w:sz="0" w:space="0" w:color="auto"/>
                <w:left w:val="none" w:sz="0" w:space="0" w:color="auto"/>
                <w:bottom w:val="none" w:sz="0" w:space="0" w:color="auto"/>
                <w:right w:val="none" w:sz="0" w:space="0" w:color="auto"/>
              </w:divBdr>
            </w:div>
            <w:div w:id="123759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numerical-modeling" TargetMode="External"/><Relationship Id="rId13" Type="http://schemas.openxmlformats.org/officeDocument/2006/relationships/hyperlink" Target="https://www.sciencedirect.com/topics/earth-and-planetary-sciences/thermal-boundary-layer"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flood-basalt" TargetMode="External"/><Relationship Id="rId12" Type="http://schemas.openxmlformats.org/officeDocument/2006/relationships/hyperlink" Target="https://www.sciencedirect.com/topics/earth-and-planetary-sciences/upper-mantle"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sciencedirect.com/topics/earth-and-planetary-sciences/volcanism" TargetMode="External"/><Relationship Id="rId11" Type="http://schemas.openxmlformats.org/officeDocument/2006/relationships/hyperlink" Target="https://www.sciencedirect.com/topics/earth-and-planetary-sciences/large-igneous-province" TargetMode="External"/><Relationship Id="rId5" Type="http://schemas.openxmlformats.org/officeDocument/2006/relationships/hyperlink" Target="https://www.sciencedirect.com/topics/earth-and-planetary-sciences/oceanic-crust" TargetMode="External"/><Relationship Id="rId15" Type="http://schemas.openxmlformats.org/officeDocument/2006/relationships/hyperlink" Target="https://www.sciencedirect.com/topics/earth-and-planetary-sciences/geological-record" TargetMode="External"/><Relationship Id="rId10" Type="http://schemas.openxmlformats.org/officeDocument/2006/relationships/hyperlink" Target="https://www.sciencedirect.com/topics/earth-and-planetary-sciences/igneous-province" TargetMode="External"/><Relationship Id="rId4" Type="http://schemas.openxmlformats.org/officeDocument/2006/relationships/hyperlink" Target="https://www.sciencedirect.com/topics/earth-and-planetary-sciences/mantle-plume" TargetMode="External"/><Relationship Id="rId9" Type="http://schemas.openxmlformats.org/officeDocument/2006/relationships/hyperlink" Target="https://www.sciencedirect.com/topics/earth-and-planetary-sciences/picrite" TargetMode="External"/><Relationship Id="rId14" Type="http://schemas.openxmlformats.org/officeDocument/2006/relationships/hyperlink" Target="https://www.sciencedirect.com/topics/earth-and-planetary-sciences/lower-mant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1604</Words>
  <Characters>9149</Characters>
  <Application>Microsoft Office Word</Application>
  <DocSecurity>0</DocSecurity>
  <Lines>76</Lines>
  <Paragraphs>21</Paragraphs>
  <ScaleCrop>false</ScaleCrop>
  <Company/>
  <LinksUpToDate>false</LinksUpToDate>
  <CharactersWithSpaces>10732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2026-04-19T04:28:00Z</dcterms:created>
  <dcterms:modified xsi:type="dcterms:W3CDTF">2026-04-19T04:29:00Z</dcterms:modified>
</cp:coreProperties>
</file>