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53D3B" w:rsidRPr="00B53D3B" w:rsidRDefault="00B53D3B" w:rsidP="00B53D3B">
      <w:pPr>
        <w:spacing w:beforeAutospacing="1" w:after="0" w:afterAutospacing="1" w:line="240" w:lineRule="auto"/>
        <w:outlineLvl w:val="0"/>
        <w:rPr>
          <w:rFonts w:ascii="Times New Roman" w:eastAsia="Times New Roman" w:hAnsi="Times New Roman" w:cs="Times New Roman"/>
          <w:b/>
          <w:bCs/>
          <w:color w:val="1F1F1F"/>
          <w:kern w:val="36"/>
          <w:sz w:val="48"/>
          <w:szCs w:val="48"/>
          <w:lang w:val="en-US" w:eastAsia="ru-RU"/>
        </w:rPr>
      </w:pPr>
      <w:r w:rsidRPr="00B53D3B">
        <w:rPr>
          <w:rFonts w:ascii="Times New Roman" w:eastAsia="Times New Roman" w:hAnsi="Times New Roman" w:cs="Times New Roman"/>
          <w:b/>
          <w:bCs/>
          <w:color w:val="1F1F1F"/>
          <w:kern w:val="36"/>
          <w:sz w:val="48"/>
          <w:szCs w:val="48"/>
          <w:lang w:val="en-US" w:eastAsia="ru-RU"/>
        </w:rPr>
        <w:t xml:space="preserve">The Central Scandinavian Dolerite Group—Protracted hotspot activity or back-arc </w:t>
      </w:r>
      <w:proofErr w:type="gramStart"/>
      <w:r w:rsidRPr="00B53D3B">
        <w:rPr>
          <w:rFonts w:ascii="Times New Roman" w:eastAsia="Times New Roman" w:hAnsi="Times New Roman" w:cs="Times New Roman"/>
          <w:b/>
          <w:bCs/>
          <w:color w:val="1F1F1F"/>
          <w:kern w:val="36"/>
          <w:sz w:val="48"/>
          <w:szCs w:val="48"/>
          <w:lang w:val="en-US" w:eastAsia="ru-RU"/>
        </w:rPr>
        <w:t>magmatism?:</w:t>
      </w:r>
      <w:proofErr w:type="gramEnd"/>
      <w:r w:rsidRPr="00B53D3B">
        <w:rPr>
          <w:rFonts w:ascii="Times New Roman" w:eastAsia="Times New Roman" w:hAnsi="Times New Roman" w:cs="Times New Roman"/>
          <w:b/>
          <w:bCs/>
          <w:color w:val="1F1F1F"/>
          <w:kern w:val="36"/>
          <w:sz w:val="48"/>
          <w:szCs w:val="48"/>
          <w:lang w:val="en-US" w:eastAsia="ru-RU"/>
        </w:rPr>
        <w:t xml:space="preserve"> Constraints from U–Pb baddeleyite geochronology and Hf isotopic data</w:t>
      </w:r>
    </w:p>
    <w:p w:rsidR="00B53D3B" w:rsidRPr="00B53D3B" w:rsidRDefault="00B53D3B" w:rsidP="00B53D3B">
      <w:pPr>
        <w:spacing w:after="0" w:line="240" w:lineRule="auto"/>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bdr w:val="none" w:sz="0" w:space="0" w:color="auto" w:frame="1"/>
          <w:lang w:val="en-US" w:eastAsia="ru-RU"/>
        </w:rPr>
        <w:t xml:space="preserve">Author links open overlay </w:t>
      </w:r>
      <w:proofErr w:type="spellStart"/>
      <w:r w:rsidRPr="00B53D3B">
        <w:rPr>
          <w:rFonts w:ascii="Arial" w:eastAsia="Times New Roman" w:hAnsi="Arial" w:cs="Arial"/>
          <w:color w:val="1F1F1F"/>
          <w:sz w:val="24"/>
          <w:szCs w:val="24"/>
          <w:bdr w:val="none" w:sz="0" w:space="0" w:color="auto" w:frame="1"/>
          <w:lang w:val="en-US" w:eastAsia="ru-RU"/>
        </w:rPr>
        <w:t>panel</w:t>
      </w:r>
      <w:r w:rsidRPr="00B53D3B">
        <w:rPr>
          <w:rFonts w:ascii="Arial" w:eastAsia="Times New Roman" w:hAnsi="Arial" w:cs="Arial"/>
          <w:color w:val="1F1F1F"/>
          <w:sz w:val="24"/>
          <w:szCs w:val="24"/>
          <w:lang w:val="en-US" w:eastAsia="ru-RU"/>
        </w:rPr>
        <w:t>Ulf</w:t>
      </w:r>
      <w:proofErr w:type="spellEnd"/>
      <w:r w:rsidRPr="00B53D3B">
        <w:rPr>
          <w:rFonts w:ascii="Arial" w:eastAsia="Times New Roman" w:hAnsi="Arial" w:cs="Arial"/>
          <w:color w:val="1F1F1F"/>
          <w:sz w:val="24"/>
          <w:szCs w:val="24"/>
          <w:lang w:val="en-US" w:eastAsia="ru-RU"/>
        </w:rPr>
        <w:t> </w:t>
      </w:r>
      <w:proofErr w:type="spellStart"/>
      <w:r w:rsidRPr="00B53D3B">
        <w:rPr>
          <w:rFonts w:ascii="Arial" w:eastAsia="Times New Roman" w:hAnsi="Arial" w:cs="Arial"/>
          <w:color w:val="1F1F1F"/>
          <w:sz w:val="24"/>
          <w:szCs w:val="24"/>
          <w:lang w:val="en-US" w:eastAsia="ru-RU"/>
        </w:rPr>
        <w:t>Söderlund</w:t>
      </w:r>
      <w:proofErr w:type="spellEnd"/>
      <w:r w:rsidRPr="00B53D3B">
        <w:rPr>
          <w:rFonts w:ascii="Arial" w:eastAsia="Times New Roman" w:hAnsi="Arial" w:cs="Arial"/>
          <w:color w:val="1F1F1F"/>
          <w:sz w:val="24"/>
          <w:szCs w:val="24"/>
          <w:lang w:val="en-US" w:eastAsia="ru-RU"/>
        </w:rPr>
        <w:t> </w:t>
      </w:r>
      <w:r w:rsidRPr="00B53D3B">
        <w:rPr>
          <w:rFonts w:ascii="Arial" w:eastAsia="Times New Roman" w:hAnsi="Arial" w:cs="Arial"/>
          <w:color w:val="1F1F1F"/>
          <w:sz w:val="18"/>
          <w:szCs w:val="18"/>
          <w:vertAlign w:val="superscript"/>
          <w:lang w:val="en-US" w:eastAsia="ru-RU"/>
        </w:rPr>
        <w:t>a</w:t>
      </w:r>
      <w:r w:rsidRPr="00B53D3B">
        <w:rPr>
          <w:rFonts w:ascii="Arial" w:eastAsia="Times New Roman" w:hAnsi="Arial" w:cs="Arial"/>
          <w:color w:val="1F1F1F"/>
          <w:sz w:val="24"/>
          <w:szCs w:val="24"/>
          <w:lang w:val="en-US" w:eastAsia="ru-RU"/>
        </w:rPr>
        <w:t> </w:t>
      </w:r>
      <w:r w:rsidRPr="00B53D3B">
        <w:rPr>
          <w:rFonts w:ascii="Arial" w:eastAsia="Times New Roman" w:hAnsi="Arial" w:cs="Arial"/>
          <w:color w:val="1F1F1F"/>
          <w:sz w:val="18"/>
          <w:szCs w:val="18"/>
          <w:vertAlign w:val="superscript"/>
          <w:lang w:val="en-US" w:eastAsia="ru-RU"/>
        </w:rPr>
        <w:t>b</w:t>
      </w:r>
      <w:r w:rsidRPr="00B53D3B">
        <w:rPr>
          <w:rFonts w:ascii="Arial" w:eastAsia="Times New Roman" w:hAnsi="Arial" w:cs="Arial"/>
          <w:color w:val="1F1F1F"/>
          <w:sz w:val="24"/>
          <w:szCs w:val="24"/>
          <w:lang w:val="en-US" w:eastAsia="ru-RU"/>
        </w:rPr>
        <w:t>, </w:t>
      </w:r>
      <w:bookmarkStart w:id="0" w:name="baep-author-id7-profile"/>
      <w:proofErr w:type="spellStart"/>
      <w:r w:rsidRPr="00B53D3B">
        <w:rPr>
          <w:rFonts w:ascii="Arial" w:eastAsia="Times New Roman" w:hAnsi="Arial" w:cs="Arial"/>
          <w:color w:val="1F1F1F"/>
          <w:sz w:val="24"/>
          <w:szCs w:val="24"/>
          <w:lang w:eastAsia="ru-RU"/>
        </w:rPr>
        <w:fldChar w:fldCharType="begin"/>
      </w:r>
      <w:r w:rsidRPr="00B53D3B">
        <w:rPr>
          <w:rFonts w:ascii="Arial" w:eastAsia="Times New Roman" w:hAnsi="Arial" w:cs="Arial"/>
          <w:color w:val="1F1F1F"/>
          <w:sz w:val="24"/>
          <w:szCs w:val="24"/>
          <w:lang w:val="en-US" w:eastAsia="ru-RU"/>
        </w:rPr>
        <w:instrText xml:space="preserve"> HYPERLINK "https://www.sciencedirect.com/author/6603850118/sten-ake-elming" </w:instrText>
      </w:r>
      <w:r w:rsidRPr="00B53D3B">
        <w:rPr>
          <w:rFonts w:ascii="Arial" w:eastAsia="Times New Roman" w:hAnsi="Arial" w:cs="Arial"/>
          <w:color w:val="1F1F1F"/>
          <w:sz w:val="24"/>
          <w:szCs w:val="24"/>
          <w:lang w:eastAsia="ru-RU"/>
        </w:rPr>
        <w:fldChar w:fldCharType="separate"/>
      </w:r>
      <w:r w:rsidRPr="00B53D3B">
        <w:rPr>
          <w:rFonts w:ascii="Arial" w:eastAsia="Times New Roman" w:hAnsi="Arial" w:cs="Arial"/>
          <w:color w:val="1F1F1F"/>
          <w:sz w:val="24"/>
          <w:szCs w:val="24"/>
          <w:lang w:val="en-US" w:eastAsia="ru-RU"/>
        </w:rPr>
        <w:t>Sten-Åke</w:t>
      </w:r>
      <w:proofErr w:type="spellEnd"/>
      <w:r w:rsidRPr="00B53D3B">
        <w:rPr>
          <w:rFonts w:ascii="Arial" w:eastAsia="Times New Roman" w:hAnsi="Arial" w:cs="Arial"/>
          <w:color w:val="1F1F1F"/>
          <w:sz w:val="24"/>
          <w:szCs w:val="24"/>
          <w:lang w:val="en-US" w:eastAsia="ru-RU"/>
        </w:rPr>
        <w:t> </w:t>
      </w:r>
      <w:proofErr w:type="spellStart"/>
      <w:r w:rsidRPr="00B53D3B">
        <w:rPr>
          <w:rFonts w:ascii="Arial" w:eastAsia="Times New Roman" w:hAnsi="Arial" w:cs="Arial"/>
          <w:color w:val="1F1F1F"/>
          <w:sz w:val="24"/>
          <w:szCs w:val="24"/>
          <w:lang w:val="en-US" w:eastAsia="ru-RU"/>
        </w:rPr>
        <w:t>Elming</w:t>
      </w:r>
      <w:proofErr w:type="spellEnd"/>
      <w:r w:rsidRPr="00B53D3B">
        <w:rPr>
          <w:rFonts w:ascii="Arial" w:eastAsia="Times New Roman" w:hAnsi="Arial" w:cs="Arial"/>
          <w:color w:val="1F1F1F"/>
          <w:sz w:val="24"/>
          <w:szCs w:val="24"/>
          <w:lang w:val="en-US" w:eastAsia="ru-RU"/>
        </w:rPr>
        <w:t> </w:t>
      </w:r>
      <w:r w:rsidRPr="00B53D3B">
        <w:rPr>
          <w:rFonts w:ascii="Arial" w:eastAsia="Times New Roman" w:hAnsi="Arial" w:cs="Arial"/>
          <w:color w:val="1F1F1F"/>
          <w:sz w:val="18"/>
          <w:szCs w:val="18"/>
          <w:vertAlign w:val="superscript"/>
          <w:lang w:val="en-US" w:eastAsia="ru-RU"/>
        </w:rPr>
        <w:t>c</w:t>
      </w:r>
      <w:r w:rsidRPr="00B53D3B">
        <w:rPr>
          <w:rFonts w:ascii="Arial" w:eastAsia="Times New Roman" w:hAnsi="Arial" w:cs="Arial"/>
          <w:color w:val="1F1F1F"/>
          <w:sz w:val="24"/>
          <w:szCs w:val="24"/>
          <w:lang w:eastAsia="ru-RU"/>
        </w:rPr>
        <w:fldChar w:fldCharType="end"/>
      </w:r>
      <w:bookmarkEnd w:id="0"/>
      <w:r w:rsidRPr="00B53D3B">
        <w:rPr>
          <w:rFonts w:ascii="Arial" w:eastAsia="Times New Roman" w:hAnsi="Arial" w:cs="Arial"/>
          <w:color w:val="1F1F1F"/>
          <w:sz w:val="24"/>
          <w:szCs w:val="24"/>
          <w:lang w:val="en-US" w:eastAsia="ru-RU"/>
        </w:rPr>
        <w:t>, Richard E. Ernst </w:t>
      </w:r>
      <w:r w:rsidRPr="00B53D3B">
        <w:rPr>
          <w:rFonts w:ascii="Arial" w:eastAsia="Times New Roman" w:hAnsi="Arial" w:cs="Arial"/>
          <w:color w:val="1F1F1F"/>
          <w:sz w:val="18"/>
          <w:szCs w:val="18"/>
          <w:vertAlign w:val="superscript"/>
          <w:lang w:val="en-US" w:eastAsia="ru-RU"/>
        </w:rPr>
        <w:t>d</w:t>
      </w:r>
      <w:r w:rsidRPr="00B53D3B">
        <w:rPr>
          <w:rFonts w:ascii="Arial" w:eastAsia="Times New Roman" w:hAnsi="Arial" w:cs="Arial"/>
          <w:color w:val="1F1F1F"/>
          <w:sz w:val="24"/>
          <w:szCs w:val="24"/>
          <w:lang w:val="en-US" w:eastAsia="ru-RU"/>
        </w:rPr>
        <w:t> </w:t>
      </w:r>
      <w:r w:rsidRPr="00B53D3B">
        <w:rPr>
          <w:rFonts w:ascii="Arial" w:eastAsia="Times New Roman" w:hAnsi="Arial" w:cs="Arial"/>
          <w:color w:val="1F1F1F"/>
          <w:sz w:val="18"/>
          <w:szCs w:val="18"/>
          <w:vertAlign w:val="superscript"/>
          <w:lang w:val="en-US" w:eastAsia="ru-RU"/>
        </w:rPr>
        <w:t>1</w:t>
      </w:r>
      <w:r w:rsidRPr="00B53D3B">
        <w:rPr>
          <w:rFonts w:ascii="Arial" w:eastAsia="Times New Roman" w:hAnsi="Arial" w:cs="Arial"/>
          <w:color w:val="1F1F1F"/>
          <w:sz w:val="24"/>
          <w:szCs w:val="24"/>
          <w:lang w:val="en-US" w:eastAsia="ru-RU"/>
        </w:rPr>
        <w:t> </w:t>
      </w:r>
      <w:r w:rsidRPr="00B53D3B">
        <w:rPr>
          <w:rFonts w:ascii="Arial" w:eastAsia="Times New Roman" w:hAnsi="Arial" w:cs="Arial"/>
          <w:color w:val="1F1F1F"/>
          <w:sz w:val="18"/>
          <w:szCs w:val="18"/>
          <w:vertAlign w:val="superscript"/>
          <w:lang w:val="en-US" w:eastAsia="ru-RU"/>
        </w:rPr>
        <w:t>2</w:t>
      </w:r>
      <w:r w:rsidRPr="00B53D3B">
        <w:rPr>
          <w:rFonts w:ascii="Arial" w:eastAsia="Times New Roman" w:hAnsi="Arial" w:cs="Arial"/>
          <w:color w:val="1F1F1F"/>
          <w:sz w:val="24"/>
          <w:szCs w:val="24"/>
          <w:lang w:val="en-US" w:eastAsia="ru-RU"/>
        </w:rPr>
        <w:t>, Don </w:t>
      </w:r>
      <w:proofErr w:type="spellStart"/>
      <w:r w:rsidRPr="00B53D3B">
        <w:rPr>
          <w:rFonts w:ascii="Arial" w:eastAsia="Times New Roman" w:hAnsi="Arial" w:cs="Arial"/>
          <w:color w:val="1F1F1F"/>
          <w:sz w:val="24"/>
          <w:szCs w:val="24"/>
          <w:lang w:val="en-US" w:eastAsia="ru-RU"/>
        </w:rPr>
        <w:t>Schissel</w:t>
      </w:r>
      <w:proofErr w:type="spellEnd"/>
      <w:r w:rsidRPr="00B53D3B">
        <w:rPr>
          <w:rFonts w:ascii="Arial" w:eastAsia="Times New Roman" w:hAnsi="Arial" w:cs="Arial"/>
          <w:color w:val="1F1F1F"/>
          <w:sz w:val="24"/>
          <w:szCs w:val="24"/>
          <w:lang w:val="en-US" w:eastAsia="ru-RU"/>
        </w:rPr>
        <w:t> </w:t>
      </w:r>
      <w:r w:rsidRPr="00B53D3B">
        <w:rPr>
          <w:rFonts w:ascii="Arial" w:eastAsia="Times New Roman" w:hAnsi="Arial" w:cs="Arial"/>
          <w:color w:val="1F1F1F"/>
          <w:sz w:val="18"/>
          <w:szCs w:val="18"/>
          <w:vertAlign w:val="superscript"/>
          <w:lang w:val="en-US" w:eastAsia="ru-RU"/>
        </w:rPr>
        <w:t>e</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bookmarkStart w:id="1" w:name="_GoBack"/>
      <w:bookmarkEnd w:id="1"/>
      <w:r w:rsidRPr="00B53D3B">
        <w:rPr>
          <w:rFonts w:ascii="Arial" w:eastAsia="Times New Roman" w:hAnsi="Arial" w:cs="Arial"/>
          <w:b/>
          <w:bCs/>
          <w:color w:val="1F1F1F"/>
          <w:sz w:val="36"/>
          <w:szCs w:val="36"/>
          <w:lang w:val="en-US" w:eastAsia="ru-RU"/>
        </w:rPr>
        <w:t>Abstract</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The Central Scandinavian </w:t>
      </w:r>
      <w:hyperlink r:id="rId4" w:tooltip="Learn more about Dolerite from ScienceDirect's AI-generated Topic Pages" w:history="1">
        <w:r w:rsidRPr="00B53D3B">
          <w:rPr>
            <w:rFonts w:ascii="Arial" w:eastAsia="Times New Roman" w:hAnsi="Arial" w:cs="Arial"/>
            <w:color w:val="1F1F1F"/>
            <w:sz w:val="24"/>
            <w:szCs w:val="24"/>
            <w:u w:val="single"/>
            <w:lang w:val="en-US" w:eastAsia="ru-RU"/>
          </w:rPr>
          <w:t>Dolerite</w:t>
        </w:r>
      </w:hyperlink>
      <w:r w:rsidRPr="00B53D3B">
        <w:rPr>
          <w:rFonts w:ascii="Arial" w:eastAsia="Times New Roman" w:hAnsi="Arial" w:cs="Arial"/>
          <w:color w:val="1F1F1F"/>
          <w:sz w:val="24"/>
          <w:szCs w:val="24"/>
          <w:lang w:val="en-US" w:eastAsia="ru-RU"/>
        </w:rPr>
        <w:t> Group (CSDG) occurs in five separate complexes in central Sweden and SW Finland. U–Pb </w:t>
      </w:r>
      <w:hyperlink r:id="rId5" w:tooltip="Learn more about baddeleyite from ScienceDirect's AI-generated Topic Pages" w:history="1">
        <w:r w:rsidRPr="00B53D3B">
          <w:rPr>
            <w:rFonts w:ascii="Arial" w:eastAsia="Times New Roman" w:hAnsi="Arial" w:cs="Arial"/>
            <w:color w:val="1F1F1F"/>
            <w:sz w:val="24"/>
            <w:szCs w:val="24"/>
            <w:u w:val="single"/>
            <w:lang w:val="en-US" w:eastAsia="ru-RU"/>
          </w:rPr>
          <w:t>baddeleyite</w:t>
        </w:r>
      </w:hyperlink>
      <w:r w:rsidRPr="00B53D3B">
        <w:rPr>
          <w:rFonts w:ascii="Arial" w:eastAsia="Times New Roman" w:hAnsi="Arial" w:cs="Arial"/>
          <w:color w:val="1F1F1F"/>
          <w:sz w:val="24"/>
          <w:szCs w:val="24"/>
          <w:lang w:val="en-US" w:eastAsia="ru-RU"/>
        </w:rPr>
        <w:t> ages of dolerite </w:t>
      </w:r>
      <w:hyperlink r:id="rId6" w:tooltip="Learn more about dikes from ScienceDirect's AI-generated Topic Pages" w:history="1">
        <w:r w:rsidRPr="00B53D3B">
          <w:rPr>
            <w:rFonts w:ascii="Arial" w:eastAsia="Times New Roman" w:hAnsi="Arial" w:cs="Arial"/>
            <w:color w:val="1F1F1F"/>
            <w:sz w:val="24"/>
            <w:szCs w:val="24"/>
            <w:u w:val="single"/>
            <w:lang w:val="en-US" w:eastAsia="ru-RU"/>
          </w:rPr>
          <w:t>dikes</w:t>
        </w:r>
      </w:hyperlink>
      <w:r w:rsidRPr="00B53D3B">
        <w:rPr>
          <w:rFonts w:ascii="Arial" w:eastAsia="Times New Roman" w:hAnsi="Arial" w:cs="Arial"/>
          <w:color w:val="1F1F1F"/>
          <w:sz w:val="24"/>
          <w:szCs w:val="24"/>
          <w:lang w:val="en-US" w:eastAsia="ru-RU"/>
        </w:rPr>
        <w:t xml:space="preserve"> and sills fall into three age intervals: 1264–1271 (the Dalarna complex), 1256–1259 (the </w:t>
      </w:r>
      <w:proofErr w:type="spellStart"/>
      <w:r w:rsidRPr="00B53D3B">
        <w:rPr>
          <w:rFonts w:ascii="Arial" w:eastAsia="Times New Roman" w:hAnsi="Arial" w:cs="Arial"/>
          <w:color w:val="1F1F1F"/>
          <w:sz w:val="24"/>
          <w:szCs w:val="24"/>
          <w:lang w:val="en-US" w:eastAsia="ru-RU"/>
        </w:rPr>
        <w:t>Västerbotten-Ulvö-Satakunta</w:t>
      </w:r>
      <w:proofErr w:type="spellEnd"/>
      <w:r w:rsidRPr="00B53D3B">
        <w:rPr>
          <w:rFonts w:ascii="Arial" w:eastAsia="Times New Roman" w:hAnsi="Arial" w:cs="Arial"/>
          <w:color w:val="1F1F1F"/>
          <w:sz w:val="24"/>
          <w:szCs w:val="24"/>
          <w:lang w:val="en-US" w:eastAsia="ru-RU"/>
        </w:rPr>
        <w:t xml:space="preserve"> complexes) and </w:t>
      </w:r>
      <w:r w:rsidRPr="00B53D3B">
        <w:rPr>
          <w:rFonts w:ascii="Cambria Math" w:eastAsia="Times New Roman" w:hAnsi="Cambria Math" w:cs="Cambria Math"/>
          <w:color w:val="1F1F1F"/>
          <w:sz w:val="24"/>
          <w:szCs w:val="24"/>
          <w:lang w:val="en-US" w:eastAsia="ru-RU"/>
        </w:rPr>
        <w:t>∼</w:t>
      </w:r>
      <w:r w:rsidRPr="00B53D3B">
        <w:rPr>
          <w:rFonts w:ascii="Arial" w:eastAsia="Times New Roman" w:hAnsi="Arial" w:cs="Arial"/>
          <w:color w:val="1F1F1F"/>
          <w:sz w:val="24"/>
          <w:szCs w:val="24"/>
          <w:lang w:val="en-US" w:eastAsia="ru-RU"/>
        </w:rPr>
        <w:t xml:space="preserve">1247 Ma (the </w:t>
      </w:r>
      <w:proofErr w:type="spellStart"/>
      <w:r w:rsidRPr="00B53D3B">
        <w:rPr>
          <w:rFonts w:ascii="Arial" w:eastAsia="Times New Roman" w:hAnsi="Arial" w:cs="Arial"/>
          <w:color w:val="1F1F1F"/>
          <w:sz w:val="24"/>
          <w:szCs w:val="24"/>
          <w:lang w:val="en-US" w:eastAsia="ru-RU"/>
        </w:rPr>
        <w:t>Jämtland</w:t>
      </w:r>
      <w:proofErr w:type="spellEnd"/>
      <w:r w:rsidRPr="00B53D3B">
        <w:rPr>
          <w:rFonts w:ascii="Arial" w:eastAsia="Times New Roman" w:hAnsi="Arial" w:cs="Arial"/>
          <w:color w:val="1F1F1F"/>
          <w:sz w:val="24"/>
          <w:szCs w:val="24"/>
          <w:lang w:val="en-US" w:eastAsia="ru-RU"/>
        </w:rPr>
        <w:t xml:space="preserve"> complex). Timing and spatial distribution of CSDG are unlike expressions of the voluminous and short-lived </w:t>
      </w:r>
      <w:hyperlink r:id="rId7" w:tooltip="Learn more about magmatism from ScienceDirect's AI-generated Topic Pages" w:history="1">
        <w:r w:rsidRPr="00B53D3B">
          <w:rPr>
            <w:rFonts w:ascii="Arial" w:eastAsia="Times New Roman" w:hAnsi="Arial" w:cs="Arial"/>
            <w:color w:val="1F1F1F"/>
            <w:sz w:val="24"/>
            <w:szCs w:val="24"/>
            <w:u w:val="single"/>
            <w:lang w:val="en-US" w:eastAsia="ru-RU"/>
          </w:rPr>
          <w:t>magmatism</w:t>
        </w:r>
      </w:hyperlink>
      <w:r w:rsidRPr="00B53D3B">
        <w:rPr>
          <w:rFonts w:ascii="Arial" w:eastAsia="Times New Roman" w:hAnsi="Arial" w:cs="Arial"/>
          <w:color w:val="1F1F1F"/>
          <w:sz w:val="24"/>
          <w:szCs w:val="24"/>
          <w:lang w:val="en-US" w:eastAsia="ru-RU"/>
        </w:rPr>
        <w:t xml:space="preserve"> which </w:t>
      </w:r>
      <w:proofErr w:type="spellStart"/>
      <w:r w:rsidRPr="00B53D3B">
        <w:rPr>
          <w:rFonts w:ascii="Arial" w:eastAsia="Times New Roman" w:hAnsi="Arial" w:cs="Arial"/>
          <w:color w:val="1F1F1F"/>
          <w:sz w:val="24"/>
          <w:szCs w:val="24"/>
          <w:lang w:val="en-US" w:eastAsia="ru-RU"/>
        </w:rPr>
        <w:t>characterises</w:t>
      </w:r>
      <w:proofErr w:type="spellEnd"/>
      <w:r w:rsidRPr="00B53D3B">
        <w:rPr>
          <w:rFonts w:ascii="Arial" w:eastAsia="Times New Roman" w:hAnsi="Arial" w:cs="Arial"/>
          <w:color w:val="1F1F1F"/>
          <w:sz w:val="24"/>
          <w:szCs w:val="24"/>
          <w:lang w:val="en-US" w:eastAsia="ru-RU"/>
        </w:rPr>
        <w:t xml:space="preserve"> plume-associated </w:t>
      </w:r>
      <w:hyperlink r:id="rId8" w:tooltip="Learn more about large igneous provinces from ScienceDirect's AI-generated Topic Pages" w:history="1">
        <w:r w:rsidRPr="00B53D3B">
          <w:rPr>
            <w:rFonts w:ascii="Arial" w:eastAsia="Times New Roman" w:hAnsi="Arial" w:cs="Arial"/>
            <w:color w:val="1F1F1F"/>
            <w:sz w:val="24"/>
            <w:szCs w:val="24"/>
            <w:u w:val="single"/>
            <w:lang w:val="en-US" w:eastAsia="ru-RU"/>
          </w:rPr>
          <w:t>large igneous provinces</w:t>
        </w:r>
      </w:hyperlink>
      <w:r w:rsidRPr="00B53D3B">
        <w:rPr>
          <w:rFonts w:ascii="Arial" w:eastAsia="Times New Roman" w:hAnsi="Arial" w:cs="Arial"/>
          <w:color w:val="1F1F1F"/>
          <w:sz w:val="24"/>
          <w:szCs w:val="24"/>
          <w:lang w:val="en-US" w:eastAsia="ru-RU"/>
        </w:rPr>
        <w:t> (LIPs). Protracted mafic magmatism in association with </w:t>
      </w:r>
      <w:hyperlink r:id="rId9" w:tooltip="Learn more about mantle plume from ScienceDirect's AI-generated Topic Pages" w:history="1">
        <w:r w:rsidRPr="00B53D3B">
          <w:rPr>
            <w:rFonts w:ascii="Arial" w:eastAsia="Times New Roman" w:hAnsi="Arial" w:cs="Arial"/>
            <w:color w:val="1F1F1F"/>
            <w:sz w:val="24"/>
            <w:szCs w:val="24"/>
            <w:u w:val="single"/>
            <w:lang w:val="en-US" w:eastAsia="ru-RU"/>
          </w:rPr>
          <w:t>mantle plume</w:t>
        </w:r>
      </w:hyperlink>
      <w:r w:rsidRPr="00B53D3B">
        <w:rPr>
          <w:rFonts w:ascii="Arial" w:eastAsia="Times New Roman" w:hAnsi="Arial" w:cs="Arial"/>
          <w:color w:val="1F1F1F"/>
          <w:sz w:val="24"/>
          <w:szCs w:val="24"/>
          <w:lang w:val="en-US" w:eastAsia="ru-RU"/>
        </w:rPr>
        <w:t> tail (hotspot) activity beneath the Fennoscandian lithosphere or discrete events of extension behind an active margin (subduction) are considered more plausible </w:t>
      </w:r>
      <w:hyperlink r:id="rId10" w:tooltip="Learn more about tectonic settings from ScienceDirect's AI-generated Topic Pages" w:history="1">
        <w:r w:rsidRPr="00B53D3B">
          <w:rPr>
            <w:rFonts w:ascii="Arial" w:eastAsia="Times New Roman" w:hAnsi="Arial" w:cs="Arial"/>
            <w:color w:val="1F1F1F"/>
            <w:sz w:val="24"/>
            <w:szCs w:val="24"/>
            <w:u w:val="single"/>
            <w:lang w:val="en-US" w:eastAsia="ru-RU"/>
          </w:rPr>
          <w:t>tectonic settings</w:t>
        </w:r>
      </w:hyperlink>
      <w:r w:rsidRPr="00B53D3B">
        <w:rPr>
          <w:rFonts w:ascii="Arial" w:eastAsia="Times New Roman" w:hAnsi="Arial" w:cs="Arial"/>
          <w:color w:val="1F1F1F"/>
          <w:sz w:val="24"/>
          <w:szCs w:val="24"/>
          <w:lang w:val="en-US" w:eastAsia="ru-RU"/>
        </w:rPr>
        <w:t>. Both settings are consistent with timing, relative </w:t>
      </w:r>
      <w:hyperlink r:id="rId11" w:tooltip="Learn more about magma from ScienceDirect's AI-generated Topic Pages" w:history="1">
        <w:r w:rsidRPr="00B53D3B">
          <w:rPr>
            <w:rFonts w:ascii="Arial" w:eastAsia="Times New Roman" w:hAnsi="Arial" w:cs="Arial"/>
            <w:color w:val="1F1F1F"/>
            <w:sz w:val="24"/>
            <w:szCs w:val="24"/>
            <w:u w:val="single"/>
            <w:lang w:val="en-US" w:eastAsia="ru-RU"/>
          </w:rPr>
          <w:t>magma</w:t>
        </w:r>
      </w:hyperlink>
      <w:r w:rsidRPr="00B53D3B">
        <w:rPr>
          <w:rFonts w:ascii="Arial" w:eastAsia="Times New Roman" w:hAnsi="Arial" w:cs="Arial"/>
          <w:color w:val="1F1F1F"/>
          <w:sz w:val="24"/>
          <w:szCs w:val="24"/>
          <w:lang w:val="en-US" w:eastAsia="ru-RU"/>
        </w:rPr>
        <w:t> volumes between complexes and vertical ascent of individual magma pulses through the crust, as inferred from seismic sections [</w:t>
      </w:r>
      <w:proofErr w:type="spellStart"/>
      <w:r w:rsidRPr="00B53D3B">
        <w:rPr>
          <w:rFonts w:ascii="Arial" w:eastAsia="Times New Roman" w:hAnsi="Arial" w:cs="Arial"/>
          <w:color w:val="1F1F1F"/>
          <w:sz w:val="24"/>
          <w:szCs w:val="24"/>
          <w:lang w:val="en-US" w:eastAsia="ru-RU"/>
        </w:rPr>
        <w:t>Korja</w:t>
      </w:r>
      <w:proofErr w:type="spellEnd"/>
      <w:r w:rsidRPr="00B53D3B">
        <w:rPr>
          <w:rFonts w:ascii="Arial" w:eastAsia="Times New Roman" w:hAnsi="Arial" w:cs="Arial"/>
          <w:color w:val="1F1F1F"/>
          <w:sz w:val="24"/>
          <w:szCs w:val="24"/>
          <w:lang w:val="en-US" w:eastAsia="ru-RU"/>
        </w:rPr>
        <w:t xml:space="preserve">, A., Heikkinen, P., </w:t>
      </w:r>
      <w:proofErr w:type="spellStart"/>
      <w:r w:rsidRPr="00B53D3B">
        <w:rPr>
          <w:rFonts w:ascii="Arial" w:eastAsia="Times New Roman" w:hAnsi="Arial" w:cs="Arial"/>
          <w:color w:val="1F1F1F"/>
          <w:sz w:val="24"/>
          <w:szCs w:val="24"/>
          <w:lang w:val="en-US" w:eastAsia="ru-RU"/>
        </w:rPr>
        <w:t>Aaro</w:t>
      </w:r>
      <w:proofErr w:type="spellEnd"/>
      <w:r w:rsidRPr="00B53D3B">
        <w:rPr>
          <w:rFonts w:ascii="Arial" w:eastAsia="Times New Roman" w:hAnsi="Arial" w:cs="Arial"/>
          <w:color w:val="1F1F1F"/>
          <w:sz w:val="24"/>
          <w:szCs w:val="24"/>
          <w:lang w:val="en-US" w:eastAsia="ru-RU"/>
        </w:rPr>
        <w:t>, S., 2001. </w:t>
      </w:r>
      <w:hyperlink r:id="rId12" w:tooltip="Learn more about Crustal structure from ScienceDirect's AI-generated Topic Pages" w:history="1">
        <w:r w:rsidRPr="00B53D3B">
          <w:rPr>
            <w:rFonts w:ascii="Arial" w:eastAsia="Times New Roman" w:hAnsi="Arial" w:cs="Arial"/>
            <w:color w:val="1F1F1F"/>
            <w:sz w:val="24"/>
            <w:szCs w:val="24"/>
            <w:u w:val="single"/>
            <w:lang w:val="en-US" w:eastAsia="ru-RU"/>
          </w:rPr>
          <w:t>Crustal structure</w:t>
        </w:r>
      </w:hyperlink>
      <w:r w:rsidRPr="00B53D3B">
        <w:rPr>
          <w:rFonts w:ascii="Arial" w:eastAsia="Times New Roman" w:hAnsi="Arial" w:cs="Arial"/>
          <w:color w:val="1F1F1F"/>
          <w:sz w:val="24"/>
          <w:szCs w:val="24"/>
          <w:lang w:val="en-US" w:eastAsia="ru-RU"/>
        </w:rPr>
        <w:t> of the northern </w:t>
      </w:r>
      <w:hyperlink r:id="rId13" w:tooltip="Learn more about Baltic Sea from ScienceDirect's AI-generated Topic Pages" w:history="1">
        <w:r w:rsidRPr="00B53D3B">
          <w:rPr>
            <w:rFonts w:ascii="Arial" w:eastAsia="Times New Roman" w:hAnsi="Arial" w:cs="Arial"/>
            <w:color w:val="1F1F1F"/>
            <w:sz w:val="24"/>
            <w:szCs w:val="24"/>
            <w:u w:val="single"/>
            <w:lang w:val="en-US" w:eastAsia="ru-RU"/>
          </w:rPr>
          <w:t>Baltic Sea</w:t>
        </w:r>
      </w:hyperlink>
      <w:r w:rsidRPr="00B53D3B">
        <w:rPr>
          <w:rFonts w:ascii="Arial" w:eastAsia="Times New Roman" w:hAnsi="Arial" w:cs="Arial"/>
          <w:color w:val="1F1F1F"/>
          <w:sz w:val="24"/>
          <w:szCs w:val="24"/>
          <w:lang w:val="en-US" w:eastAsia="ru-RU"/>
        </w:rPr>
        <w:t> </w:t>
      </w:r>
      <w:proofErr w:type="spellStart"/>
      <w:r w:rsidRPr="00B53D3B">
        <w:rPr>
          <w:rFonts w:ascii="Arial" w:eastAsia="Times New Roman" w:hAnsi="Arial" w:cs="Arial"/>
          <w:color w:val="1F1F1F"/>
          <w:sz w:val="24"/>
          <w:szCs w:val="24"/>
          <w:lang w:val="en-US" w:eastAsia="ru-RU"/>
        </w:rPr>
        <w:t>palaeorift</w:t>
      </w:r>
      <w:proofErr w:type="spellEnd"/>
      <w:r w:rsidRPr="00B53D3B">
        <w:rPr>
          <w:rFonts w:ascii="Arial" w:eastAsia="Times New Roman" w:hAnsi="Arial" w:cs="Arial"/>
          <w:color w:val="1F1F1F"/>
          <w:sz w:val="24"/>
          <w:szCs w:val="24"/>
          <w:lang w:val="en-US" w:eastAsia="ru-RU"/>
        </w:rPr>
        <w:t xml:space="preserve">. </w:t>
      </w:r>
      <w:proofErr w:type="spellStart"/>
      <w:r w:rsidRPr="00B53D3B">
        <w:rPr>
          <w:rFonts w:ascii="Arial" w:eastAsia="Times New Roman" w:hAnsi="Arial" w:cs="Arial"/>
          <w:color w:val="1F1F1F"/>
          <w:sz w:val="24"/>
          <w:szCs w:val="24"/>
          <w:lang w:val="en-US" w:eastAsia="ru-RU"/>
        </w:rPr>
        <w:t>Teconophysics</w:t>
      </w:r>
      <w:proofErr w:type="spellEnd"/>
      <w:r w:rsidRPr="00B53D3B">
        <w:rPr>
          <w:rFonts w:ascii="Arial" w:eastAsia="Times New Roman" w:hAnsi="Arial" w:cs="Arial"/>
          <w:color w:val="1F1F1F"/>
          <w:sz w:val="24"/>
          <w:szCs w:val="24"/>
          <w:lang w:val="en-US" w:eastAsia="ru-RU"/>
        </w:rPr>
        <w:t xml:space="preserve"> 331, 341–358]. In the hotspot model, the lack of a linear track of intrusions can be explained by an almost stationary position of Fennoscandia relative to the hotspot, in agreement with palaeomagnetic data [</w:t>
      </w:r>
      <w:proofErr w:type="spellStart"/>
      <w:r w:rsidRPr="00B53D3B">
        <w:rPr>
          <w:rFonts w:ascii="Arial" w:eastAsia="Times New Roman" w:hAnsi="Arial" w:cs="Arial"/>
          <w:color w:val="1F1F1F"/>
          <w:sz w:val="24"/>
          <w:szCs w:val="24"/>
          <w:lang w:val="en-US" w:eastAsia="ru-RU"/>
        </w:rPr>
        <w:t>Elming</w:t>
      </w:r>
      <w:proofErr w:type="spellEnd"/>
      <w:r w:rsidRPr="00B53D3B">
        <w:rPr>
          <w:rFonts w:ascii="Arial" w:eastAsia="Times New Roman" w:hAnsi="Arial" w:cs="Arial"/>
          <w:color w:val="1F1F1F"/>
          <w:sz w:val="24"/>
          <w:szCs w:val="24"/>
          <w:lang w:val="en-US" w:eastAsia="ru-RU"/>
        </w:rPr>
        <w:t xml:space="preserve">, S.-Å., </w:t>
      </w:r>
      <w:proofErr w:type="spellStart"/>
      <w:r w:rsidRPr="00B53D3B">
        <w:rPr>
          <w:rFonts w:ascii="Arial" w:eastAsia="Times New Roman" w:hAnsi="Arial" w:cs="Arial"/>
          <w:color w:val="1F1F1F"/>
          <w:sz w:val="24"/>
          <w:szCs w:val="24"/>
          <w:lang w:val="en-US" w:eastAsia="ru-RU"/>
        </w:rPr>
        <w:t>Mattsson</w:t>
      </w:r>
      <w:proofErr w:type="spellEnd"/>
      <w:r w:rsidRPr="00B53D3B">
        <w:rPr>
          <w:rFonts w:ascii="Arial" w:eastAsia="Times New Roman" w:hAnsi="Arial" w:cs="Arial"/>
          <w:color w:val="1F1F1F"/>
          <w:sz w:val="24"/>
          <w:szCs w:val="24"/>
          <w:lang w:val="en-US" w:eastAsia="ru-RU"/>
        </w:rPr>
        <w:t xml:space="preserve">, H., 2001. Post </w:t>
      </w:r>
      <w:proofErr w:type="spellStart"/>
      <w:r w:rsidRPr="00B53D3B">
        <w:rPr>
          <w:rFonts w:ascii="Arial" w:eastAsia="Times New Roman" w:hAnsi="Arial" w:cs="Arial"/>
          <w:color w:val="1F1F1F"/>
          <w:sz w:val="24"/>
          <w:szCs w:val="24"/>
          <w:lang w:val="en-US" w:eastAsia="ru-RU"/>
        </w:rPr>
        <w:t>Jotnian</w:t>
      </w:r>
      <w:proofErr w:type="spellEnd"/>
      <w:r w:rsidRPr="00B53D3B">
        <w:rPr>
          <w:rFonts w:ascii="Arial" w:eastAsia="Times New Roman" w:hAnsi="Arial" w:cs="Arial"/>
          <w:color w:val="1F1F1F"/>
          <w:sz w:val="24"/>
          <w:szCs w:val="24"/>
          <w:lang w:val="en-US" w:eastAsia="ru-RU"/>
        </w:rPr>
        <w:t xml:space="preserve"> basic intrusion in the Fennoscandian Shield, and the </w:t>
      </w:r>
      <w:proofErr w:type="spellStart"/>
      <w:r w:rsidRPr="00B53D3B">
        <w:rPr>
          <w:rFonts w:ascii="Arial" w:eastAsia="Times New Roman" w:hAnsi="Arial" w:cs="Arial"/>
          <w:color w:val="1F1F1F"/>
          <w:sz w:val="24"/>
          <w:szCs w:val="24"/>
          <w:lang w:val="en-US" w:eastAsia="ru-RU"/>
        </w:rPr>
        <w:t>break up</w:t>
      </w:r>
      <w:proofErr w:type="spellEnd"/>
      <w:r w:rsidRPr="00B53D3B">
        <w:rPr>
          <w:rFonts w:ascii="Arial" w:eastAsia="Times New Roman" w:hAnsi="Arial" w:cs="Arial"/>
          <w:color w:val="1F1F1F"/>
          <w:sz w:val="24"/>
          <w:szCs w:val="24"/>
          <w:lang w:val="en-US" w:eastAsia="ru-RU"/>
        </w:rPr>
        <w:t xml:space="preserve"> of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from Laurentia: a palaeomagnetic and </w:t>
      </w:r>
      <w:hyperlink r:id="rId14" w:tooltip="Learn more about AMS from ScienceDirect's AI-generated Topic Pages" w:history="1">
        <w:r w:rsidRPr="00B53D3B">
          <w:rPr>
            <w:rFonts w:ascii="Arial" w:eastAsia="Times New Roman" w:hAnsi="Arial" w:cs="Arial"/>
            <w:color w:val="1F1F1F"/>
            <w:sz w:val="24"/>
            <w:szCs w:val="24"/>
            <w:u w:val="single"/>
            <w:lang w:val="en-US" w:eastAsia="ru-RU"/>
          </w:rPr>
          <w:t>AMS</w:t>
        </w:r>
      </w:hyperlink>
      <w:r w:rsidRPr="00B53D3B">
        <w:rPr>
          <w:rFonts w:ascii="Arial" w:eastAsia="Times New Roman" w:hAnsi="Arial" w:cs="Arial"/>
          <w:color w:val="1F1F1F"/>
          <w:sz w:val="24"/>
          <w:szCs w:val="24"/>
          <w:lang w:val="en-US" w:eastAsia="ru-RU"/>
        </w:rPr>
        <w:t> study. </w:t>
      </w:r>
      <w:hyperlink r:id="rId15" w:tooltip="Learn more about Precambrian from ScienceDirect's AI-generated Topic Pages" w:history="1">
        <w:r w:rsidRPr="00B53D3B">
          <w:rPr>
            <w:rFonts w:ascii="Arial" w:eastAsia="Times New Roman" w:hAnsi="Arial" w:cs="Arial"/>
            <w:color w:val="1F1F1F"/>
            <w:sz w:val="24"/>
            <w:szCs w:val="24"/>
            <w:u w:val="single"/>
            <w:lang w:val="en-US" w:eastAsia="ru-RU"/>
          </w:rPr>
          <w:t>Precambrian</w:t>
        </w:r>
      </w:hyperlink>
      <w:r w:rsidRPr="00B53D3B">
        <w:rPr>
          <w:rFonts w:ascii="Arial" w:eastAsia="Times New Roman" w:hAnsi="Arial" w:cs="Arial"/>
          <w:color w:val="1F1F1F"/>
          <w:sz w:val="24"/>
          <w:szCs w:val="24"/>
          <w:lang w:val="en-US" w:eastAsia="ru-RU"/>
        </w:rPr>
        <w:t> Res. 108, 215–236]). Together with geological evidence, dolerite sill complexes and </w:t>
      </w:r>
      <w:hyperlink r:id="rId16" w:tooltip="Learn more about dike swarms from ScienceDirect's AI-generated Topic Pages" w:history="1">
        <w:r w:rsidRPr="00B53D3B">
          <w:rPr>
            <w:rFonts w:ascii="Arial" w:eastAsia="Times New Roman" w:hAnsi="Arial" w:cs="Arial"/>
            <w:color w:val="1F1F1F"/>
            <w:sz w:val="24"/>
            <w:szCs w:val="24"/>
            <w:u w:val="single"/>
            <w:lang w:val="en-US" w:eastAsia="ru-RU"/>
          </w:rPr>
          <w:t>dike swarms</w:t>
        </w:r>
      </w:hyperlink>
      <w:r w:rsidRPr="00B53D3B">
        <w:rPr>
          <w:rFonts w:ascii="Arial" w:eastAsia="Times New Roman" w:hAnsi="Arial" w:cs="Arial"/>
          <w:color w:val="1F1F1F"/>
          <w:sz w:val="24"/>
          <w:szCs w:val="24"/>
          <w:lang w:val="en-US" w:eastAsia="ru-RU"/>
        </w:rPr>
        <w:t> in Labrador (Canada), S Greenland and central Scandinavia in the range 1234–1284 Ma are best explained by long-lived subduction along a continuous Laurentia-</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margin preceding </w:t>
      </w:r>
      <w:proofErr w:type="spellStart"/>
      <w:r w:rsidRPr="00B53D3B">
        <w:rPr>
          <w:rFonts w:ascii="Arial" w:eastAsia="Times New Roman" w:hAnsi="Arial" w:cs="Arial"/>
          <w:color w:val="1F1F1F"/>
          <w:sz w:val="24"/>
          <w:szCs w:val="24"/>
          <w:lang w:eastAsia="ru-RU"/>
        </w:rPr>
        <w:fldChar w:fldCharType="begin"/>
      </w:r>
      <w:r w:rsidRPr="00B53D3B">
        <w:rPr>
          <w:rFonts w:ascii="Arial" w:eastAsia="Times New Roman" w:hAnsi="Arial" w:cs="Arial"/>
          <w:color w:val="1F1F1F"/>
          <w:sz w:val="24"/>
          <w:szCs w:val="24"/>
          <w:lang w:val="en-US" w:eastAsia="ru-RU"/>
        </w:rPr>
        <w:instrText xml:space="preserve"> HYPERLINK "https://www.sciencedirect.com/topics/earth-and-planetary-sciences/rodinia" \o "Learn more about Rodinia from ScienceDirect's AI-generated Topic Pages" </w:instrText>
      </w:r>
      <w:r w:rsidRPr="00B53D3B">
        <w:rPr>
          <w:rFonts w:ascii="Arial" w:eastAsia="Times New Roman" w:hAnsi="Arial" w:cs="Arial"/>
          <w:color w:val="1F1F1F"/>
          <w:sz w:val="24"/>
          <w:szCs w:val="24"/>
          <w:lang w:eastAsia="ru-RU"/>
        </w:rPr>
        <w:fldChar w:fldCharType="separate"/>
      </w:r>
      <w:r w:rsidRPr="00B53D3B">
        <w:rPr>
          <w:rFonts w:ascii="Arial" w:eastAsia="Times New Roman" w:hAnsi="Arial" w:cs="Arial"/>
          <w:color w:val="1F1F1F"/>
          <w:sz w:val="24"/>
          <w:szCs w:val="24"/>
          <w:u w:val="single"/>
          <w:lang w:val="en-US" w:eastAsia="ru-RU"/>
        </w:rPr>
        <w:t>Rodinia</w:t>
      </w:r>
      <w:proofErr w:type="spellEnd"/>
      <w:r w:rsidRPr="00B53D3B">
        <w:rPr>
          <w:rFonts w:ascii="Arial" w:eastAsia="Times New Roman" w:hAnsi="Arial" w:cs="Arial"/>
          <w:color w:val="1F1F1F"/>
          <w:sz w:val="24"/>
          <w:szCs w:val="24"/>
          <w:lang w:eastAsia="ru-RU"/>
        </w:rPr>
        <w:fldChar w:fldCharType="end"/>
      </w:r>
      <w:r w:rsidRPr="00B53D3B">
        <w:rPr>
          <w:rFonts w:ascii="Arial" w:eastAsia="Times New Roman" w:hAnsi="Arial" w:cs="Arial"/>
          <w:color w:val="1F1F1F"/>
          <w:sz w:val="24"/>
          <w:szCs w:val="24"/>
          <w:lang w:val="en-US" w:eastAsia="ru-RU"/>
        </w:rPr>
        <w:t xml:space="preserve"> formation. There is no support for the hypothesis that CSDG was fed by magma derived from a distal mantle plume located between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and Greenland and, hence, for rifting between the </w:t>
      </w:r>
      <w:hyperlink r:id="rId17" w:tooltip="Learn more about cratons from ScienceDirect's AI-generated Topic Pages" w:history="1">
        <w:r w:rsidRPr="00B53D3B">
          <w:rPr>
            <w:rFonts w:ascii="Arial" w:eastAsia="Times New Roman" w:hAnsi="Arial" w:cs="Arial"/>
            <w:color w:val="1F1F1F"/>
            <w:sz w:val="24"/>
            <w:szCs w:val="24"/>
            <w:u w:val="single"/>
            <w:lang w:val="en-US" w:eastAsia="ru-RU"/>
          </w:rPr>
          <w:t>cratons</w:t>
        </w:r>
      </w:hyperlink>
      <w:r w:rsidRPr="00B53D3B">
        <w:rPr>
          <w:rFonts w:ascii="Arial" w:eastAsia="Times New Roman" w:hAnsi="Arial" w:cs="Arial"/>
          <w:color w:val="1F1F1F"/>
          <w:sz w:val="24"/>
          <w:szCs w:val="24"/>
          <w:lang w:val="en-US" w:eastAsia="ru-RU"/>
        </w:rPr>
        <w:t xml:space="preserve"> at </w:t>
      </w:r>
      <w:r w:rsidRPr="00B53D3B">
        <w:rPr>
          <w:rFonts w:ascii="Cambria Math" w:eastAsia="Times New Roman" w:hAnsi="Cambria Math" w:cs="Cambria Math"/>
          <w:color w:val="1F1F1F"/>
          <w:sz w:val="24"/>
          <w:szCs w:val="24"/>
          <w:lang w:val="en-US" w:eastAsia="ru-RU"/>
        </w:rPr>
        <w:t>∼</w:t>
      </w:r>
      <w:r w:rsidRPr="00B53D3B">
        <w:rPr>
          <w:rFonts w:ascii="Arial" w:eastAsia="Times New Roman" w:hAnsi="Arial" w:cs="Arial"/>
          <w:color w:val="1F1F1F"/>
          <w:sz w:val="24"/>
          <w:szCs w:val="24"/>
          <w:lang w:val="en-US" w:eastAsia="ru-RU"/>
        </w:rPr>
        <w:t>1.26 Ga.</w:t>
      </w:r>
    </w:p>
    <w:p w:rsidR="00B53D3B" w:rsidRPr="00B53D3B" w:rsidRDefault="00B53D3B" w:rsidP="00B53D3B">
      <w:pPr>
        <w:spacing w:after="12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lastRenderedPageBreak/>
        <w:t>The epsilon-Hf in various members of the CSDG varies between 4.7 and 10.3, which are overall higher than both older and younger Mesoproterozoic mafic intrusions in central Fennoscandia. Magma generated from a hotspot </w:t>
      </w:r>
      <w:hyperlink r:id="rId18" w:tooltip="Learn more about mantle source from ScienceDirect's AI-generated Topic Pages" w:history="1">
        <w:r w:rsidRPr="00B53D3B">
          <w:rPr>
            <w:rFonts w:ascii="Arial" w:eastAsia="Times New Roman" w:hAnsi="Arial" w:cs="Arial"/>
            <w:color w:val="1F1F1F"/>
            <w:sz w:val="24"/>
            <w:szCs w:val="24"/>
            <w:u w:val="single"/>
            <w:lang w:val="en-US" w:eastAsia="ru-RU"/>
          </w:rPr>
          <w:t>mantle source</w:t>
        </w:r>
      </w:hyperlink>
      <w:r w:rsidRPr="00B53D3B">
        <w:rPr>
          <w:rFonts w:ascii="Arial" w:eastAsia="Times New Roman" w:hAnsi="Arial" w:cs="Arial"/>
          <w:color w:val="1F1F1F"/>
          <w:sz w:val="24"/>
          <w:szCs w:val="24"/>
          <w:lang w:val="en-US" w:eastAsia="ru-RU"/>
        </w:rPr>
        <w:t xml:space="preserve"> that was mixed to highly variable degrees with an enriched subcontinental lithospheric mantle could account for the wide range in Hf isotope composition. In the course of Hf isotope development work during this project we have </w:t>
      </w:r>
      <w:proofErr w:type="spellStart"/>
      <w:r w:rsidRPr="00B53D3B">
        <w:rPr>
          <w:rFonts w:ascii="Arial" w:eastAsia="Times New Roman" w:hAnsi="Arial" w:cs="Arial"/>
          <w:color w:val="1F1F1F"/>
          <w:sz w:val="24"/>
          <w:szCs w:val="24"/>
          <w:lang w:val="en-US" w:eastAsia="ru-RU"/>
        </w:rPr>
        <w:t>analysed</w:t>
      </w:r>
      <w:proofErr w:type="spellEnd"/>
      <w:r w:rsidRPr="00B53D3B">
        <w:rPr>
          <w:rFonts w:ascii="Arial" w:eastAsia="Times New Roman" w:hAnsi="Arial" w:cs="Arial"/>
          <w:color w:val="1F1F1F"/>
          <w:sz w:val="24"/>
          <w:szCs w:val="24"/>
          <w:lang w:val="en-US" w:eastAsia="ru-RU"/>
        </w:rPr>
        <w:t xml:space="preserve"> four fragments of the </w:t>
      </w:r>
      <w:proofErr w:type="spellStart"/>
      <w:r w:rsidRPr="00B53D3B">
        <w:rPr>
          <w:rFonts w:ascii="Arial" w:eastAsia="Times New Roman" w:hAnsi="Arial" w:cs="Arial"/>
          <w:color w:val="1F1F1F"/>
          <w:sz w:val="24"/>
          <w:szCs w:val="24"/>
          <w:lang w:val="en-US" w:eastAsia="ru-RU"/>
        </w:rPr>
        <w:t>Geostandard</w:t>
      </w:r>
      <w:proofErr w:type="spellEnd"/>
      <w:r w:rsidRPr="00B53D3B">
        <w:rPr>
          <w:rFonts w:ascii="Arial" w:eastAsia="Times New Roman" w:hAnsi="Arial" w:cs="Arial"/>
          <w:color w:val="1F1F1F"/>
          <w:sz w:val="24"/>
          <w:szCs w:val="24"/>
          <w:lang w:val="en-US" w:eastAsia="ru-RU"/>
        </w:rPr>
        <w:t xml:space="preserve"> 91500 reference </w:t>
      </w:r>
      <w:hyperlink r:id="rId19" w:tooltip="Learn more about zircon from ScienceDirect's AI-generated Topic Pages" w:history="1">
        <w:r w:rsidRPr="00B53D3B">
          <w:rPr>
            <w:rFonts w:ascii="Arial" w:eastAsia="Times New Roman" w:hAnsi="Arial" w:cs="Arial"/>
            <w:color w:val="1F1F1F"/>
            <w:sz w:val="24"/>
            <w:szCs w:val="24"/>
            <w:u w:val="single"/>
            <w:lang w:val="en-US" w:eastAsia="ru-RU"/>
          </w:rPr>
          <w:t>zircon</w:t>
        </w:r>
      </w:hyperlink>
      <w:r w:rsidRPr="00B53D3B">
        <w:rPr>
          <w:rFonts w:ascii="Arial" w:eastAsia="Times New Roman" w:hAnsi="Arial" w:cs="Arial"/>
          <w:color w:val="1F1F1F"/>
          <w:sz w:val="24"/>
          <w:szCs w:val="24"/>
          <w:lang w:val="en-US" w:eastAsia="ru-RU"/>
        </w:rPr>
        <w:t> and after evaluating the existing ICPMS and TIMS data we calculate a mean </w:t>
      </w:r>
      <w:r w:rsidRPr="00B53D3B">
        <w:rPr>
          <w:rFonts w:ascii="Arial" w:eastAsia="Times New Roman" w:hAnsi="Arial" w:cs="Arial"/>
          <w:color w:val="1F1F1F"/>
          <w:sz w:val="18"/>
          <w:szCs w:val="18"/>
          <w:vertAlign w:val="superscript"/>
          <w:lang w:val="en-US" w:eastAsia="ru-RU"/>
        </w:rPr>
        <w:t>176</w:t>
      </w:r>
      <w:r w:rsidRPr="00B53D3B">
        <w:rPr>
          <w:rFonts w:ascii="Arial" w:eastAsia="Times New Roman" w:hAnsi="Arial" w:cs="Arial"/>
          <w:color w:val="1F1F1F"/>
          <w:sz w:val="24"/>
          <w:szCs w:val="24"/>
          <w:lang w:val="en-US" w:eastAsia="ru-RU"/>
        </w:rPr>
        <w:t>Hf/</w:t>
      </w:r>
      <w:r w:rsidRPr="00B53D3B">
        <w:rPr>
          <w:rFonts w:ascii="Arial" w:eastAsia="Times New Roman" w:hAnsi="Arial" w:cs="Arial"/>
          <w:color w:val="1F1F1F"/>
          <w:sz w:val="18"/>
          <w:szCs w:val="18"/>
          <w:vertAlign w:val="superscript"/>
          <w:lang w:val="en-US" w:eastAsia="ru-RU"/>
        </w:rPr>
        <w:t>177</w:t>
      </w:r>
      <w:r w:rsidRPr="00B53D3B">
        <w:rPr>
          <w:rFonts w:ascii="Arial" w:eastAsia="Times New Roman" w:hAnsi="Arial" w:cs="Arial"/>
          <w:color w:val="1F1F1F"/>
          <w:sz w:val="24"/>
          <w:szCs w:val="24"/>
          <w:lang w:val="en-US" w:eastAsia="ru-RU"/>
        </w:rPr>
        <w:t>Hf value of 0.282303 ± 0.000003 (2</w:t>
      </w:r>
      <w:r w:rsidRPr="00B53D3B">
        <w:rPr>
          <w:rFonts w:ascii="Arial" w:eastAsia="Times New Roman" w:hAnsi="Arial" w:cs="Arial"/>
          <w:i/>
          <w:iCs/>
          <w:color w:val="1F1F1F"/>
          <w:sz w:val="24"/>
          <w:szCs w:val="24"/>
          <w:lang w:eastAsia="ru-RU"/>
        </w:rPr>
        <w:t>σ</w:t>
      </w:r>
      <w:r w:rsidRPr="00B53D3B">
        <w:rPr>
          <w:rFonts w:ascii="Arial" w:eastAsia="Times New Roman" w:hAnsi="Arial" w:cs="Arial"/>
          <w:color w:val="1F1F1F"/>
          <w:sz w:val="24"/>
          <w:szCs w:val="24"/>
          <w:lang w:val="en-US" w:eastAsia="ru-RU"/>
        </w:rPr>
        <w:t>).</w:t>
      </w:r>
    </w:p>
    <w:p w:rsidR="00B53D3B" w:rsidRPr="00B53D3B" w:rsidRDefault="00B53D3B" w:rsidP="00B53D3B">
      <w:pPr>
        <w:spacing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Introduction</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Mantle-derived mafic rocks are associated with a variety of different geological processes, e.g. break-up and rifting of continental plates, plume/hotspot activity, delamination and subduction. The timing and duration of magmatic activity vary significantly between tectonic settings. For instance, the bulk of magma involved in formation of Large Igneous Provinces (LIPs) related to a plume extrudes or intrudes typically within 1–2 </w:t>
      </w:r>
      <w:proofErr w:type="spellStart"/>
      <w:r w:rsidRPr="00B53D3B">
        <w:rPr>
          <w:rFonts w:ascii="Arial" w:eastAsia="Times New Roman" w:hAnsi="Arial" w:cs="Arial"/>
          <w:color w:val="1F1F1F"/>
          <w:sz w:val="24"/>
          <w:szCs w:val="24"/>
          <w:lang w:val="en-US" w:eastAsia="ru-RU"/>
        </w:rPr>
        <w:t>Myr</w:t>
      </w:r>
      <w:proofErr w:type="spellEnd"/>
      <w:r w:rsidRPr="00B53D3B">
        <w:rPr>
          <w:rFonts w:ascii="Arial" w:eastAsia="Times New Roman" w:hAnsi="Arial" w:cs="Arial"/>
          <w:color w:val="1F1F1F"/>
          <w:sz w:val="24"/>
          <w:szCs w:val="24"/>
          <w:lang w:val="en-US" w:eastAsia="ru-RU"/>
        </w:rPr>
        <w:t xml:space="preserve"> (Ernst et al., 2005). Magmatic activity may continue in response to melting of a mantle plume-tail or if magmatism evolves into rifting. Subduction-related magmatism seems to last in pulses of 5–20 </w:t>
      </w:r>
      <w:proofErr w:type="spellStart"/>
      <w:r w:rsidRPr="00B53D3B">
        <w:rPr>
          <w:rFonts w:ascii="Arial" w:eastAsia="Times New Roman" w:hAnsi="Arial" w:cs="Arial"/>
          <w:color w:val="1F1F1F"/>
          <w:sz w:val="24"/>
          <w:szCs w:val="24"/>
          <w:lang w:val="en-US" w:eastAsia="ru-RU"/>
        </w:rPr>
        <w:t>Myr</w:t>
      </w:r>
      <w:proofErr w:type="spellEnd"/>
      <w:r w:rsidRPr="00B53D3B">
        <w:rPr>
          <w:rFonts w:ascii="Arial" w:eastAsia="Times New Roman" w:hAnsi="Arial" w:cs="Arial"/>
          <w:color w:val="1F1F1F"/>
          <w:sz w:val="24"/>
          <w:szCs w:val="24"/>
          <w:lang w:val="en-US" w:eastAsia="ru-RU"/>
        </w:rPr>
        <w:t xml:space="preserve"> (e.g. Romer et al., 1995, </w:t>
      </w:r>
      <w:proofErr w:type="spellStart"/>
      <w:r w:rsidRPr="00B53D3B">
        <w:rPr>
          <w:rFonts w:ascii="Arial" w:eastAsia="Times New Roman" w:hAnsi="Arial" w:cs="Arial"/>
          <w:color w:val="1F1F1F"/>
          <w:sz w:val="24"/>
          <w:szCs w:val="24"/>
          <w:lang w:val="en-US" w:eastAsia="ru-RU"/>
        </w:rPr>
        <w:t>Karlstrom</w:t>
      </w:r>
      <w:proofErr w:type="spellEnd"/>
      <w:r w:rsidRPr="00B53D3B">
        <w:rPr>
          <w:rFonts w:ascii="Arial" w:eastAsia="Times New Roman" w:hAnsi="Arial" w:cs="Arial"/>
          <w:color w:val="1F1F1F"/>
          <w:sz w:val="24"/>
          <w:szCs w:val="24"/>
          <w:lang w:val="en-US" w:eastAsia="ru-RU"/>
        </w:rPr>
        <w:t xml:space="preserve"> et al., 2001) probably reflecting alternating periods of retreating or advancing of the subduction boundary (e.g. Rivers and Corrigan, 2000). Hotspot activity typically results in linear tracks of progressively younger or older mafic intrusions, and the total duration of hotspot-related magmatism can vary from tens to over hundreds of </w:t>
      </w:r>
      <w:proofErr w:type="spellStart"/>
      <w:r w:rsidRPr="00B53D3B">
        <w:rPr>
          <w:rFonts w:ascii="Arial" w:eastAsia="Times New Roman" w:hAnsi="Arial" w:cs="Arial"/>
          <w:color w:val="1F1F1F"/>
          <w:sz w:val="24"/>
          <w:szCs w:val="24"/>
          <w:lang w:val="en-US" w:eastAsia="ru-RU"/>
        </w:rPr>
        <w:t>Myr</w:t>
      </w:r>
      <w:proofErr w:type="spellEnd"/>
      <w:r w:rsidRPr="00B53D3B">
        <w:rPr>
          <w:rFonts w:ascii="Arial" w:eastAsia="Times New Roman" w:hAnsi="Arial" w:cs="Arial"/>
          <w:color w:val="1F1F1F"/>
          <w:sz w:val="24"/>
          <w:szCs w:val="24"/>
          <w:lang w:val="en-US" w:eastAsia="ru-RU"/>
        </w:rPr>
        <w:t xml:space="preserve"> (e.g. </w:t>
      </w:r>
      <w:proofErr w:type="spellStart"/>
      <w:r w:rsidRPr="00B53D3B">
        <w:rPr>
          <w:rFonts w:ascii="Arial" w:eastAsia="Times New Roman" w:hAnsi="Arial" w:cs="Arial"/>
          <w:color w:val="1F1F1F"/>
          <w:sz w:val="24"/>
          <w:szCs w:val="24"/>
          <w:lang w:val="en-US" w:eastAsia="ru-RU"/>
        </w:rPr>
        <w:t>Heaman</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Kjarsgaard</w:t>
      </w:r>
      <w:proofErr w:type="spellEnd"/>
      <w:r w:rsidRPr="00B53D3B">
        <w:rPr>
          <w:rFonts w:ascii="Arial" w:eastAsia="Times New Roman" w:hAnsi="Arial" w:cs="Arial"/>
          <w:color w:val="1F1F1F"/>
          <w:sz w:val="24"/>
          <w:szCs w:val="24"/>
          <w:lang w:val="en-US" w:eastAsia="ru-RU"/>
        </w:rPr>
        <w:t xml:space="preserve">, 2000, </w:t>
      </w:r>
      <w:proofErr w:type="spellStart"/>
      <w:r w:rsidRPr="00B53D3B">
        <w:rPr>
          <w:rFonts w:ascii="Arial" w:eastAsia="Times New Roman" w:hAnsi="Arial" w:cs="Arial"/>
          <w:color w:val="1F1F1F"/>
          <w:sz w:val="24"/>
          <w:szCs w:val="24"/>
          <w:lang w:val="en-US" w:eastAsia="ru-RU"/>
        </w:rPr>
        <w:t>Clouard</w:t>
      </w:r>
      <w:proofErr w:type="spellEnd"/>
      <w:r w:rsidRPr="00B53D3B">
        <w:rPr>
          <w:rFonts w:ascii="Arial" w:eastAsia="Times New Roman" w:hAnsi="Arial" w:cs="Arial"/>
          <w:color w:val="1F1F1F"/>
          <w:sz w:val="24"/>
          <w:szCs w:val="24"/>
          <w:lang w:val="en-US" w:eastAsia="ru-RU"/>
        </w:rPr>
        <w:t xml:space="preserve"> and Bonneville, 2001). Whilst it is commonly straightforward to link mafic suites to geological processes in modern geological environments, it can be very problematic to reveal the origin of older, pre-Precambrian settings due to the combined effects of dispersion of lithospheric plates, erosion, and destructive processes along plate margins.</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Dikes and sills of the Central Scandinavian Dolerite Group (CSDG, </w:t>
      </w:r>
      <w:proofErr w:type="spellStart"/>
      <w:r w:rsidRPr="00B53D3B">
        <w:rPr>
          <w:rFonts w:ascii="Arial" w:eastAsia="Times New Roman" w:hAnsi="Arial" w:cs="Arial"/>
          <w:color w:val="1F1F1F"/>
          <w:sz w:val="24"/>
          <w:szCs w:val="24"/>
          <w:lang w:val="en-US" w:eastAsia="ru-RU"/>
        </w:rPr>
        <w:t>Gorbatschev</w:t>
      </w:r>
      <w:proofErr w:type="spellEnd"/>
      <w:r w:rsidRPr="00B53D3B">
        <w:rPr>
          <w:rFonts w:ascii="Arial" w:eastAsia="Times New Roman" w:hAnsi="Arial" w:cs="Arial"/>
          <w:color w:val="1F1F1F"/>
          <w:sz w:val="24"/>
          <w:szCs w:val="24"/>
          <w:lang w:val="en-US" w:eastAsia="ru-RU"/>
        </w:rPr>
        <w:t xml:space="preserve"> et al., 1979) are widespread in 1.9–1.7 Ga crust in Sweden and SW Finland over an area of more than 100,000 km</w:t>
      </w:r>
      <w:r w:rsidRPr="00B53D3B">
        <w:rPr>
          <w:rFonts w:ascii="Arial" w:eastAsia="Times New Roman" w:hAnsi="Arial" w:cs="Arial"/>
          <w:color w:val="1F1F1F"/>
          <w:sz w:val="18"/>
          <w:szCs w:val="18"/>
          <w:vertAlign w:val="superscript"/>
          <w:lang w:val="en-US" w:eastAsia="ru-RU"/>
        </w:rPr>
        <w:t>2</w:t>
      </w:r>
      <w:r w:rsidRPr="00B53D3B">
        <w:rPr>
          <w:rFonts w:ascii="Arial" w:eastAsia="Times New Roman" w:hAnsi="Arial" w:cs="Arial"/>
          <w:color w:val="1F1F1F"/>
          <w:sz w:val="24"/>
          <w:szCs w:val="24"/>
          <w:lang w:val="en-US" w:eastAsia="ru-RU"/>
        </w:rPr>
        <w:t> (</w:t>
      </w:r>
      <w:proofErr w:type="spellStart"/>
      <w:r w:rsidRPr="00B53D3B">
        <w:rPr>
          <w:rFonts w:ascii="Arial" w:eastAsia="Times New Roman" w:hAnsi="Arial" w:cs="Arial"/>
          <w:color w:val="1F1F1F"/>
          <w:sz w:val="24"/>
          <w:szCs w:val="24"/>
          <w:lang w:val="en-US" w:eastAsia="ru-RU"/>
        </w:rPr>
        <w:t>Elming</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Mattsson</w:t>
      </w:r>
      <w:proofErr w:type="spellEnd"/>
      <w:r w:rsidRPr="00B53D3B">
        <w:rPr>
          <w:rFonts w:ascii="Arial" w:eastAsia="Times New Roman" w:hAnsi="Arial" w:cs="Arial"/>
          <w:color w:val="1F1F1F"/>
          <w:sz w:val="24"/>
          <w:szCs w:val="24"/>
          <w:lang w:val="en-US" w:eastAsia="ru-RU"/>
        </w:rPr>
        <w:t xml:space="preserve">, 2001). The CSDG shows close temporal correspondence with large dike swarms in North America and Greenland such as the </w:t>
      </w:r>
      <w:r w:rsidRPr="00B53D3B">
        <w:rPr>
          <w:rFonts w:ascii="Cambria Math" w:eastAsia="Times New Roman" w:hAnsi="Cambria Math" w:cs="Cambria Math"/>
          <w:color w:val="1F1F1F"/>
          <w:sz w:val="24"/>
          <w:szCs w:val="24"/>
          <w:lang w:val="en-US" w:eastAsia="ru-RU"/>
        </w:rPr>
        <w:t>∼</w:t>
      </w:r>
      <w:r w:rsidRPr="00B53D3B">
        <w:rPr>
          <w:rFonts w:ascii="Arial" w:eastAsia="Times New Roman" w:hAnsi="Arial" w:cs="Arial"/>
          <w:color w:val="1F1F1F"/>
          <w:sz w:val="24"/>
          <w:szCs w:val="24"/>
          <w:lang w:val="en-US" w:eastAsia="ru-RU"/>
        </w:rPr>
        <w:t>1267 Ma (</w:t>
      </w:r>
      <w:proofErr w:type="spellStart"/>
      <w:r w:rsidRPr="00B53D3B">
        <w:rPr>
          <w:rFonts w:ascii="Arial" w:eastAsia="Times New Roman" w:hAnsi="Arial" w:cs="Arial"/>
          <w:color w:val="1F1F1F"/>
          <w:sz w:val="24"/>
          <w:szCs w:val="24"/>
          <w:lang w:val="en-US" w:eastAsia="ru-RU"/>
        </w:rPr>
        <w:t>LeCheminant</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Heaman</w:t>
      </w:r>
      <w:proofErr w:type="spellEnd"/>
      <w:r w:rsidRPr="00B53D3B">
        <w:rPr>
          <w:rFonts w:ascii="Arial" w:eastAsia="Times New Roman" w:hAnsi="Arial" w:cs="Arial"/>
          <w:color w:val="1F1F1F"/>
          <w:sz w:val="24"/>
          <w:szCs w:val="24"/>
          <w:lang w:val="en-US" w:eastAsia="ru-RU"/>
        </w:rPr>
        <w:t xml:space="preserve">, 1989) Mackenzie, the </w:t>
      </w:r>
      <w:r w:rsidRPr="00B53D3B">
        <w:rPr>
          <w:rFonts w:ascii="Cambria Math" w:eastAsia="Times New Roman" w:hAnsi="Cambria Math" w:cs="Cambria Math"/>
          <w:color w:val="1F1F1F"/>
          <w:sz w:val="24"/>
          <w:szCs w:val="24"/>
          <w:lang w:val="en-US" w:eastAsia="ru-RU"/>
        </w:rPr>
        <w:t>∼</w:t>
      </w:r>
      <w:r w:rsidRPr="00B53D3B">
        <w:rPr>
          <w:rFonts w:ascii="Arial" w:eastAsia="Times New Roman" w:hAnsi="Arial" w:cs="Arial"/>
          <w:color w:val="1F1F1F"/>
          <w:sz w:val="24"/>
          <w:szCs w:val="24"/>
          <w:lang w:val="en-US" w:eastAsia="ru-RU"/>
        </w:rPr>
        <w:t xml:space="preserve">1235 Ma (Palmer et al., 1977, </w:t>
      </w:r>
      <w:proofErr w:type="spellStart"/>
      <w:r w:rsidRPr="00B53D3B">
        <w:rPr>
          <w:rFonts w:ascii="Arial" w:eastAsia="Times New Roman" w:hAnsi="Arial" w:cs="Arial"/>
          <w:color w:val="1F1F1F"/>
          <w:sz w:val="24"/>
          <w:szCs w:val="24"/>
          <w:lang w:val="en-US" w:eastAsia="ru-RU"/>
        </w:rPr>
        <w:t>Dudàs</w:t>
      </w:r>
      <w:proofErr w:type="spellEnd"/>
      <w:r w:rsidRPr="00B53D3B">
        <w:rPr>
          <w:rFonts w:ascii="Arial" w:eastAsia="Times New Roman" w:hAnsi="Arial" w:cs="Arial"/>
          <w:color w:val="1F1F1F"/>
          <w:sz w:val="24"/>
          <w:szCs w:val="24"/>
          <w:lang w:val="en-US" w:eastAsia="ru-RU"/>
        </w:rPr>
        <w:t xml:space="preserve"> et al., 1994) Sudbury dike swarms and the 1279–1284 Ma (cf. Upton et al., 2003) </w:t>
      </w:r>
      <w:proofErr w:type="spellStart"/>
      <w:r w:rsidRPr="00B53D3B">
        <w:rPr>
          <w:rFonts w:ascii="Arial" w:eastAsia="Times New Roman" w:hAnsi="Arial" w:cs="Arial"/>
          <w:color w:val="1F1F1F"/>
          <w:sz w:val="24"/>
          <w:szCs w:val="24"/>
          <w:lang w:val="en-US" w:eastAsia="ru-RU"/>
        </w:rPr>
        <w:t>Gardar</w:t>
      </w:r>
      <w:proofErr w:type="spellEnd"/>
      <w:r w:rsidRPr="00B53D3B">
        <w:rPr>
          <w:rFonts w:ascii="Arial" w:eastAsia="Times New Roman" w:hAnsi="Arial" w:cs="Arial"/>
          <w:color w:val="1F1F1F"/>
          <w:sz w:val="24"/>
          <w:szCs w:val="24"/>
          <w:lang w:val="en-US" w:eastAsia="ru-RU"/>
        </w:rPr>
        <w:t xml:space="preserve"> dike intrusions. Together they represent the geographically and volumetrically most significant extensional event during the Mesoproterozoic era.</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The CSDG is perhaps the most important mafic suite in central Fennoscandia, not only because it has been linked with continental break-up and rifting between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and </w:t>
      </w:r>
      <w:r w:rsidRPr="00B53D3B">
        <w:rPr>
          <w:rFonts w:ascii="Arial" w:eastAsia="Times New Roman" w:hAnsi="Arial" w:cs="Arial"/>
          <w:color w:val="1F1F1F"/>
          <w:sz w:val="24"/>
          <w:szCs w:val="24"/>
          <w:lang w:val="en-US" w:eastAsia="ru-RU"/>
        </w:rPr>
        <w:lastRenderedPageBreak/>
        <w:t xml:space="preserve">Laurentia preceding the 1.1–0.9 Ga </w:t>
      </w:r>
      <w:proofErr w:type="spellStart"/>
      <w:r w:rsidRPr="00B53D3B">
        <w:rPr>
          <w:rFonts w:ascii="Arial" w:eastAsia="Times New Roman" w:hAnsi="Arial" w:cs="Arial"/>
          <w:color w:val="1F1F1F"/>
          <w:sz w:val="24"/>
          <w:szCs w:val="24"/>
          <w:lang w:val="en-US" w:eastAsia="ru-RU"/>
        </w:rPr>
        <w:t>Grenvillian-Sveconorwegian</w:t>
      </w:r>
      <w:proofErr w:type="spellEnd"/>
      <w:r w:rsidRPr="00B53D3B">
        <w:rPr>
          <w:rFonts w:ascii="Arial" w:eastAsia="Times New Roman" w:hAnsi="Arial" w:cs="Arial"/>
          <w:color w:val="1F1F1F"/>
          <w:sz w:val="24"/>
          <w:szCs w:val="24"/>
          <w:lang w:val="en-US" w:eastAsia="ru-RU"/>
        </w:rPr>
        <w:t xml:space="preserve"> orogeny (e.g. Patchett and </w:t>
      </w:r>
      <w:proofErr w:type="spellStart"/>
      <w:r w:rsidRPr="00B53D3B">
        <w:rPr>
          <w:rFonts w:ascii="Arial" w:eastAsia="Times New Roman" w:hAnsi="Arial" w:cs="Arial"/>
          <w:color w:val="1F1F1F"/>
          <w:sz w:val="24"/>
          <w:szCs w:val="24"/>
          <w:lang w:val="en-US" w:eastAsia="ru-RU"/>
        </w:rPr>
        <w:t>Bylund</w:t>
      </w:r>
      <w:proofErr w:type="spellEnd"/>
      <w:r w:rsidRPr="00B53D3B">
        <w:rPr>
          <w:rFonts w:ascii="Arial" w:eastAsia="Times New Roman" w:hAnsi="Arial" w:cs="Arial"/>
          <w:color w:val="1F1F1F"/>
          <w:sz w:val="24"/>
          <w:szCs w:val="24"/>
          <w:lang w:val="en-US" w:eastAsia="ru-RU"/>
        </w:rPr>
        <w:t xml:space="preserve">, 1977, Patchett et al., 1978, Gower, 1985, </w:t>
      </w:r>
      <w:proofErr w:type="spellStart"/>
      <w:r w:rsidRPr="00B53D3B">
        <w:rPr>
          <w:rFonts w:ascii="Arial" w:eastAsia="Times New Roman" w:hAnsi="Arial" w:cs="Arial"/>
          <w:color w:val="1F1F1F"/>
          <w:sz w:val="24"/>
          <w:szCs w:val="24"/>
          <w:lang w:val="en-US" w:eastAsia="ru-RU"/>
        </w:rPr>
        <w:t>Elming</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Mattsson</w:t>
      </w:r>
      <w:proofErr w:type="spellEnd"/>
      <w:r w:rsidRPr="00B53D3B">
        <w:rPr>
          <w:rFonts w:ascii="Arial" w:eastAsia="Times New Roman" w:hAnsi="Arial" w:cs="Arial"/>
          <w:color w:val="1F1F1F"/>
          <w:sz w:val="24"/>
          <w:szCs w:val="24"/>
          <w:lang w:val="en-US" w:eastAsia="ru-RU"/>
        </w:rPr>
        <w:t xml:space="preserve">, 2001), but also because the only Proterozoic key palaeomagnetic pole in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that matches a coeval pole in Laurentia (the 1267 Ma Mackenzie key pole, Buchan et al., 2001) has been defined from the CSDG. Here we report baddeleyite U–Pb ages and Hf isotope data of eight dolerites from central and northern Sweden. Together with previous U–Pb ages (</w:t>
      </w:r>
      <w:proofErr w:type="spellStart"/>
      <w:r w:rsidRPr="00B53D3B">
        <w:rPr>
          <w:rFonts w:ascii="Arial" w:eastAsia="Times New Roman" w:hAnsi="Arial" w:cs="Arial"/>
          <w:color w:val="1F1F1F"/>
          <w:sz w:val="24"/>
          <w:szCs w:val="24"/>
          <w:lang w:val="en-US" w:eastAsia="ru-RU"/>
        </w:rPr>
        <w:t>Suominen</w:t>
      </w:r>
      <w:proofErr w:type="spellEnd"/>
      <w:r w:rsidRPr="00B53D3B">
        <w:rPr>
          <w:rFonts w:ascii="Arial" w:eastAsia="Times New Roman" w:hAnsi="Arial" w:cs="Arial"/>
          <w:color w:val="1F1F1F"/>
          <w:sz w:val="24"/>
          <w:szCs w:val="24"/>
          <w:lang w:val="en-US" w:eastAsia="ru-RU"/>
        </w:rPr>
        <w:t xml:space="preserve">, 1991, </w:t>
      </w:r>
      <w:proofErr w:type="spellStart"/>
      <w:r w:rsidRPr="00B53D3B">
        <w:rPr>
          <w:rFonts w:ascii="Arial" w:eastAsia="Times New Roman" w:hAnsi="Arial" w:cs="Arial"/>
          <w:color w:val="1F1F1F"/>
          <w:sz w:val="24"/>
          <w:szCs w:val="24"/>
          <w:lang w:val="en-US" w:eastAsia="ru-RU"/>
        </w:rPr>
        <w:t>Söderlund</w:t>
      </w:r>
      <w:proofErr w:type="spellEnd"/>
      <w:r w:rsidRPr="00B53D3B">
        <w:rPr>
          <w:rFonts w:ascii="Arial" w:eastAsia="Times New Roman" w:hAnsi="Arial" w:cs="Arial"/>
          <w:color w:val="1F1F1F"/>
          <w:sz w:val="24"/>
          <w:szCs w:val="24"/>
          <w:lang w:val="en-US" w:eastAsia="ru-RU"/>
        </w:rPr>
        <w:t xml:space="preserve"> et al., 2004, </w:t>
      </w:r>
      <w:proofErr w:type="spellStart"/>
      <w:r w:rsidRPr="00B53D3B">
        <w:rPr>
          <w:rFonts w:ascii="Arial" w:eastAsia="Times New Roman" w:hAnsi="Arial" w:cs="Arial"/>
          <w:color w:val="1F1F1F"/>
          <w:sz w:val="24"/>
          <w:szCs w:val="24"/>
          <w:lang w:val="en-US" w:eastAsia="ru-RU"/>
        </w:rPr>
        <w:t>Söderlund</w:t>
      </w:r>
      <w:proofErr w:type="spellEnd"/>
      <w:r w:rsidRPr="00B53D3B">
        <w:rPr>
          <w:rFonts w:ascii="Arial" w:eastAsia="Times New Roman" w:hAnsi="Arial" w:cs="Arial"/>
          <w:color w:val="1F1F1F"/>
          <w:sz w:val="24"/>
          <w:szCs w:val="24"/>
          <w:lang w:val="en-US" w:eastAsia="ru-RU"/>
        </w:rPr>
        <w:t xml:space="preserve"> et al., 2005a) and the age of the </w:t>
      </w:r>
      <w:proofErr w:type="spellStart"/>
      <w:r w:rsidRPr="00B53D3B">
        <w:rPr>
          <w:rFonts w:ascii="Arial" w:eastAsia="Times New Roman" w:hAnsi="Arial" w:cs="Arial"/>
          <w:color w:val="1F1F1F"/>
          <w:sz w:val="24"/>
          <w:szCs w:val="24"/>
          <w:lang w:val="en-US" w:eastAsia="ru-RU"/>
        </w:rPr>
        <w:t>Ulvö</w:t>
      </w:r>
      <w:proofErr w:type="spellEnd"/>
      <w:r w:rsidRPr="00B53D3B">
        <w:rPr>
          <w:rFonts w:ascii="Arial" w:eastAsia="Times New Roman" w:hAnsi="Arial" w:cs="Arial"/>
          <w:color w:val="1F1F1F"/>
          <w:sz w:val="24"/>
          <w:szCs w:val="24"/>
          <w:lang w:val="en-US" w:eastAsia="ru-RU"/>
        </w:rPr>
        <w:t xml:space="preserve"> dolerite (</w:t>
      </w:r>
      <w:proofErr w:type="spellStart"/>
      <w:r w:rsidRPr="00B53D3B">
        <w:rPr>
          <w:rFonts w:ascii="Arial" w:eastAsia="Times New Roman" w:hAnsi="Arial" w:cs="Arial"/>
          <w:color w:val="1F1F1F"/>
          <w:sz w:val="24"/>
          <w:szCs w:val="24"/>
          <w:lang w:val="en-US" w:eastAsia="ru-RU"/>
        </w:rPr>
        <w:t>Hogmalm</w:t>
      </w:r>
      <w:proofErr w:type="spellEnd"/>
      <w:r w:rsidRPr="00B53D3B">
        <w:rPr>
          <w:rFonts w:ascii="Arial" w:eastAsia="Times New Roman" w:hAnsi="Arial" w:cs="Arial"/>
          <w:color w:val="1F1F1F"/>
          <w:sz w:val="24"/>
          <w:szCs w:val="24"/>
          <w:lang w:val="en-US" w:eastAsia="ru-RU"/>
        </w:rPr>
        <w:t xml:space="preserve"> et al., 2006) the CSDG is now probably the most precisely and rigorously dated Precambrian dolerite suite worldwide. In this paper we discuss the origin and tectonic setting of the CSDG, and its relation to coeval dike swarms in Canada and Greenland.</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Section snippets</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Geological setting</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The development of the Fennoscandian Shield began more than 3.0 Ga ago but most of its crust was formed during accretionary growth related to </w:t>
      </w:r>
      <w:proofErr w:type="spellStart"/>
      <w:r w:rsidRPr="00B53D3B">
        <w:rPr>
          <w:rFonts w:ascii="Arial" w:eastAsia="Times New Roman" w:hAnsi="Arial" w:cs="Arial"/>
          <w:color w:val="1F1F1F"/>
          <w:sz w:val="24"/>
          <w:szCs w:val="24"/>
          <w:lang w:val="en-US" w:eastAsia="ru-RU"/>
        </w:rPr>
        <w:t>Svecofennian</w:t>
      </w:r>
      <w:proofErr w:type="spellEnd"/>
      <w:r w:rsidRPr="00B53D3B">
        <w:rPr>
          <w:rFonts w:ascii="Arial" w:eastAsia="Times New Roman" w:hAnsi="Arial" w:cs="Arial"/>
          <w:color w:val="1F1F1F"/>
          <w:sz w:val="24"/>
          <w:szCs w:val="24"/>
          <w:lang w:val="en-US" w:eastAsia="ru-RU"/>
        </w:rPr>
        <w:t xml:space="preserve"> (1.90–1.85 Ga) orogenic events (e.g. </w:t>
      </w:r>
      <w:proofErr w:type="spellStart"/>
      <w:r w:rsidRPr="00B53D3B">
        <w:rPr>
          <w:rFonts w:ascii="Arial" w:eastAsia="Times New Roman" w:hAnsi="Arial" w:cs="Arial"/>
          <w:color w:val="1F1F1F"/>
          <w:sz w:val="24"/>
          <w:szCs w:val="24"/>
          <w:lang w:val="en-US" w:eastAsia="ru-RU"/>
        </w:rPr>
        <w:t>Gaàl</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Gorbatschev</w:t>
      </w:r>
      <w:proofErr w:type="spellEnd"/>
      <w:r w:rsidRPr="00B53D3B">
        <w:rPr>
          <w:rFonts w:ascii="Arial" w:eastAsia="Times New Roman" w:hAnsi="Arial" w:cs="Arial"/>
          <w:color w:val="1F1F1F"/>
          <w:sz w:val="24"/>
          <w:szCs w:val="24"/>
          <w:lang w:val="en-US" w:eastAsia="ru-RU"/>
        </w:rPr>
        <w:t xml:space="preserve">, 1987, </w:t>
      </w:r>
      <w:proofErr w:type="spellStart"/>
      <w:r w:rsidRPr="00B53D3B">
        <w:rPr>
          <w:rFonts w:ascii="Arial" w:eastAsia="Times New Roman" w:hAnsi="Arial" w:cs="Arial"/>
          <w:color w:val="1F1F1F"/>
          <w:sz w:val="24"/>
          <w:szCs w:val="24"/>
          <w:lang w:val="en-US" w:eastAsia="ru-RU"/>
        </w:rPr>
        <w:t>Nironen</w:t>
      </w:r>
      <w:proofErr w:type="spellEnd"/>
      <w:r w:rsidRPr="00B53D3B">
        <w:rPr>
          <w:rFonts w:ascii="Arial" w:eastAsia="Times New Roman" w:hAnsi="Arial" w:cs="Arial"/>
          <w:color w:val="1F1F1F"/>
          <w:sz w:val="24"/>
          <w:szCs w:val="24"/>
          <w:lang w:val="en-US" w:eastAsia="ru-RU"/>
        </w:rPr>
        <w:t xml:space="preserve">, 1997), by emplacement of huge batholiths of the </w:t>
      </w:r>
      <w:proofErr w:type="spellStart"/>
      <w:r w:rsidRPr="00B53D3B">
        <w:rPr>
          <w:rFonts w:ascii="Arial" w:eastAsia="Times New Roman" w:hAnsi="Arial" w:cs="Arial"/>
          <w:color w:val="1F1F1F"/>
          <w:sz w:val="24"/>
          <w:szCs w:val="24"/>
          <w:lang w:val="en-US" w:eastAsia="ru-RU"/>
        </w:rPr>
        <w:t>Transscandinavian</w:t>
      </w:r>
      <w:proofErr w:type="spellEnd"/>
      <w:r w:rsidRPr="00B53D3B">
        <w:rPr>
          <w:rFonts w:ascii="Arial" w:eastAsia="Times New Roman" w:hAnsi="Arial" w:cs="Arial"/>
          <w:color w:val="1F1F1F"/>
          <w:sz w:val="24"/>
          <w:szCs w:val="24"/>
          <w:lang w:val="en-US" w:eastAsia="ru-RU"/>
        </w:rPr>
        <w:t xml:space="preserve"> Igneous Belt (1.81–1.65 Ga, cf. </w:t>
      </w:r>
      <w:proofErr w:type="spellStart"/>
      <w:r w:rsidRPr="00B53D3B">
        <w:rPr>
          <w:rFonts w:ascii="Arial" w:eastAsia="Times New Roman" w:hAnsi="Arial" w:cs="Arial"/>
          <w:color w:val="1F1F1F"/>
          <w:sz w:val="24"/>
          <w:szCs w:val="24"/>
          <w:lang w:val="en-US" w:eastAsia="ru-RU"/>
        </w:rPr>
        <w:t>Högdahl</w:t>
      </w:r>
      <w:proofErr w:type="spellEnd"/>
      <w:r w:rsidRPr="00B53D3B">
        <w:rPr>
          <w:rFonts w:ascii="Arial" w:eastAsia="Times New Roman" w:hAnsi="Arial" w:cs="Arial"/>
          <w:color w:val="1F1F1F"/>
          <w:sz w:val="24"/>
          <w:szCs w:val="24"/>
          <w:lang w:val="en-US" w:eastAsia="ru-RU"/>
        </w:rPr>
        <w:t xml:space="preserve"> et al., 2004) and by growth during the </w:t>
      </w:r>
      <w:proofErr w:type="spellStart"/>
      <w:r w:rsidRPr="00B53D3B">
        <w:rPr>
          <w:rFonts w:ascii="Arial" w:eastAsia="Times New Roman" w:hAnsi="Arial" w:cs="Arial"/>
          <w:color w:val="1F1F1F"/>
          <w:sz w:val="24"/>
          <w:szCs w:val="24"/>
          <w:lang w:val="en-US" w:eastAsia="ru-RU"/>
        </w:rPr>
        <w:t>Gothian</w:t>
      </w:r>
      <w:proofErr w:type="spellEnd"/>
      <w:r w:rsidRPr="00B53D3B">
        <w:rPr>
          <w:rFonts w:ascii="Arial" w:eastAsia="Times New Roman" w:hAnsi="Arial" w:cs="Arial"/>
          <w:color w:val="1F1F1F"/>
          <w:sz w:val="24"/>
          <w:szCs w:val="24"/>
          <w:lang w:val="en-US" w:eastAsia="ru-RU"/>
        </w:rPr>
        <w:t xml:space="preserve"> (1.70–1.55 Ga) period (e.g. Andersen et al., 2004). Parts of the shield were later reworked by the</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Sampling, mineral separation and baddeleyite morphology</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Dolerites were sampled at </w:t>
      </w:r>
      <w:proofErr w:type="spellStart"/>
      <w:r w:rsidRPr="00B53D3B">
        <w:rPr>
          <w:rFonts w:ascii="Arial" w:eastAsia="Times New Roman" w:hAnsi="Arial" w:cs="Arial"/>
          <w:color w:val="1F1F1F"/>
          <w:sz w:val="24"/>
          <w:szCs w:val="24"/>
          <w:lang w:val="en-US" w:eastAsia="ru-RU"/>
        </w:rPr>
        <w:t>Sorsele</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Lycksele</w:t>
      </w:r>
      <w:proofErr w:type="spellEnd"/>
      <w:r w:rsidRPr="00B53D3B">
        <w:rPr>
          <w:rFonts w:ascii="Arial" w:eastAsia="Times New Roman" w:hAnsi="Arial" w:cs="Arial"/>
          <w:color w:val="1F1F1F"/>
          <w:sz w:val="24"/>
          <w:szCs w:val="24"/>
          <w:lang w:val="en-US" w:eastAsia="ru-RU"/>
        </w:rPr>
        <w:t xml:space="preserve"> in the </w:t>
      </w:r>
      <w:proofErr w:type="spellStart"/>
      <w:r w:rsidRPr="00B53D3B">
        <w:rPr>
          <w:rFonts w:ascii="Arial" w:eastAsia="Times New Roman" w:hAnsi="Arial" w:cs="Arial"/>
          <w:color w:val="1F1F1F"/>
          <w:sz w:val="24"/>
          <w:szCs w:val="24"/>
          <w:lang w:val="en-US" w:eastAsia="ru-RU"/>
        </w:rPr>
        <w:t>Västerbotten</w:t>
      </w:r>
      <w:proofErr w:type="spellEnd"/>
      <w:r w:rsidRPr="00B53D3B">
        <w:rPr>
          <w:rFonts w:ascii="Arial" w:eastAsia="Times New Roman" w:hAnsi="Arial" w:cs="Arial"/>
          <w:color w:val="1F1F1F"/>
          <w:sz w:val="24"/>
          <w:szCs w:val="24"/>
          <w:lang w:val="en-US" w:eastAsia="ru-RU"/>
        </w:rPr>
        <w:t xml:space="preserve"> complex, at </w:t>
      </w:r>
      <w:proofErr w:type="spellStart"/>
      <w:r w:rsidRPr="00B53D3B">
        <w:rPr>
          <w:rFonts w:ascii="Arial" w:eastAsia="Times New Roman" w:hAnsi="Arial" w:cs="Arial"/>
          <w:color w:val="1F1F1F"/>
          <w:sz w:val="24"/>
          <w:szCs w:val="24"/>
          <w:lang w:val="en-US" w:eastAsia="ru-RU"/>
        </w:rPr>
        <w:t>Alnö</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Gnarp</w:t>
      </w:r>
      <w:proofErr w:type="spellEnd"/>
      <w:r w:rsidRPr="00B53D3B">
        <w:rPr>
          <w:rFonts w:ascii="Arial" w:eastAsia="Times New Roman" w:hAnsi="Arial" w:cs="Arial"/>
          <w:color w:val="1F1F1F"/>
          <w:sz w:val="24"/>
          <w:szCs w:val="24"/>
          <w:lang w:val="en-US" w:eastAsia="ru-RU"/>
        </w:rPr>
        <w:t xml:space="preserve"> in the </w:t>
      </w:r>
      <w:proofErr w:type="spellStart"/>
      <w:r w:rsidRPr="00B53D3B">
        <w:rPr>
          <w:rFonts w:ascii="Arial" w:eastAsia="Times New Roman" w:hAnsi="Arial" w:cs="Arial"/>
          <w:color w:val="1F1F1F"/>
          <w:sz w:val="24"/>
          <w:szCs w:val="24"/>
          <w:lang w:val="en-US" w:eastAsia="ru-RU"/>
        </w:rPr>
        <w:t>Ulvö</w:t>
      </w:r>
      <w:proofErr w:type="spellEnd"/>
      <w:r w:rsidRPr="00B53D3B">
        <w:rPr>
          <w:rFonts w:ascii="Arial" w:eastAsia="Times New Roman" w:hAnsi="Arial" w:cs="Arial"/>
          <w:color w:val="1F1F1F"/>
          <w:sz w:val="24"/>
          <w:szCs w:val="24"/>
          <w:lang w:val="en-US" w:eastAsia="ru-RU"/>
        </w:rPr>
        <w:t xml:space="preserve"> complex, at </w:t>
      </w:r>
      <w:proofErr w:type="spellStart"/>
      <w:r w:rsidRPr="00B53D3B">
        <w:rPr>
          <w:rFonts w:ascii="Arial" w:eastAsia="Times New Roman" w:hAnsi="Arial" w:cs="Arial"/>
          <w:color w:val="1F1F1F"/>
          <w:sz w:val="24"/>
          <w:szCs w:val="24"/>
          <w:lang w:val="en-US" w:eastAsia="ru-RU"/>
        </w:rPr>
        <w:t>Furuvik</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Mackmyra</w:t>
      </w:r>
      <w:proofErr w:type="spellEnd"/>
      <w:r w:rsidRPr="00B53D3B">
        <w:rPr>
          <w:rFonts w:ascii="Arial" w:eastAsia="Times New Roman" w:hAnsi="Arial" w:cs="Arial"/>
          <w:color w:val="1F1F1F"/>
          <w:sz w:val="24"/>
          <w:szCs w:val="24"/>
          <w:lang w:val="en-US" w:eastAsia="ru-RU"/>
        </w:rPr>
        <w:t xml:space="preserve"> in </w:t>
      </w:r>
      <w:proofErr w:type="spellStart"/>
      <w:r w:rsidRPr="00B53D3B">
        <w:rPr>
          <w:rFonts w:ascii="Arial" w:eastAsia="Times New Roman" w:hAnsi="Arial" w:cs="Arial"/>
          <w:color w:val="1F1F1F"/>
          <w:sz w:val="24"/>
          <w:szCs w:val="24"/>
          <w:lang w:val="en-US" w:eastAsia="ru-RU"/>
        </w:rPr>
        <w:t>Satakunta</w:t>
      </w:r>
      <w:proofErr w:type="spellEnd"/>
      <w:r w:rsidRPr="00B53D3B">
        <w:rPr>
          <w:rFonts w:ascii="Arial" w:eastAsia="Times New Roman" w:hAnsi="Arial" w:cs="Arial"/>
          <w:color w:val="1F1F1F"/>
          <w:sz w:val="24"/>
          <w:szCs w:val="24"/>
          <w:lang w:val="en-US" w:eastAsia="ru-RU"/>
        </w:rPr>
        <w:t xml:space="preserve"> complex, and at </w:t>
      </w:r>
      <w:proofErr w:type="spellStart"/>
      <w:r w:rsidRPr="00B53D3B">
        <w:rPr>
          <w:rFonts w:ascii="Arial" w:eastAsia="Times New Roman" w:hAnsi="Arial" w:cs="Arial"/>
          <w:color w:val="1F1F1F"/>
          <w:sz w:val="24"/>
          <w:szCs w:val="24"/>
          <w:lang w:val="en-US" w:eastAsia="ru-RU"/>
        </w:rPr>
        <w:t>Gimån</w:t>
      </w:r>
      <w:proofErr w:type="spellEnd"/>
      <w:r w:rsidRPr="00B53D3B">
        <w:rPr>
          <w:rFonts w:ascii="Arial" w:eastAsia="Times New Roman" w:hAnsi="Arial" w:cs="Arial"/>
          <w:color w:val="1F1F1F"/>
          <w:sz w:val="24"/>
          <w:szCs w:val="24"/>
          <w:lang w:val="en-US" w:eastAsia="ru-RU"/>
        </w:rPr>
        <w:t xml:space="preserve"> and </w:t>
      </w:r>
      <w:proofErr w:type="spellStart"/>
      <w:r w:rsidRPr="00B53D3B">
        <w:rPr>
          <w:rFonts w:ascii="Arial" w:eastAsia="Times New Roman" w:hAnsi="Arial" w:cs="Arial"/>
          <w:color w:val="1F1F1F"/>
          <w:sz w:val="24"/>
          <w:szCs w:val="24"/>
          <w:lang w:val="en-US" w:eastAsia="ru-RU"/>
        </w:rPr>
        <w:t>Sundsjö</w:t>
      </w:r>
      <w:proofErr w:type="spellEnd"/>
      <w:r w:rsidRPr="00B53D3B">
        <w:rPr>
          <w:rFonts w:ascii="Arial" w:eastAsia="Times New Roman" w:hAnsi="Arial" w:cs="Arial"/>
          <w:color w:val="1F1F1F"/>
          <w:sz w:val="24"/>
          <w:szCs w:val="24"/>
          <w:lang w:val="en-US" w:eastAsia="ru-RU"/>
        </w:rPr>
        <w:t xml:space="preserve"> in the </w:t>
      </w:r>
      <w:proofErr w:type="spellStart"/>
      <w:r w:rsidRPr="00B53D3B">
        <w:rPr>
          <w:rFonts w:ascii="Arial" w:eastAsia="Times New Roman" w:hAnsi="Arial" w:cs="Arial"/>
          <w:color w:val="1F1F1F"/>
          <w:sz w:val="24"/>
          <w:szCs w:val="24"/>
          <w:lang w:val="en-US" w:eastAsia="ru-RU"/>
        </w:rPr>
        <w:t>Jämtland</w:t>
      </w:r>
      <w:proofErr w:type="spellEnd"/>
      <w:r w:rsidRPr="00B53D3B">
        <w:rPr>
          <w:rFonts w:ascii="Arial" w:eastAsia="Times New Roman" w:hAnsi="Arial" w:cs="Arial"/>
          <w:color w:val="1F1F1F"/>
          <w:sz w:val="24"/>
          <w:szCs w:val="24"/>
          <w:lang w:val="en-US" w:eastAsia="ru-RU"/>
        </w:rPr>
        <w:t xml:space="preserve"> complex (Fig. 1). Samples were preferentially taken from relatively coarse-grained, central parts of dikes and sills.</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proofErr w:type="spellStart"/>
      <w:r w:rsidRPr="00B53D3B">
        <w:rPr>
          <w:rFonts w:ascii="Arial" w:eastAsia="Times New Roman" w:hAnsi="Arial" w:cs="Arial"/>
          <w:color w:val="1F1F1F"/>
          <w:sz w:val="24"/>
          <w:szCs w:val="24"/>
          <w:lang w:val="en-US" w:eastAsia="ru-RU"/>
        </w:rPr>
        <w:t>Suominen</w:t>
      </w:r>
      <w:proofErr w:type="spellEnd"/>
      <w:r w:rsidRPr="00B53D3B">
        <w:rPr>
          <w:rFonts w:ascii="Arial" w:eastAsia="Times New Roman" w:hAnsi="Arial" w:cs="Arial"/>
          <w:color w:val="1F1F1F"/>
          <w:sz w:val="24"/>
          <w:szCs w:val="24"/>
          <w:lang w:val="en-US" w:eastAsia="ru-RU"/>
        </w:rPr>
        <w:t xml:space="preserve"> (1991) reported U–Pb baddeleyite and zircon ages for three dolerite sills in SW Finland that appear to be slightly older (1268 ± 13, 1264 ± 12 and 1265 ± 6 Ma) than dolerites</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Hf analytical protocol of baddeleyite samples</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Because baddeleyite has a very high content of Hf compared to Lu, the effect on initial </w:t>
      </w:r>
      <w:r w:rsidRPr="00B53D3B">
        <w:rPr>
          <w:rFonts w:ascii="Arial" w:eastAsia="Times New Roman" w:hAnsi="Arial" w:cs="Arial"/>
          <w:color w:val="1F1F1F"/>
          <w:sz w:val="18"/>
          <w:szCs w:val="18"/>
          <w:vertAlign w:val="superscript"/>
          <w:lang w:val="en-US" w:eastAsia="ru-RU"/>
        </w:rPr>
        <w:t>176</w:t>
      </w:r>
      <w:r w:rsidRPr="00B53D3B">
        <w:rPr>
          <w:rFonts w:ascii="Arial" w:eastAsia="Times New Roman" w:hAnsi="Arial" w:cs="Arial"/>
          <w:color w:val="1F1F1F"/>
          <w:sz w:val="24"/>
          <w:szCs w:val="24"/>
          <w:lang w:val="en-US" w:eastAsia="ru-RU"/>
        </w:rPr>
        <w:t>Hf/</w:t>
      </w:r>
      <w:r w:rsidRPr="00B53D3B">
        <w:rPr>
          <w:rFonts w:ascii="Arial" w:eastAsia="Times New Roman" w:hAnsi="Arial" w:cs="Arial"/>
          <w:color w:val="1F1F1F"/>
          <w:sz w:val="18"/>
          <w:szCs w:val="18"/>
          <w:vertAlign w:val="superscript"/>
          <w:lang w:val="en-US" w:eastAsia="ru-RU"/>
        </w:rPr>
        <w:t>177</w:t>
      </w:r>
      <w:r w:rsidRPr="00B53D3B">
        <w:rPr>
          <w:rFonts w:ascii="Arial" w:eastAsia="Times New Roman" w:hAnsi="Arial" w:cs="Arial"/>
          <w:color w:val="1F1F1F"/>
          <w:sz w:val="24"/>
          <w:szCs w:val="24"/>
          <w:lang w:val="en-US" w:eastAsia="ru-RU"/>
        </w:rPr>
        <w:t>Hf from in situ produced </w:t>
      </w:r>
      <w:r w:rsidRPr="00B53D3B">
        <w:rPr>
          <w:rFonts w:ascii="Arial" w:eastAsia="Times New Roman" w:hAnsi="Arial" w:cs="Arial"/>
          <w:color w:val="1F1F1F"/>
          <w:sz w:val="18"/>
          <w:szCs w:val="18"/>
          <w:vertAlign w:val="superscript"/>
          <w:lang w:val="en-US" w:eastAsia="ru-RU"/>
        </w:rPr>
        <w:t>176</w:t>
      </w:r>
      <w:r w:rsidRPr="00B53D3B">
        <w:rPr>
          <w:rFonts w:ascii="Arial" w:eastAsia="Times New Roman" w:hAnsi="Arial" w:cs="Arial"/>
          <w:color w:val="1F1F1F"/>
          <w:sz w:val="24"/>
          <w:szCs w:val="24"/>
          <w:lang w:val="en-US" w:eastAsia="ru-RU"/>
        </w:rPr>
        <w:t>Hf by decay of </w:t>
      </w:r>
      <w:r w:rsidRPr="00B53D3B">
        <w:rPr>
          <w:rFonts w:ascii="Arial" w:eastAsia="Times New Roman" w:hAnsi="Arial" w:cs="Arial"/>
          <w:color w:val="1F1F1F"/>
          <w:sz w:val="18"/>
          <w:szCs w:val="18"/>
          <w:vertAlign w:val="superscript"/>
          <w:lang w:val="en-US" w:eastAsia="ru-RU"/>
        </w:rPr>
        <w:t>176</w:t>
      </w:r>
      <w:r w:rsidRPr="00B53D3B">
        <w:rPr>
          <w:rFonts w:ascii="Arial" w:eastAsia="Times New Roman" w:hAnsi="Arial" w:cs="Arial"/>
          <w:color w:val="1F1F1F"/>
          <w:sz w:val="24"/>
          <w:szCs w:val="24"/>
          <w:lang w:val="en-US" w:eastAsia="ru-RU"/>
        </w:rPr>
        <w:t xml:space="preserve">Lu is usually very minor and </w:t>
      </w:r>
      <w:r w:rsidRPr="00B53D3B">
        <w:rPr>
          <w:rFonts w:ascii="Arial" w:eastAsia="Times New Roman" w:hAnsi="Arial" w:cs="Arial"/>
          <w:color w:val="1F1F1F"/>
          <w:sz w:val="24"/>
          <w:szCs w:val="24"/>
          <w:lang w:val="en-US" w:eastAsia="ru-RU"/>
        </w:rPr>
        <w:lastRenderedPageBreak/>
        <w:t>typically affects this ratio by less than 0.1 </w:t>
      </w:r>
      <w:proofErr w:type="spellStart"/>
      <w:r w:rsidRPr="00B53D3B">
        <w:rPr>
          <w:rFonts w:ascii="Arial" w:eastAsia="Times New Roman" w:hAnsi="Arial" w:cs="Arial"/>
          <w:i/>
          <w:iCs/>
          <w:color w:val="1F1F1F"/>
          <w:sz w:val="24"/>
          <w:szCs w:val="24"/>
          <w:lang w:val="en-US" w:eastAsia="ru-RU"/>
        </w:rPr>
        <w:t>ɛ</w:t>
      </w:r>
      <w:r w:rsidRPr="00B53D3B">
        <w:rPr>
          <w:rFonts w:ascii="Arial" w:eastAsia="Times New Roman" w:hAnsi="Arial" w:cs="Arial"/>
          <w:color w:val="1F1F1F"/>
          <w:sz w:val="18"/>
          <w:szCs w:val="18"/>
          <w:vertAlign w:val="subscript"/>
          <w:lang w:val="en-US" w:eastAsia="ru-RU"/>
        </w:rPr>
        <w:t>Hf</w:t>
      </w:r>
      <w:proofErr w:type="spellEnd"/>
      <w:r w:rsidRPr="00B53D3B">
        <w:rPr>
          <w:rFonts w:ascii="Arial" w:eastAsia="Times New Roman" w:hAnsi="Arial" w:cs="Arial"/>
          <w:color w:val="1F1F1F"/>
          <w:sz w:val="24"/>
          <w:szCs w:val="24"/>
          <w:lang w:val="en-US" w:eastAsia="ru-RU"/>
        </w:rPr>
        <w:t xml:space="preserve"> unit for a 1260 Ma old sample (cf. </w:t>
      </w:r>
      <w:proofErr w:type="spellStart"/>
      <w:r w:rsidRPr="00B53D3B">
        <w:rPr>
          <w:rFonts w:ascii="Arial" w:eastAsia="Times New Roman" w:hAnsi="Arial" w:cs="Arial"/>
          <w:color w:val="1F1F1F"/>
          <w:sz w:val="24"/>
          <w:szCs w:val="24"/>
          <w:lang w:val="en-US" w:eastAsia="ru-RU"/>
        </w:rPr>
        <w:t>Söderlund</w:t>
      </w:r>
      <w:proofErr w:type="spellEnd"/>
      <w:r w:rsidRPr="00B53D3B">
        <w:rPr>
          <w:rFonts w:ascii="Arial" w:eastAsia="Times New Roman" w:hAnsi="Arial" w:cs="Arial"/>
          <w:color w:val="1F1F1F"/>
          <w:sz w:val="24"/>
          <w:szCs w:val="24"/>
          <w:lang w:val="en-US" w:eastAsia="ru-RU"/>
        </w:rPr>
        <w:t xml:space="preserve"> et al., 2005a).</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The </w:t>
      </w:r>
      <w:proofErr w:type="spellStart"/>
      <w:r w:rsidRPr="00B53D3B">
        <w:rPr>
          <w:rFonts w:ascii="Arial" w:eastAsia="Times New Roman" w:hAnsi="Arial" w:cs="Arial"/>
          <w:color w:val="1F1F1F"/>
          <w:sz w:val="24"/>
          <w:szCs w:val="24"/>
          <w:lang w:val="en-US" w:eastAsia="ru-RU"/>
        </w:rPr>
        <w:t>Zr</w:t>
      </w:r>
      <w:proofErr w:type="spellEnd"/>
      <w:r w:rsidRPr="00B53D3B">
        <w:rPr>
          <w:rFonts w:ascii="Arial" w:eastAsia="Times New Roman" w:hAnsi="Arial" w:cs="Arial"/>
          <w:color w:val="1F1F1F"/>
          <w:sz w:val="24"/>
          <w:szCs w:val="24"/>
          <w:lang w:val="en-US" w:eastAsia="ru-RU"/>
        </w:rPr>
        <w:t>–Hf–REE wash collected from the HCl chemistry for U–Pb was dried and dissolved in 1 ml 1.0 M HCl/0.1 M HF. In general, wash solutions from two baddeleyite fractions of the same sample were combined for increasing Hf </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 xml:space="preserve">Break-up of </w:t>
      </w:r>
      <w:proofErr w:type="spellStart"/>
      <w:r w:rsidRPr="00B53D3B">
        <w:rPr>
          <w:rFonts w:ascii="Arial" w:eastAsia="Times New Roman" w:hAnsi="Arial" w:cs="Arial"/>
          <w:b/>
          <w:bCs/>
          <w:color w:val="1F1F1F"/>
          <w:sz w:val="36"/>
          <w:szCs w:val="36"/>
          <w:lang w:val="en-US" w:eastAsia="ru-RU"/>
        </w:rPr>
        <w:t>Rodinia</w:t>
      </w:r>
      <w:proofErr w:type="spellEnd"/>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The inferred events of rifting between Laurentia and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followed by a </w:t>
      </w:r>
      <w:r w:rsidRPr="00B53D3B">
        <w:rPr>
          <w:rFonts w:ascii="Cambria Math" w:eastAsia="Times New Roman" w:hAnsi="Cambria Math" w:cs="Cambria Math"/>
          <w:color w:val="1F1F1F"/>
          <w:sz w:val="24"/>
          <w:szCs w:val="24"/>
          <w:lang w:val="en-US" w:eastAsia="ru-RU"/>
        </w:rPr>
        <w:t>∼</w:t>
      </w:r>
      <w:r w:rsidRPr="00B53D3B">
        <w:rPr>
          <w:rFonts w:ascii="Arial" w:eastAsia="Times New Roman" w:hAnsi="Arial" w:cs="Arial"/>
          <w:color w:val="1F1F1F"/>
          <w:sz w:val="24"/>
          <w:szCs w:val="24"/>
          <w:lang w:val="en-US" w:eastAsia="ru-RU"/>
        </w:rPr>
        <w:t xml:space="preserve">80° rotation between the cratons and, finally, collision during the </w:t>
      </w:r>
      <w:proofErr w:type="spellStart"/>
      <w:r w:rsidRPr="00B53D3B">
        <w:rPr>
          <w:rFonts w:ascii="Arial" w:eastAsia="Times New Roman" w:hAnsi="Arial" w:cs="Arial"/>
          <w:color w:val="1F1F1F"/>
          <w:sz w:val="24"/>
          <w:szCs w:val="24"/>
          <w:lang w:val="en-US" w:eastAsia="ru-RU"/>
        </w:rPr>
        <w:t>Grenvillian-Sveconorwegian</w:t>
      </w:r>
      <w:proofErr w:type="spellEnd"/>
      <w:r w:rsidRPr="00B53D3B">
        <w:rPr>
          <w:rFonts w:ascii="Arial" w:eastAsia="Times New Roman" w:hAnsi="Arial" w:cs="Arial"/>
          <w:color w:val="1F1F1F"/>
          <w:sz w:val="24"/>
          <w:szCs w:val="24"/>
          <w:lang w:val="en-US" w:eastAsia="ru-RU"/>
        </w:rPr>
        <w:t xml:space="preserve"> orogeny have been constrained largely by palaeomagnetic data from Mesoproterozoic mafic dike swarms in the range 1.3–0.9 Ga (e.g. Patchett and </w:t>
      </w:r>
      <w:proofErr w:type="spellStart"/>
      <w:r w:rsidRPr="00B53D3B">
        <w:rPr>
          <w:rFonts w:ascii="Arial" w:eastAsia="Times New Roman" w:hAnsi="Arial" w:cs="Arial"/>
          <w:color w:val="1F1F1F"/>
          <w:sz w:val="24"/>
          <w:szCs w:val="24"/>
          <w:lang w:val="en-US" w:eastAsia="ru-RU"/>
        </w:rPr>
        <w:t>Bylund</w:t>
      </w:r>
      <w:proofErr w:type="spellEnd"/>
      <w:r w:rsidRPr="00B53D3B">
        <w:rPr>
          <w:rFonts w:ascii="Arial" w:eastAsia="Times New Roman" w:hAnsi="Arial" w:cs="Arial"/>
          <w:color w:val="1F1F1F"/>
          <w:sz w:val="24"/>
          <w:szCs w:val="24"/>
          <w:lang w:val="en-US" w:eastAsia="ru-RU"/>
        </w:rPr>
        <w:t xml:space="preserve">, 1977, Patchett et al., 1978, </w:t>
      </w:r>
      <w:proofErr w:type="spellStart"/>
      <w:r w:rsidRPr="00B53D3B">
        <w:rPr>
          <w:rFonts w:ascii="Arial" w:eastAsia="Times New Roman" w:hAnsi="Arial" w:cs="Arial"/>
          <w:color w:val="1F1F1F"/>
          <w:sz w:val="24"/>
          <w:szCs w:val="24"/>
          <w:lang w:val="en-US" w:eastAsia="ru-RU"/>
        </w:rPr>
        <w:t>Pesonen</w:t>
      </w:r>
      <w:proofErr w:type="spellEnd"/>
      <w:r w:rsidRPr="00B53D3B">
        <w:rPr>
          <w:rFonts w:ascii="Arial" w:eastAsia="Times New Roman" w:hAnsi="Arial" w:cs="Arial"/>
          <w:color w:val="1F1F1F"/>
          <w:sz w:val="24"/>
          <w:szCs w:val="24"/>
          <w:lang w:val="en-US" w:eastAsia="ru-RU"/>
        </w:rPr>
        <w:t xml:space="preserve"> et al., 2003). Indeed, it seems logical to correlate CSDG with the initial stage of rifting between Laurentia and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considering its</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Summary</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There are several problems in explaining CSDG with a plume origin associated with continental break-up between Laurentia and </w:t>
      </w:r>
      <w:proofErr w:type="spellStart"/>
      <w:r w:rsidRPr="00B53D3B">
        <w:rPr>
          <w:rFonts w:ascii="Arial" w:eastAsia="Times New Roman" w:hAnsi="Arial" w:cs="Arial"/>
          <w:color w:val="1F1F1F"/>
          <w:sz w:val="24"/>
          <w:szCs w:val="24"/>
          <w:lang w:val="en-US" w:eastAsia="ru-RU"/>
        </w:rPr>
        <w:t>Baltica</w:t>
      </w:r>
      <w:proofErr w:type="spellEnd"/>
      <w:r w:rsidRPr="00B53D3B">
        <w:rPr>
          <w:rFonts w:ascii="Arial" w:eastAsia="Times New Roman" w:hAnsi="Arial" w:cs="Arial"/>
          <w:color w:val="1F1F1F"/>
          <w:sz w:val="24"/>
          <w:szCs w:val="24"/>
          <w:lang w:val="en-US" w:eastAsia="ru-RU"/>
        </w:rPr>
        <w:t xml:space="preserve">: (1) it is problematic to link three pulses of dolerite emplacement at 1264–1271, 1256–1259 and </w:t>
      </w:r>
      <w:r w:rsidRPr="00B53D3B">
        <w:rPr>
          <w:rFonts w:ascii="Cambria Math" w:eastAsia="Times New Roman" w:hAnsi="Cambria Math" w:cs="Cambria Math"/>
          <w:color w:val="1F1F1F"/>
          <w:sz w:val="24"/>
          <w:szCs w:val="24"/>
          <w:lang w:val="en-US" w:eastAsia="ru-RU"/>
        </w:rPr>
        <w:t>∼</w:t>
      </w:r>
      <w:r w:rsidRPr="00B53D3B">
        <w:rPr>
          <w:rFonts w:ascii="Arial" w:eastAsia="Times New Roman" w:hAnsi="Arial" w:cs="Arial"/>
          <w:color w:val="1F1F1F"/>
          <w:sz w:val="24"/>
          <w:szCs w:val="24"/>
          <w:lang w:val="en-US" w:eastAsia="ru-RU"/>
        </w:rPr>
        <w:t xml:space="preserve">1247 Ma with a plume for which the bulk of magmatism typically occurs within a few </w:t>
      </w:r>
      <w:proofErr w:type="spellStart"/>
      <w:r w:rsidRPr="00B53D3B">
        <w:rPr>
          <w:rFonts w:ascii="Arial" w:eastAsia="Times New Roman" w:hAnsi="Arial" w:cs="Arial"/>
          <w:color w:val="1F1F1F"/>
          <w:sz w:val="24"/>
          <w:szCs w:val="24"/>
          <w:lang w:val="en-US" w:eastAsia="ru-RU"/>
        </w:rPr>
        <w:t>Myr</w:t>
      </w:r>
      <w:proofErr w:type="spellEnd"/>
      <w:r w:rsidRPr="00B53D3B">
        <w:rPr>
          <w:rFonts w:ascii="Arial" w:eastAsia="Times New Roman" w:hAnsi="Arial" w:cs="Arial"/>
          <w:color w:val="1F1F1F"/>
          <w:sz w:val="24"/>
          <w:szCs w:val="24"/>
          <w:lang w:val="en-US" w:eastAsia="ru-RU"/>
        </w:rPr>
        <w:t>; (2) if CSDG represents an aborted rift linked to a distal plume, there must be dikes interconnecting dolerite complexes but no such dikes have been detected from geophysical sections </w:t>
      </w:r>
    </w:p>
    <w:p w:rsidR="00B53D3B" w:rsidRPr="00B53D3B" w:rsidRDefault="00B53D3B" w:rsidP="00B53D3B">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B53D3B">
        <w:rPr>
          <w:rFonts w:ascii="Arial" w:eastAsia="Times New Roman" w:hAnsi="Arial" w:cs="Arial"/>
          <w:b/>
          <w:bCs/>
          <w:color w:val="1F1F1F"/>
          <w:sz w:val="36"/>
          <w:szCs w:val="36"/>
          <w:lang w:val="en-US" w:eastAsia="ru-RU"/>
        </w:rPr>
        <w:t>Acknowledgements</w:t>
      </w:r>
    </w:p>
    <w:p w:rsidR="00B53D3B" w:rsidRPr="00B53D3B" w:rsidRDefault="00B53D3B" w:rsidP="00B53D3B">
      <w:pPr>
        <w:spacing w:after="0" w:line="390" w:lineRule="atLeast"/>
        <w:rPr>
          <w:rFonts w:ascii="Arial" w:eastAsia="Times New Roman" w:hAnsi="Arial" w:cs="Arial"/>
          <w:color w:val="1F1F1F"/>
          <w:sz w:val="24"/>
          <w:szCs w:val="24"/>
          <w:lang w:val="en-US" w:eastAsia="ru-RU"/>
        </w:rPr>
      </w:pPr>
      <w:r w:rsidRPr="00B53D3B">
        <w:rPr>
          <w:rFonts w:ascii="Arial" w:eastAsia="Times New Roman" w:hAnsi="Arial" w:cs="Arial"/>
          <w:color w:val="1F1F1F"/>
          <w:sz w:val="24"/>
          <w:szCs w:val="24"/>
          <w:lang w:val="en-US" w:eastAsia="ru-RU"/>
        </w:rPr>
        <w:t xml:space="preserve">The </w:t>
      </w:r>
      <w:proofErr w:type="spellStart"/>
      <w:r w:rsidRPr="00B53D3B">
        <w:rPr>
          <w:rFonts w:ascii="Arial" w:eastAsia="Times New Roman" w:hAnsi="Arial" w:cs="Arial"/>
          <w:color w:val="1F1F1F"/>
          <w:sz w:val="24"/>
          <w:szCs w:val="24"/>
          <w:lang w:val="en-US" w:eastAsia="ru-RU"/>
        </w:rPr>
        <w:t>Mackmyra</w:t>
      </w:r>
      <w:proofErr w:type="spellEnd"/>
      <w:r w:rsidRPr="00B53D3B">
        <w:rPr>
          <w:rFonts w:ascii="Arial" w:eastAsia="Times New Roman" w:hAnsi="Arial" w:cs="Arial"/>
          <w:color w:val="1F1F1F"/>
          <w:sz w:val="24"/>
          <w:szCs w:val="24"/>
          <w:lang w:val="en-US" w:eastAsia="ru-RU"/>
        </w:rPr>
        <w:t xml:space="preserve"> sample was provided by J. Andersson (Uppsala). Two baddeleyite fractions of this sample were dated by P.-O. Persson (Stockholm), and were financed by the Geological Survey of Sweden (SGU). Thanks to H. </w:t>
      </w:r>
      <w:proofErr w:type="spellStart"/>
      <w:r w:rsidRPr="00B53D3B">
        <w:rPr>
          <w:rFonts w:ascii="Arial" w:eastAsia="Times New Roman" w:hAnsi="Arial" w:cs="Arial"/>
          <w:color w:val="1F1F1F"/>
          <w:sz w:val="24"/>
          <w:szCs w:val="24"/>
          <w:lang w:val="en-US" w:eastAsia="ru-RU"/>
        </w:rPr>
        <w:t>Huhma</w:t>
      </w:r>
      <w:proofErr w:type="spellEnd"/>
      <w:r w:rsidRPr="00B53D3B">
        <w:rPr>
          <w:rFonts w:ascii="Arial" w:eastAsia="Times New Roman" w:hAnsi="Arial" w:cs="Arial"/>
          <w:color w:val="1F1F1F"/>
          <w:sz w:val="24"/>
          <w:szCs w:val="24"/>
          <w:lang w:val="en-US" w:eastAsia="ru-RU"/>
        </w:rPr>
        <w:t xml:space="preserve"> for making it possible to re-date the </w:t>
      </w:r>
      <w:proofErr w:type="spellStart"/>
      <w:r w:rsidRPr="00B53D3B">
        <w:rPr>
          <w:rFonts w:ascii="Arial" w:eastAsia="Times New Roman" w:hAnsi="Arial" w:cs="Arial"/>
          <w:color w:val="1F1F1F"/>
          <w:sz w:val="24"/>
          <w:szCs w:val="24"/>
          <w:lang w:val="en-US" w:eastAsia="ru-RU"/>
        </w:rPr>
        <w:t>Svall</w:t>
      </w:r>
      <w:proofErr w:type="spellEnd"/>
      <w:r w:rsidRPr="00B53D3B">
        <w:rPr>
          <w:rFonts w:ascii="Arial" w:eastAsia="Times New Roman" w:hAnsi="Arial" w:cs="Arial"/>
          <w:color w:val="1F1F1F"/>
          <w:sz w:val="24"/>
          <w:szCs w:val="24"/>
          <w:lang w:val="en-US" w:eastAsia="ru-RU"/>
        </w:rPr>
        <w:t xml:space="preserve"> dolerite by providing us with baddeleyite from the same separate as dated by </w:t>
      </w:r>
      <w:proofErr w:type="spellStart"/>
      <w:r w:rsidRPr="00B53D3B">
        <w:rPr>
          <w:rFonts w:ascii="Arial" w:eastAsia="Times New Roman" w:hAnsi="Arial" w:cs="Arial"/>
          <w:color w:val="1F1F1F"/>
          <w:sz w:val="24"/>
          <w:szCs w:val="24"/>
          <w:lang w:val="en-US" w:eastAsia="ru-RU"/>
        </w:rPr>
        <w:t>Suominen</w:t>
      </w:r>
      <w:proofErr w:type="spellEnd"/>
      <w:r w:rsidRPr="00B53D3B">
        <w:rPr>
          <w:rFonts w:ascii="Arial" w:eastAsia="Times New Roman" w:hAnsi="Arial" w:cs="Arial"/>
          <w:color w:val="1F1F1F"/>
          <w:sz w:val="24"/>
          <w:szCs w:val="24"/>
          <w:lang w:val="en-US" w:eastAsia="ru-RU"/>
        </w:rPr>
        <w:t xml:space="preserve"> (1991). We thank F. Corfu, T. Andersen and W.L. Griffin for helping us to improve this paper, and T. </w:t>
      </w:r>
      <w:proofErr w:type="spellStart"/>
      <w:r w:rsidRPr="00B53D3B">
        <w:rPr>
          <w:rFonts w:ascii="Arial" w:eastAsia="Times New Roman" w:hAnsi="Arial" w:cs="Arial"/>
          <w:color w:val="1F1F1F"/>
          <w:sz w:val="24"/>
          <w:szCs w:val="24"/>
          <w:lang w:val="en-US" w:eastAsia="ru-RU"/>
        </w:rPr>
        <w:t>Horscroft</w:t>
      </w:r>
      <w:proofErr w:type="spellEnd"/>
      <w:r w:rsidRPr="00B53D3B">
        <w:rPr>
          <w:rFonts w:ascii="Arial" w:eastAsia="Times New Roman" w:hAnsi="Arial" w:cs="Arial"/>
          <w:color w:val="1F1F1F"/>
          <w:sz w:val="24"/>
          <w:szCs w:val="24"/>
          <w:lang w:val="en-US" w:eastAsia="ru-RU"/>
        </w:rPr>
        <w:t xml:space="preserve"> for editorial handling of this</w:t>
      </w:r>
    </w:p>
    <w:p w:rsidR="003F4596" w:rsidRPr="00B53D3B" w:rsidRDefault="00B53D3B">
      <w:pPr>
        <w:rPr>
          <w:lang w:val="en-US"/>
        </w:rPr>
      </w:pPr>
    </w:p>
    <w:sectPr w:rsidR="003F4596" w:rsidRPr="00B53D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3B"/>
    <w:rsid w:val="002E75A1"/>
    <w:rsid w:val="00B53D3B"/>
    <w:rsid w:val="00EF4F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9163B7-16E0-4744-853A-A6A00F9C5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4406569">
      <w:bodyDiv w:val="1"/>
      <w:marLeft w:val="0"/>
      <w:marRight w:val="0"/>
      <w:marTop w:val="0"/>
      <w:marBottom w:val="0"/>
      <w:divBdr>
        <w:top w:val="none" w:sz="0" w:space="0" w:color="auto"/>
        <w:left w:val="none" w:sz="0" w:space="0" w:color="auto"/>
        <w:bottom w:val="none" w:sz="0" w:space="0" w:color="auto"/>
        <w:right w:val="none" w:sz="0" w:space="0" w:color="auto"/>
      </w:divBdr>
      <w:divsChild>
        <w:div w:id="1184393008">
          <w:marLeft w:val="0"/>
          <w:marRight w:val="0"/>
          <w:marTop w:val="0"/>
          <w:marBottom w:val="120"/>
          <w:divBdr>
            <w:top w:val="none" w:sz="0" w:space="0" w:color="auto"/>
            <w:left w:val="none" w:sz="0" w:space="0" w:color="auto"/>
            <w:bottom w:val="none" w:sz="0" w:space="0" w:color="auto"/>
            <w:right w:val="none" w:sz="0" w:space="0" w:color="auto"/>
          </w:divBdr>
          <w:divsChild>
            <w:div w:id="1969899203">
              <w:marLeft w:val="0"/>
              <w:marRight w:val="0"/>
              <w:marTop w:val="0"/>
              <w:marBottom w:val="0"/>
              <w:divBdr>
                <w:top w:val="none" w:sz="0" w:space="0" w:color="auto"/>
                <w:left w:val="none" w:sz="0" w:space="0" w:color="auto"/>
                <w:bottom w:val="none" w:sz="0" w:space="0" w:color="auto"/>
                <w:right w:val="none" w:sz="0" w:space="0" w:color="auto"/>
              </w:divBdr>
              <w:divsChild>
                <w:div w:id="420414931">
                  <w:marLeft w:val="0"/>
                  <w:marRight w:val="0"/>
                  <w:marTop w:val="0"/>
                  <w:marBottom w:val="0"/>
                  <w:divBdr>
                    <w:top w:val="none" w:sz="0" w:space="0" w:color="auto"/>
                    <w:left w:val="none" w:sz="0" w:space="0" w:color="auto"/>
                    <w:bottom w:val="none" w:sz="0" w:space="0" w:color="auto"/>
                    <w:right w:val="none" w:sz="0" w:space="0" w:color="auto"/>
                  </w:divBdr>
                  <w:divsChild>
                    <w:div w:id="72194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286742">
              <w:marLeft w:val="0"/>
              <w:marRight w:val="0"/>
              <w:marTop w:val="0"/>
              <w:marBottom w:val="0"/>
              <w:divBdr>
                <w:top w:val="none" w:sz="0" w:space="0" w:color="auto"/>
                <w:left w:val="none" w:sz="0" w:space="0" w:color="auto"/>
                <w:bottom w:val="single" w:sz="6" w:space="0" w:color="000000"/>
                <w:right w:val="none" w:sz="0" w:space="0" w:color="auto"/>
              </w:divBdr>
              <w:divsChild>
                <w:div w:id="1550994422">
                  <w:marLeft w:val="0"/>
                  <w:marRight w:val="0"/>
                  <w:marTop w:val="0"/>
                  <w:marBottom w:val="0"/>
                  <w:divBdr>
                    <w:top w:val="none" w:sz="0" w:space="0" w:color="auto"/>
                    <w:left w:val="none" w:sz="0" w:space="0" w:color="auto"/>
                    <w:bottom w:val="none" w:sz="0" w:space="0" w:color="auto"/>
                    <w:right w:val="none" w:sz="0" w:space="0" w:color="auto"/>
                  </w:divBdr>
                  <w:divsChild>
                    <w:div w:id="438526885">
                      <w:marLeft w:val="0"/>
                      <w:marRight w:val="0"/>
                      <w:marTop w:val="0"/>
                      <w:marBottom w:val="0"/>
                      <w:divBdr>
                        <w:top w:val="none" w:sz="0" w:space="0" w:color="auto"/>
                        <w:left w:val="none" w:sz="0" w:space="0" w:color="auto"/>
                        <w:bottom w:val="none" w:sz="0" w:space="0" w:color="auto"/>
                        <w:right w:val="none" w:sz="0" w:space="0" w:color="auto"/>
                      </w:divBdr>
                      <w:divsChild>
                        <w:div w:id="145216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17770">
                  <w:marLeft w:val="0"/>
                  <w:marRight w:val="0"/>
                  <w:marTop w:val="0"/>
                  <w:marBottom w:val="0"/>
                  <w:divBdr>
                    <w:top w:val="none" w:sz="0" w:space="0" w:color="auto"/>
                    <w:left w:val="none" w:sz="0" w:space="0" w:color="auto"/>
                    <w:bottom w:val="none" w:sz="0" w:space="0" w:color="auto"/>
                    <w:right w:val="none" w:sz="0" w:space="0" w:color="auto"/>
                  </w:divBdr>
                  <w:divsChild>
                    <w:div w:id="695623183">
                      <w:marLeft w:val="0"/>
                      <w:marRight w:val="0"/>
                      <w:marTop w:val="0"/>
                      <w:marBottom w:val="0"/>
                      <w:divBdr>
                        <w:top w:val="none" w:sz="0" w:space="0" w:color="auto"/>
                        <w:left w:val="none" w:sz="0" w:space="0" w:color="auto"/>
                        <w:bottom w:val="none" w:sz="0" w:space="0" w:color="auto"/>
                        <w:right w:val="none" w:sz="0" w:space="0" w:color="auto"/>
                      </w:divBdr>
                      <w:divsChild>
                        <w:div w:id="98358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8785245">
          <w:marLeft w:val="0"/>
          <w:marRight w:val="0"/>
          <w:marTop w:val="0"/>
          <w:marBottom w:val="0"/>
          <w:divBdr>
            <w:top w:val="none" w:sz="0" w:space="0" w:color="auto"/>
            <w:left w:val="none" w:sz="0" w:space="0" w:color="auto"/>
            <w:bottom w:val="none" w:sz="0" w:space="0" w:color="auto"/>
            <w:right w:val="none" w:sz="0" w:space="0" w:color="auto"/>
          </w:divBdr>
        </w:div>
        <w:div w:id="1736079503">
          <w:marLeft w:val="0"/>
          <w:marRight w:val="0"/>
          <w:marTop w:val="0"/>
          <w:marBottom w:val="0"/>
          <w:divBdr>
            <w:top w:val="none" w:sz="0" w:space="0" w:color="auto"/>
            <w:left w:val="none" w:sz="0" w:space="0" w:color="auto"/>
            <w:bottom w:val="none" w:sz="0" w:space="0" w:color="auto"/>
            <w:right w:val="none" w:sz="0" w:space="0" w:color="auto"/>
          </w:divBdr>
          <w:divsChild>
            <w:div w:id="1197502314">
              <w:marLeft w:val="0"/>
              <w:marRight w:val="0"/>
              <w:marTop w:val="0"/>
              <w:marBottom w:val="0"/>
              <w:divBdr>
                <w:top w:val="none" w:sz="0" w:space="0" w:color="auto"/>
                <w:left w:val="none" w:sz="0" w:space="0" w:color="auto"/>
                <w:bottom w:val="none" w:sz="0" w:space="0" w:color="auto"/>
                <w:right w:val="none" w:sz="0" w:space="0" w:color="auto"/>
              </w:divBdr>
              <w:divsChild>
                <w:div w:id="1600673610">
                  <w:marLeft w:val="0"/>
                  <w:marRight w:val="0"/>
                  <w:marTop w:val="0"/>
                  <w:marBottom w:val="120"/>
                  <w:divBdr>
                    <w:top w:val="none" w:sz="0" w:space="0" w:color="auto"/>
                    <w:left w:val="none" w:sz="0" w:space="0" w:color="auto"/>
                    <w:bottom w:val="none" w:sz="0" w:space="0" w:color="auto"/>
                    <w:right w:val="none" w:sz="0" w:space="0" w:color="auto"/>
                  </w:divBdr>
                  <w:divsChild>
                    <w:div w:id="819883188">
                      <w:marLeft w:val="0"/>
                      <w:marRight w:val="0"/>
                      <w:marTop w:val="0"/>
                      <w:marBottom w:val="0"/>
                      <w:divBdr>
                        <w:top w:val="none" w:sz="0" w:space="0" w:color="auto"/>
                        <w:left w:val="none" w:sz="0" w:space="0" w:color="auto"/>
                        <w:bottom w:val="none" w:sz="0" w:space="0" w:color="auto"/>
                        <w:right w:val="none" w:sz="0" w:space="0" w:color="auto"/>
                      </w:divBdr>
                      <w:divsChild>
                        <w:div w:id="658584007">
                          <w:marLeft w:val="0"/>
                          <w:marRight w:val="0"/>
                          <w:marTop w:val="0"/>
                          <w:marBottom w:val="0"/>
                          <w:divBdr>
                            <w:top w:val="none" w:sz="0" w:space="0" w:color="auto"/>
                            <w:left w:val="none" w:sz="0" w:space="0" w:color="auto"/>
                            <w:bottom w:val="none" w:sz="0" w:space="0" w:color="auto"/>
                            <w:right w:val="none" w:sz="0" w:space="0" w:color="auto"/>
                          </w:divBdr>
                        </w:div>
                        <w:div w:id="1107194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730338">
          <w:marLeft w:val="0"/>
          <w:marRight w:val="0"/>
          <w:marTop w:val="0"/>
          <w:marBottom w:val="0"/>
          <w:divBdr>
            <w:top w:val="none" w:sz="0" w:space="0" w:color="auto"/>
            <w:left w:val="none" w:sz="0" w:space="0" w:color="auto"/>
            <w:bottom w:val="none" w:sz="0" w:space="0" w:color="auto"/>
            <w:right w:val="none" w:sz="0" w:space="0" w:color="auto"/>
          </w:divBdr>
          <w:divsChild>
            <w:div w:id="644893047">
              <w:marLeft w:val="0"/>
              <w:marRight w:val="0"/>
              <w:marTop w:val="0"/>
              <w:marBottom w:val="0"/>
              <w:divBdr>
                <w:top w:val="none" w:sz="0" w:space="0" w:color="auto"/>
                <w:left w:val="none" w:sz="0" w:space="0" w:color="auto"/>
                <w:bottom w:val="none" w:sz="0" w:space="0" w:color="auto"/>
                <w:right w:val="none" w:sz="0" w:space="0" w:color="auto"/>
              </w:divBdr>
              <w:divsChild>
                <w:div w:id="988172945">
                  <w:marLeft w:val="0"/>
                  <w:marRight w:val="0"/>
                  <w:marTop w:val="0"/>
                  <w:marBottom w:val="0"/>
                  <w:divBdr>
                    <w:top w:val="none" w:sz="0" w:space="0" w:color="auto"/>
                    <w:left w:val="none" w:sz="0" w:space="0" w:color="auto"/>
                    <w:bottom w:val="none" w:sz="0" w:space="0" w:color="auto"/>
                    <w:right w:val="none" w:sz="0" w:space="0" w:color="auto"/>
                  </w:divBdr>
                </w:div>
                <w:div w:id="739255067">
                  <w:marLeft w:val="0"/>
                  <w:marRight w:val="0"/>
                  <w:marTop w:val="0"/>
                  <w:marBottom w:val="0"/>
                  <w:divBdr>
                    <w:top w:val="none" w:sz="0" w:space="0" w:color="auto"/>
                    <w:left w:val="none" w:sz="0" w:space="0" w:color="auto"/>
                    <w:bottom w:val="none" w:sz="0" w:space="0" w:color="auto"/>
                    <w:right w:val="none" w:sz="0" w:space="0" w:color="auto"/>
                  </w:divBdr>
                </w:div>
                <w:div w:id="146145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660381">
          <w:marLeft w:val="0"/>
          <w:marRight w:val="0"/>
          <w:marTop w:val="0"/>
          <w:marBottom w:val="0"/>
          <w:divBdr>
            <w:top w:val="none" w:sz="0" w:space="0" w:color="auto"/>
            <w:left w:val="none" w:sz="0" w:space="0" w:color="auto"/>
            <w:bottom w:val="none" w:sz="0" w:space="0" w:color="auto"/>
            <w:right w:val="none" w:sz="0" w:space="0" w:color="auto"/>
          </w:divBdr>
        </w:div>
        <w:div w:id="2004160952">
          <w:marLeft w:val="0"/>
          <w:marRight w:val="0"/>
          <w:marTop w:val="0"/>
          <w:marBottom w:val="0"/>
          <w:divBdr>
            <w:top w:val="none" w:sz="0" w:space="0" w:color="auto"/>
            <w:left w:val="none" w:sz="0" w:space="0" w:color="auto"/>
            <w:bottom w:val="none" w:sz="0" w:space="0" w:color="auto"/>
            <w:right w:val="none" w:sz="0" w:space="0" w:color="auto"/>
          </w:divBdr>
          <w:divsChild>
            <w:div w:id="1656766084">
              <w:marLeft w:val="0"/>
              <w:marRight w:val="0"/>
              <w:marTop w:val="0"/>
              <w:marBottom w:val="0"/>
              <w:divBdr>
                <w:top w:val="none" w:sz="0" w:space="0" w:color="auto"/>
                <w:left w:val="none" w:sz="0" w:space="0" w:color="auto"/>
                <w:bottom w:val="none" w:sz="0" w:space="0" w:color="auto"/>
                <w:right w:val="none" w:sz="0" w:space="0" w:color="auto"/>
              </w:divBdr>
              <w:divsChild>
                <w:div w:id="1302803967">
                  <w:marLeft w:val="0"/>
                  <w:marRight w:val="0"/>
                  <w:marTop w:val="0"/>
                  <w:marBottom w:val="0"/>
                  <w:divBdr>
                    <w:top w:val="none" w:sz="0" w:space="0" w:color="auto"/>
                    <w:left w:val="none" w:sz="0" w:space="0" w:color="auto"/>
                    <w:bottom w:val="none" w:sz="0" w:space="0" w:color="auto"/>
                    <w:right w:val="none" w:sz="0" w:space="0" w:color="auto"/>
                  </w:divBdr>
                </w:div>
                <w:div w:id="544175391">
                  <w:marLeft w:val="0"/>
                  <w:marRight w:val="0"/>
                  <w:marTop w:val="0"/>
                  <w:marBottom w:val="0"/>
                  <w:divBdr>
                    <w:top w:val="none" w:sz="0" w:space="0" w:color="auto"/>
                    <w:left w:val="none" w:sz="0" w:space="0" w:color="auto"/>
                    <w:bottom w:val="none" w:sz="0" w:space="0" w:color="auto"/>
                    <w:right w:val="none" w:sz="0" w:space="0" w:color="auto"/>
                  </w:divBdr>
                </w:div>
                <w:div w:id="1508863519">
                  <w:marLeft w:val="0"/>
                  <w:marRight w:val="0"/>
                  <w:marTop w:val="0"/>
                  <w:marBottom w:val="0"/>
                  <w:divBdr>
                    <w:top w:val="none" w:sz="0" w:space="0" w:color="auto"/>
                    <w:left w:val="none" w:sz="0" w:space="0" w:color="auto"/>
                    <w:bottom w:val="none" w:sz="0" w:space="0" w:color="auto"/>
                    <w:right w:val="none" w:sz="0" w:space="0" w:color="auto"/>
                  </w:divBdr>
                </w:div>
                <w:div w:id="1074821444">
                  <w:marLeft w:val="0"/>
                  <w:marRight w:val="0"/>
                  <w:marTop w:val="0"/>
                  <w:marBottom w:val="0"/>
                  <w:divBdr>
                    <w:top w:val="none" w:sz="0" w:space="0" w:color="auto"/>
                    <w:left w:val="none" w:sz="0" w:space="0" w:color="auto"/>
                    <w:bottom w:val="none" w:sz="0" w:space="0" w:color="auto"/>
                    <w:right w:val="none" w:sz="0" w:space="0" w:color="auto"/>
                  </w:divBdr>
                </w:div>
                <w:div w:id="1161384990">
                  <w:marLeft w:val="0"/>
                  <w:marRight w:val="0"/>
                  <w:marTop w:val="0"/>
                  <w:marBottom w:val="0"/>
                  <w:divBdr>
                    <w:top w:val="none" w:sz="0" w:space="0" w:color="auto"/>
                    <w:left w:val="none" w:sz="0" w:space="0" w:color="auto"/>
                    <w:bottom w:val="none" w:sz="0" w:space="0" w:color="auto"/>
                    <w:right w:val="none" w:sz="0" w:space="0" w:color="auto"/>
                  </w:divBdr>
                </w:div>
                <w:div w:id="746268525">
                  <w:marLeft w:val="0"/>
                  <w:marRight w:val="0"/>
                  <w:marTop w:val="0"/>
                  <w:marBottom w:val="0"/>
                  <w:divBdr>
                    <w:top w:val="none" w:sz="0" w:space="0" w:color="auto"/>
                    <w:left w:val="none" w:sz="0" w:space="0" w:color="auto"/>
                    <w:bottom w:val="none" w:sz="0" w:space="0" w:color="auto"/>
                    <w:right w:val="none" w:sz="0" w:space="0" w:color="auto"/>
                  </w:divBdr>
                </w:div>
                <w:div w:id="154616761">
                  <w:marLeft w:val="0"/>
                  <w:marRight w:val="0"/>
                  <w:marTop w:val="0"/>
                  <w:marBottom w:val="0"/>
                  <w:divBdr>
                    <w:top w:val="none" w:sz="0" w:space="0" w:color="auto"/>
                    <w:left w:val="none" w:sz="0" w:space="0" w:color="auto"/>
                    <w:bottom w:val="none" w:sz="0" w:space="0" w:color="auto"/>
                    <w:right w:val="none" w:sz="0" w:space="0" w:color="auto"/>
                  </w:divBdr>
                </w:div>
                <w:div w:id="573858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large-igneous-province" TargetMode="External"/><Relationship Id="rId13" Type="http://schemas.openxmlformats.org/officeDocument/2006/relationships/hyperlink" Target="https://www.sciencedirect.com/topics/earth-and-planetary-sciences/baltic-sea" TargetMode="External"/><Relationship Id="rId18" Type="http://schemas.openxmlformats.org/officeDocument/2006/relationships/hyperlink" Target="https://www.sciencedirect.com/topics/earth-and-planetary-sciences/mantle-source"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www.sciencedirect.com/topics/earth-and-planetary-sciences/magmatism" TargetMode="External"/><Relationship Id="rId12" Type="http://schemas.openxmlformats.org/officeDocument/2006/relationships/hyperlink" Target="https://www.sciencedirect.com/topics/earth-and-planetary-sciences/crustal-structure" TargetMode="External"/><Relationship Id="rId17" Type="http://schemas.openxmlformats.org/officeDocument/2006/relationships/hyperlink" Target="https://www.sciencedirect.com/topics/earth-and-planetary-sciences/craton" TargetMode="External"/><Relationship Id="rId2" Type="http://schemas.openxmlformats.org/officeDocument/2006/relationships/settings" Target="settings.xml"/><Relationship Id="rId16" Type="http://schemas.openxmlformats.org/officeDocument/2006/relationships/hyperlink" Target="https://www.sciencedirect.com/topics/earth-and-planetary-sciences/dike-swarm"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sciencedirect.com/topics/earth-and-planetary-sciences/dyke-water-management" TargetMode="External"/><Relationship Id="rId11" Type="http://schemas.openxmlformats.org/officeDocument/2006/relationships/hyperlink" Target="https://www.sciencedirect.com/topics/earth-and-planetary-sciences/magma" TargetMode="External"/><Relationship Id="rId5" Type="http://schemas.openxmlformats.org/officeDocument/2006/relationships/hyperlink" Target="https://www.sciencedirect.com/topics/earth-and-planetary-sciences/baddeleyite" TargetMode="External"/><Relationship Id="rId15" Type="http://schemas.openxmlformats.org/officeDocument/2006/relationships/hyperlink" Target="https://www.sciencedirect.com/topics/earth-and-planetary-sciences/precambrian" TargetMode="External"/><Relationship Id="rId10" Type="http://schemas.openxmlformats.org/officeDocument/2006/relationships/hyperlink" Target="https://www.sciencedirect.com/topics/earth-and-planetary-sciences/tectonic-setting" TargetMode="External"/><Relationship Id="rId19" Type="http://schemas.openxmlformats.org/officeDocument/2006/relationships/hyperlink" Target="https://www.sciencedirect.com/topics/earth-and-planetary-sciences/zircon" TargetMode="External"/><Relationship Id="rId4" Type="http://schemas.openxmlformats.org/officeDocument/2006/relationships/hyperlink" Target="https://www.sciencedirect.com/topics/earth-and-planetary-sciences/diabase" TargetMode="External"/><Relationship Id="rId9" Type="http://schemas.openxmlformats.org/officeDocument/2006/relationships/hyperlink" Target="https://www.sciencedirect.com/topics/earth-and-planetary-sciences/mantle-plume" TargetMode="External"/><Relationship Id="rId14" Type="http://schemas.openxmlformats.org/officeDocument/2006/relationships/hyperlink" Target="https://www.sciencedirect.com/topics/earth-and-planetary-sciences/magnetic-permeabilit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1815</Words>
  <Characters>10346</Characters>
  <Application>Microsoft Office Word</Application>
  <DocSecurity>0</DocSecurity>
  <Lines>86</Lines>
  <Paragraphs>24</Paragraphs>
  <ScaleCrop>false</ScaleCrop>
  <Company/>
  <LinksUpToDate>false</LinksUpToDate>
  <CharactersWithSpaces>12137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2025-05-19T06:05:00Z</dcterms:created>
  <dcterms:modified xsi:type="dcterms:W3CDTF">2025-05-19T06:06:00Z</dcterms:modified>
</cp:coreProperties>
</file>