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D3639" w:rsidRPr="005D3639" w:rsidRDefault="005D3639" w:rsidP="005D3639">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D3639">
        <w:rPr>
          <w:rFonts w:ascii="Times New Roman" w:eastAsia="Times New Roman" w:hAnsi="Times New Roman" w:cs="Times New Roman"/>
          <w:b/>
          <w:bCs/>
          <w:kern w:val="36"/>
          <w:sz w:val="48"/>
          <w:szCs w:val="48"/>
        </w:rPr>
        <w:t xml:space="preserve">Experimental study of </w:t>
      </w:r>
      <w:proofErr w:type="spellStart"/>
      <w:r w:rsidRPr="005D3639">
        <w:rPr>
          <w:rFonts w:ascii="Times New Roman" w:eastAsia="Times New Roman" w:hAnsi="Times New Roman" w:cs="Times New Roman"/>
          <w:b/>
          <w:bCs/>
          <w:kern w:val="36"/>
          <w:sz w:val="48"/>
          <w:szCs w:val="48"/>
        </w:rPr>
        <w:t>neptunyl</w:t>
      </w:r>
      <w:proofErr w:type="spellEnd"/>
      <w:r w:rsidRPr="005D3639">
        <w:rPr>
          <w:rFonts w:ascii="Times New Roman" w:eastAsia="Times New Roman" w:hAnsi="Times New Roman" w:cs="Times New Roman"/>
          <w:b/>
          <w:bCs/>
          <w:kern w:val="36"/>
          <w:sz w:val="48"/>
          <w:szCs w:val="48"/>
        </w:rPr>
        <w:t xml:space="preserve"> adsorption onto </w:t>
      </w:r>
      <w:r w:rsidRPr="005D3639">
        <w:rPr>
          <w:rFonts w:ascii="Times New Roman" w:eastAsia="Times New Roman" w:hAnsi="Times New Roman" w:cs="Times New Roman"/>
          <w:b/>
          <w:bCs/>
          <w:i/>
          <w:iCs/>
          <w:kern w:val="36"/>
          <w:sz w:val="48"/>
          <w:szCs w:val="48"/>
        </w:rPr>
        <w:t>Bacillus subtilis</w:t>
      </w:r>
    </w:p>
    <w:p w:rsidR="005D3639" w:rsidRPr="005D3639" w:rsidRDefault="005D3639" w:rsidP="005D3639">
      <w:pPr>
        <w:spacing w:after="0" w:line="240" w:lineRule="auto"/>
        <w:rPr>
          <w:rFonts w:ascii="Times New Roman" w:eastAsia="Times New Roman" w:hAnsi="Times New Roman" w:cs="Times New Roman"/>
          <w:sz w:val="24"/>
          <w:szCs w:val="24"/>
        </w:rPr>
      </w:pPr>
      <w:r w:rsidRPr="005D3639">
        <w:rPr>
          <w:rFonts w:ascii="Times New Roman" w:eastAsia="Times New Roman" w:hAnsi="Times New Roman" w:cs="Times New Roman"/>
          <w:sz w:val="24"/>
          <w:szCs w:val="24"/>
        </w:rPr>
        <w:t>Author links open overlay panel</w:t>
      </w:r>
    </w:p>
    <w:p w:rsidR="005D3639" w:rsidRPr="005D3639" w:rsidRDefault="005D3639" w:rsidP="005D3639">
      <w:pPr>
        <w:spacing w:after="0" w:line="240" w:lineRule="auto"/>
        <w:rPr>
          <w:rFonts w:ascii="Times New Roman" w:eastAsia="Times New Roman" w:hAnsi="Times New Roman" w:cs="Times New Roman"/>
          <w:sz w:val="24"/>
          <w:szCs w:val="24"/>
        </w:rPr>
      </w:pPr>
      <w:r w:rsidRPr="005D3639">
        <w:rPr>
          <w:rFonts w:ascii="Times New Roman" w:eastAsia="Times New Roman" w:hAnsi="Times New Roman" w:cs="Times New Roman"/>
          <w:sz w:val="24"/>
          <w:szCs w:val="24"/>
        </w:rPr>
        <w:t xml:space="preserve">, </w:t>
      </w:r>
      <w:bookmarkStart w:id="0" w:name="baep-author-id8-profile"/>
      <w:r w:rsidRPr="005D3639">
        <w:rPr>
          <w:rFonts w:ascii="Times New Roman" w:eastAsia="Times New Roman" w:hAnsi="Times New Roman" w:cs="Times New Roman"/>
          <w:sz w:val="24"/>
          <w:szCs w:val="24"/>
        </w:rPr>
        <w:fldChar w:fldCharType="begin"/>
      </w:r>
      <w:r w:rsidRPr="005D3639">
        <w:rPr>
          <w:rFonts w:ascii="Times New Roman" w:eastAsia="Times New Roman" w:hAnsi="Times New Roman" w:cs="Times New Roman"/>
          <w:sz w:val="24"/>
          <w:szCs w:val="24"/>
        </w:rPr>
        <w:instrText xml:space="preserve"> HYPERLINK "https://www.sciencedirect.com/author/7006239319/jeremy-b-fein" </w:instrText>
      </w:r>
      <w:r w:rsidRPr="005D3639">
        <w:rPr>
          <w:rFonts w:ascii="Times New Roman" w:eastAsia="Times New Roman" w:hAnsi="Times New Roman" w:cs="Times New Roman"/>
          <w:sz w:val="24"/>
          <w:szCs w:val="24"/>
        </w:rPr>
        <w:fldChar w:fldCharType="separate"/>
      </w:r>
      <w:r w:rsidRPr="005D3639">
        <w:rPr>
          <w:rFonts w:ascii="Times New Roman" w:eastAsia="Times New Roman" w:hAnsi="Times New Roman" w:cs="Times New Roman"/>
          <w:color w:val="0000FF"/>
          <w:sz w:val="24"/>
          <w:szCs w:val="24"/>
          <w:u w:val="single"/>
        </w:rPr>
        <w:t xml:space="preserve">J.B. Fein </w:t>
      </w:r>
      <w:r w:rsidRPr="005D3639">
        <w:rPr>
          <w:rFonts w:ascii="Times New Roman" w:eastAsia="Times New Roman" w:hAnsi="Times New Roman" w:cs="Times New Roman"/>
          <w:color w:val="0000FF"/>
          <w:sz w:val="24"/>
          <w:szCs w:val="24"/>
          <w:u w:val="single"/>
          <w:vertAlign w:val="superscript"/>
        </w:rPr>
        <w:t>1</w:t>
      </w:r>
      <w:r w:rsidRPr="005D3639">
        <w:rPr>
          <w:rFonts w:ascii="Times New Roman" w:eastAsia="Times New Roman" w:hAnsi="Times New Roman" w:cs="Times New Roman"/>
          <w:sz w:val="24"/>
          <w:szCs w:val="24"/>
        </w:rPr>
        <w:fldChar w:fldCharType="end"/>
      </w:r>
      <w:bookmarkEnd w:id="0"/>
      <w:r w:rsidRPr="005D3639">
        <w:rPr>
          <w:rFonts w:ascii="Times New Roman" w:eastAsia="Times New Roman" w:hAnsi="Times New Roman" w:cs="Times New Roman"/>
          <w:sz w:val="24"/>
          <w:szCs w:val="24"/>
        </w:rPr>
        <w:t xml:space="preserve">, , , </w:t>
      </w:r>
    </w:p>
    <w:p w:rsidR="005D3639" w:rsidRPr="005D3639" w:rsidRDefault="005D3639" w:rsidP="005D3639">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5D3639">
          <w:rPr>
            <w:rFonts w:ascii="Times New Roman" w:eastAsia="Times New Roman" w:hAnsi="Times New Roman" w:cs="Times New Roman"/>
            <w:color w:val="0000FF"/>
            <w:sz w:val="24"/>
            <w:szCs w:val="24"/>
            <w:u w:val="single"/>
          </w:rPr>
          <w:t>https://doi.org/10.1016/j.gca.2005.06.028</w:t>
        </w:r>
      </w:hyperlink>
      <w:bookmarkStart w:id="1" w:name="_GoBack"/>
      <w:bookmarkEnd w:id="1"/>
      <w:r w:rsidRPr="005D3639">
        <w:rPr>
          <w:rFonts w:ascii="Times New Roman" w:eastAsia="Times New Roman" w:hAnsi="Times New Roman" w:cs="Times New Roman"/>
          <w:sz w:val="24"/>
          <w:szCs w:val="24"/>
        </w:rPr>
        <w:t xml:space="preserve"> </w:t>
      </w:r>
    </w:p>
    <w:p w:rsidR="005D3639" w:rsidRPr="005D3639" w:rsidRDefault="005D3639" w:rsidP="005D3639">
      <w:pPr>
        <w:spacing w:before="100" w:beforeAutospacing="1" w:after="100" w:afterAutospacing="1" w:line="240" w:lineRule="auto"/>
        <w:outlineLvl w:val="1"/>
        <w:rPr>
          <w:rFonts w:ascii="Times New Roman" w:eastAsia="Times New Roman" w:hAnsi="Times New Roman" w:cs="Times New Roman"/>
          <w:b/>
          <w:bCs/>
          <w:sz w:val="36"/>
          <w:szCs w:val="36"/>
        </w:rPr>
      </w:pPr>
      <w:r w:rsidRPr="005D3639">
        <w:rPr>
          <w:rFonts w:ascii="Times New Roman" w:eastAsia="Times New Roman" w:hAnsi="Times New Roman" w:cs="Times New Roman"/>
          <w:b/>
          <w:bCs/>
          <w:sz w:val="36"/>
          <w:szCs w:val="36"/>
        </w:rPr>
        <w:t>Abstract</w:t>
      </w:r>
    </w:p>
    <w:p w:rsidR="005D3639" w:rsidRPr="005D3639" w:rsidRDefault="005D3639" w:rsidP="005D3639">
      <w:pPr>
        <w:spacing w:before="100" w:beforeAutospacing="1" w:after="100" w:afterAutospacing="1" w:line="240" w:lineRule="auto"/>
        <w:rPr>
          <w:rFonts w:ascii="Times New Roman" w:eastAsia="Times New Roman" w:hAnsi="Times New Roman" w:cs="Times New Roman"/>
          <w:sz w:val="24"/>
          <w:szCs w:val="24"/>
        </w:rPr>
      </w:pPr>
      <w:r w:rsidRPr="005D3639">
        <w:rPr>
          <w:rFonts w:ascii="Times New Roman" w:eastAsia="Times New Roman" w:hAnsi="Times New Roman" w:cs="Times New Roman"/>
          <w:sz w:val="24"/>
          <w:szCs w:val="24"/>
        </w:rPr>
        <w:t xml:space="preserve">The subsurface mobility of Np is difficult to predict in part due to uncertainties associated with its </w:t>
      </w:r>
      <w:hyperlink r:id="rId5" w:tooltip="Learn more about sorption from ScienceDirect's AI-generated Topic Pages" w:history="1">
        <w:r w:rsidRPr="005D3639">
          <w:rPr>
            <w:rFonts w:ascii="Times New Roman" w:eastAsia="Times New Roman" w:hAnsi="Times New Roman" w:cs="Times New Roman"/>
            <w:color w:val="0000FF"/>
            <w:sz w:val="24"/>
            <w:szCs w:val="24"/>
            <w:u w:val="single"/>
          </w:rPr>
          <w:t>sorption</w:t>
        </w:r>
      </w:hyperlink>
      <w:r w:rsidRPr="005D3639">
        <w:rPr>
          <w:rFonts w:ascii="Times New Roman" w:eastAsia="Times New Roman" w:hAnsi="Times New Roman" w:cs="Times New Roman"/>
          <w:sz w:val="24"/>
          <w:szCs w:val="24"/>
        </w:rPr>
        <w:t xml:space="preserve"> behavior in geologic systems. In this study, we measured Np adsorption onto a common gram-positive soil bacterium, </w:t>
      </w:r>
      <w:r w:rsidRPr="005D3639">
        <w:rPr>
          <w:rFonts w:ascii="Times New Roman" w:eastAsia="Times New Roman" w:hAnsi="Times New Roman" w:cs="Times New Roman"/>
          <w:i/>
          <w:iCs/>
          <w:sz w:val="24"/>
          <w:szCs w:val="24"/>
        </w:rPr>
        <w:t>Bacillus subtilis.</w:t>
      </w:r>
      <w:r w:rsidRPr="005D3639">
        <w:rPr>
          <w:rFonts w:ascii="Times New Roman" w:eastAsia="Times New Roman" w:hAnsi="Times New Roman" w:cs="Times New Roman"/>
          <w:sz w:val="24"/>
          <w:szCs w:val="24"/>
        </w:rPr>
        <w:t xml:space="preserve"> We performed batch adsorption experiments with Np(V) solutions as a function of pH, from 2.5 to 8, as a function of total Np concentration from 1.29 × 10</w:t>
      </w:r>
      <w:r w:rsidRPr="005D3639">
        <w:rPr>
          <w:rFonts w:ascii="Times New Roman" w:eastAsia="Times New Roman" w:hAnsi="Times New Roman" w:cs="Times New Roman"/>
          <w:sz w:val="24"/>
          <w:szCs w:val="24"/>
          <w:vertAlign w:val="superscript"/>
        </w:rPr>
        <w:t>−5</w:t>
      </w:r>
      <w:r w:rsidRPr="005D3639">
        <w:rPr>
          <w:rFonts w:ascii="Times New Roman" w:eastAsia="Times New Roman" w:hAnsi="Times New Roman" w:cs="Times New Roman"/>
          <w:sz w:val="24"/>
          <w:szCs w:val="24"/>
        </w:rPr>
        <w:t xml:space="preserve"> M to 2.57 × 10</w:t>
      </w:r>
      <w:r w:rsidRPr="005D3639">
        <w:rPr>
          <w:rFonts w:ascii="Times New Roman" w:eastAsia="Times New Roman" w:hAnsi="Times New Roman" w:cs="Times New Roman"/>
          <w:sz w:val="24"/>
          <w:szCs w:val="24"/>
          <w:vertAlign w:val="superscript"/>
        </w:rPr>
        <w:t>−4</w:t>
      </w:r>
      <w:r w:rsidRPr="005D3639">
        <w:rPr>
          <w:rFonts w:ascii="Times New Roman" w:eastAsia="Times New Roman" w:hAnsi="Times New Roman" w:cs="Times New Roman"/>
          <w:sz w:val="24"/>
          <w:szCs w:val="24"/>
        </w:rPr>
        <w:t xml:space="preserve"> M, and as a function of ionic strength from 0.001 to 0.5 M NaClO</w:t>
      </w:r>
      <w:r w:rsidRPr="005D3639">
        <w:rPr>
          <w:rFonts w:ascii="Times New Roman" w:eastAsia="Times New Roman" w:hAnsi="Times New Roman" w:cs="Times New Roman"/>
          <w:sz w:val="24"/>
          <w:szCs w:val="24"/>
          <w:vertAlign w:val="subscript"/>
        </w:rPr>
        <w:t>4</w:t>
      </w:r>
      <w:r w:rsidRPr="005D3639">
        <w:rPr>
          <w:rFonts w:ascii="Times New Roman" w:eastAsia="Times New Roman" w:hAnsi="Times New Roman" w:cs="Times New Roman"/>
          <w:sz w:val="24"/>
          <w:szCs w:val="24"/>
        </w:rPr>
        <w:t xml:space="preserve">. Under most pH conditions, Np adsorption is reversible and exhibits an inverse relationship with ionic strength, with adsorption increasing with increasing </w:t>
      </w:r>
      <w:proofErr w:type="spellStart"/>
      <w:r w:rsidRPr="005D3639">
        <w:rPr>
          <w:rFonts w:ascii="Times New Roman" w:eastAsia="Times New Roman" w:hAnsi="Times New Roman" w:cs="Times New Roman"/>
          <w:sz w:val="24"/>
          <w:szCs w:val="24"/>
        </w:rPr>
        <w:t>pH.</w:t>
      </w:r>
      <w:proofErr w:type="spellEnd"/>
      <w:r w:rsidRPr="005D3639">
        <w:rPr>
          <w:rFonts w:ascii="Times New Roman" w:eastAsia="Times New Roman" w:hAnsi="Times New Roman" w:cs="Times New Roman"/>
          <w:sz w:val="24"/>
          <w:szCs w:val="24"/>
        </w:rPr>
        <w:t xml:space="preserve"> At low pH in the 0.1 M ionic strength systems, we observed irreversible adsorption, which is consistent with reduction of Np(V) to </w:t>
      </w:r>
      <w:proofErr w:type="gramStart"/>
      <w:r w:rsidRPr="005D3639">
        <w:rPr>
          <w:rFonts w:ascii="Times New Roman" w:eastAsia="Times New Roman" w:hAnsi="Times New Roman" w:cs="Times New Roman"/>
          <w:sz w:val="24"/>
          <w:szCs w:val="24"/>
        </w:rPr>
        <w:t>Np(</w:t>
      </w:r>
      <w:proofErr w:type="gramEnd"/>
      <w:r w:rsidRPr="005D3639">
        <w:rPr>
          <w:rFonts w:ascii="Times New Roman" w:eastAsia="Times New Roman" w:hAnsi="Times New Roman" w:cs="Times New Roman"/>
          <w:sz w:val="24"/>
          <w:szCs w:val="24"/>
        </w:rPr>
        <w:t xml:space="preserve">IV). We model the adsorption reaction using a </w:t>
      </w:r>
      <w:proofErr w:type="spellStart"/>
      <w:r w:rsidRPr="005D3639">
        <w:rPr>
          <w:rFonts w:ascii="Times New Roman" w:eastAsia="Times New Roman" w:hAnsi="Times New Roman" w:cs="Times New Roman"/>
          <w:sz w:val="24"/>
          <w:szCs w:val="24"/>
        </w:rPr>
        <w:t>nonelectrostatic</w:t>
      </w:r>
      <w:proofErr w:type="spellEnd"/>
      <w:r w:rsidRPr="005D3639">
        <w:rPr>
          <w:rFonts w:ascii="Times New Roman" w:eastAsia="Times New Roman" w:hAnsi="Times New Roman" w:cs="Times New Roman"/>
          <w:sz w:val="24"/>
          <w:szCs w:val="24"/>
        </w:rPr>
        <w:t xml:space="preserve"> surface complexation approach to yield ionic strength dependent NpO</w:t>
      </w:r>
      <w:r w:rsidRPr="005D3639">
        <w:rPr>
          <w:rFonts w:ascii="Times New Roman" w:eastAsia="Times New Roman" w:hAnsi="Times New Roman" w:cs="Times New Roman"/>
          <w:sz w:val="24"/>
          <w:szCs w:val="24"/>
          <w:vertAlign w:val="subscript"/>
        </w:rPr>
        <w:t>2</w:t>
      </w:r>
      <w:r w:rsidRPr="005D3639">
        <w:rPr>
          <w:rFonts w:ascii="Times New Roman" w:eastAsia="Times New Roman" w:hAnsi="Times New Roman" w:cs="Times New Roman"/>
          <w:sz w:val="24"/>
          <w:szCs w:val="24"/>
          <w:vertAlign w:val="superscript"/>
        </w:rPr>
        <w:t>+</w:t>
      </w:r>
      <w:r w:rsidRPr="005D3639">
        <w:rPr>
          <w:rFonts w:ascii="Times New Roman" w:eastAsia="Times New Roman" w:hAnsi="Times New Roman" w:cs="Times New Roman"/>
          <w:sz w:val="24"/>
          <w:szCs w:val="24"/>
        </w:rPr>
        <w:t>-bacterial surface stability constants. The data require two bacterial surface complexation reactions to account for the observed adsorption behavior: R-L</w:t>
      </w:r>
      <w:r w:rsidRPr="005D3639">
        <w:rPr>
          <w:rFonts w:ascii="Times New Roman" w:eastAsia="Times New Roman" w:hAnsi="Times New Roman" w:cs="Times New Roman"/>
          <w:sz w:val="24"/>
          <w:szCs w:val="24"/>
          <w:vertAlign w:val="subscript"/>
        </w:rPr>
        <w:t>1</w:t>
      </w:r>
      <w:r w:rsidRPr="005D3639">
        <w:rPr>
          <w:rFonts w:ascii="Times New Roman" w:eastAsia="Times New Roman" w:hAnsi="Times New Roman" w:cs="Times New Roman"/>
          <w:sz w:val="24"/>
          <w:szCs w:val="24"/>
          <w:vertAlign w:val="superscript"/>
        </w:rPr>
        <w:t>−</w:t>
      </w:r>
      <w:r w:rsidRPr="005D3639">
        <w:rPr>
          <w:rFonts w:ascii="Times New Roman" w:eastAsia="Times New Roman" w:hAnsi="Times New Roman" w:cs="Times New Roman"/>
          <w:sz w:val="24"/>
          <w:szCs w:val="24"/>
        </w:rPr>
        <w:t xml:space="preserve"> + NpO</w:t>
      </w:r>
      <w:r w:rsidRPr="005D3639">
        <w:rPr>
          <w:rFonts w:ascii="Times New Roman" w:eastAsia="Times New Roman" w:hAnsi="Times New Roman" w:cs="Times New Roman"/>
          <w:sz w:val="24"/>
          <w:szCs w:val="24"/>
          <w:vertAlign w:val="subscript"/>
        </w:rPr>
        <w:t>2</w:t>
      </w:r>
      <w:r w:rsidRPr="005D3639">
        <w:rPr>
          <w:rFonts w:ascii="Times New Roman" w:eastAsia="Times New Roman" w:hAnsi="Times New Roman" w:cs="Times New Roman"/>
          <w:sz w:val="24"/>
          <w:szCs w:val="24"/>
          <w:vertAlign w:val="superscript"/>
        </w:rPr>
        <w:t>+</w:t>
      </w:r>
      <w:r w:rsidRPr="005D3639">
        <w:rPr>
          <w:rFonts w:ascii="Times New Roman" w:eastAsia="Times New Roman" w:hAnsi="Times New Roman" w:cs="Times New Roman"/>
          <w:sz w:val="24"/>
          <w:szCs w:val="24"/>
        </w:rPr>
        <w:t xml:space="preserve"> ↔ R-L</w:t>
      </w:r>
      <w:r w:rsidRPr="005D3639">
        <w:rPr>
          <w:rFonts w:ascii="Times New Roman" w:eastAsia="Times New Roman" w:hAnsi="Times New Roman" w:cs="Times New Roman"/>
          <w:sz w:val="24"/>
          <w:szCs w:val="24"/>
          <w:vertAlign w:val="subscript"/>
        </w:rPr>
        <w:t>1</w:t>
      </w:r>
      <w:r w:rsidRPr="005D3639">
        <w:rPr>
          <w:rFonts w:ascii="Times New Roman" w:eastAsia="Times New Roman" w:hAnsi="Times New Roman" w:cs="Times New Roman"/>
          <w:sz w:val="24"/>
          <w:szCs w:val="24"/>
        </w:rPr>
        <w:t>-NpO</w:t>
      </w:r>
      <w:r w:rsidRPr="005D3639">
        <w:rPr>
          <w:rFonts w:ascii="Times New Roman" w:eastAsia="Times New Roman" w:hAnsi="Times New Roman" w:cs="Times New Roman"/>
          <w:sz w:val="24"/>
          <w:szCs w:val="24"/>
          <w:vertAlign w:val="subscript"/>
        </w:rPr>
        <w:t>2</w:t>
      </w:r>
      <w:r w:rsidRPr="005D3639">
        <w:rPr>
          <w:rFonts w:ascii="Times New Roman" w:eastAsia="Times New Roman" w:hAnsi="Times New Roman" w:cs="Times New Roman"/>
          <w:sz w:val="24"/>
          <w:szCs w:val="24"/>
          <w:vertAlign w:val="superscript"/>
        </w:rPr>
        <w:t>°</w:t>
      </w:r>
      <w:r w:rsidRPr="005D3639">
        <w:rPr>
          <w:rFonts w:ascii="Times New Roman" w:eastAsia="Times New Roman" w:hAnsi="Times New Roman" w:cs="Times New Roman"/>
          <w:sz w:val="24"/>
          <w:szCs w:val="24"/>
        </w:rPr>
        <w:t xml:space="preserve"> and R-L</w:t>
      </w:r>
      <w:r w:rsidRPr="005D3639">
        <w:rPr>
          <w:rFonts w:ascii="Times New Roman" w:eastAsia="Times New Roman" w:hAnsi="Times New Roman" w:cs="Times New Roman"/>
          <w:sz w:val="24"/>
          <w:szCs w:val="24"/>
          <w:vertAlign w:val="subscript"/>
        </w:rPr>
        <w:t>2</w:t>
      </w:r>
      <w:r w:rsidRPr="005D3639">
        <w:rPr>
          <w:rFonts w:ascii="Times New Roman" w:eastAsia="Times New Roman" w:hAnsi="Times New Roman" w:cs="Times New Roman"/>
          <w:sz w:val="24"/>
          <w:szCs w:val="24"/>
          <w:vertAlign w:val="superscript"/>
        </w:rPr>
        <w:t>−</w:t>
      </w:r>
      <w:r w:rsidRPr="005D3639">
        <w:rPr>
          <w:rFonts w:ascii="Times New Roman" w:eastAsia="Times New Roman" w:hAnsi="Times New Roman" w:cs="Times New Roman"/>
          <w:sz w:val="24"/>
          <w:szCs w:val="24"/>
        </w:rPr>
        <w:t xml:space="preserve"> + NpO</w:t>
      </w:r>
      <w:r w:rsidRPr="005D3639">
        <w:rPr>
          <w:rFonts w:ascii="Times New Roman" w:eastAsia="Times New Roman" w:hAnsi="Times New Roman" w:cs="Times New Roman"/>
          <w:sz w:val="24"/>
          <w:szCs w:val="24"/>
          <w:vertAlign w:val="subscript"/>
        </w:rPr>
        <w:t>2</w:t>
      </w:r>
      <w:r w:rsidRPr="005D3639">
        <w:rPr>
          <w:rFonts w:ascii="Times New Roman" w:eastAsia="Times New Roman" w:hAnsi="Times New Roman" w:cs="Times New Roman"/>
          <w:sz w:val="24"/>
          <w:szCs w:val="24"/>
          <w:vertAlign w:val="superscript"/>
        </w:rPr>
        <w:t>+</w:t>
      </w:r>
      <w:r w:rsidRPr="005D3639">
        <w:rPr>
          <w:rFonts w:ascii="Times New Roman" w:eastAsia="Times New Roman" w:hAnsi="Times New Roman" w:cs="Times New Roman"/>
          <w:sz w:val="24"/>
          <w:szCs w:val="24"/>
        </w:rPr>
        <w:t xml:space="preserve"> ↔ R-L</w:t>
      </w:r>
      <w:r w:rsidRPr="005D3639">
        <w:rPr>
          <w:rFonts w:ascii="Times New Roman" w:eastAsia="Times New Roman" w:hAnsi="Times New Roman" w:cs="Times New Roman"/>
          <w:sz w:val="24"/>
          <w:szCs w:val="24"/>
          <w:vertAlign w:val="subscript"/>
        </w:rPr>
        <w:t>2</w:t>
      </w:r>
      <w:r w:rsidRPr="005D3639">
        <w:rPr>
          <w:rFonts w:ascii="Times New Roman" w:eastAsia="Times New Roman" w:hAnsi="Times New Roman" w:cs="Times New Roman"/>
          <w:sz w:val="24"/>
          <w:szCs w:val="24"/>
        </w:rPr>
        <w:t>-NpO</w:t>
      </w:r>
      <w:r w:rsidRPr="005D3639">
        <w:rPr>
          <w:rFonts w:ascii="Times New Roman" w:eastAsia="Times New Roman" w:hAnsi="Times New Roman" w:cs="Times New Roman"/>
          <w:sz w:val="24"/>
          <w:szCs w:val="24"/>
          <w:vertAlign w:val="subscript"/>
        </w:rPr>
        <w:t>2</w:t>
      </w:r>
      <w:r w:rsidRPr="005D3639">
        <w:rPr>
          <w:rFonts w:ascii="Times New Roman" w:eastAsia="Times New Roman" w:hAnsi="Times New Roman" w:cs="Times New Roman"/>
          <w:sz w:val="24"/>
          <w:szCs w:val="24"/>
          <w:vertAlign w:val="superscript"/>
        </w:rPr>
        <w:t>°</w:t>
      </w:r>
      <w:r w:rsidRPr="005D3639">
        <w:rPr>
          <w:rFonts w:ascii="Times New Roman" w:eastAsia="Times New Roman" w:hAnsi="Times New Roman" w:cs="Times New Roman"/>
          <w:sz w:val="24"/>
          <w:szCs w:val="24"/>
        </w:rPr>
        <w:t>, where R represents the bacterium to which each functional group is attached, and L</w:t>
      </w:r>
      <w:r w:rsidRPr="005D3639">
        <w:rPr>
          <w:rFonts w:ascii="Times New Roman" w:eastAsia="Times New Roman" w:hAnsi="Times New Roman" w:cs="Times New Roman"/>
          <w:sz w:val="24"/>
          <w:szCs w:val="24"/>
          <w:vertAlign w:val="subscript"/>
        </w:rPr>
        <w:t>1</w:t>
      </w:r>
      <w:r w:rsidRPr="005D3639">
        <w:rPr>
          <w:rFonts w:ascii="Times New Roman" w:eastAsia="Times New Roman" w:hAnsi="Times New Roman" w:cs="Times New Roman"/>
          <w:sz w:val="24"/>
          <w:szCs w:val="24"/>
        </w:rPr>
        <w:t xml:space="preserve"> and L</w:t>
      </w:r>
      <w:r w:rsidRPr="005D3639">
        <w:rPr>
          <w:rFonts w:ascii="Times New Roman" w:eastAsia="Times New Roman" w:hAnsi="Times New Roman" w:cs="Times New Roman"/>
          <w:sz w:val="24"/>
          <w:szCs w:val="24"/>
          <w:vertAlign w:val="subscript"/>
        </w:rPr>
        <w:t>2</w:t>
      </w:r>
      <w:r w:rsidRPr="005D3639">
        <w:rPr>
          <w:rFonts w:ascii="Times New Roman" w:eastAsia="Times New Roman" w:hAnsi="Times New Roman" w:cs="Times New Roman"/>
          <w:sz w:val="24"/>
          <w:szCs w:val="24"/>
        </w:rPr>
        <w:t xml:space="preserve"> represent the first and second of four discrete site types on the bacterial surface. Stability constants (log </w:t>
      </w:r>
      <w:r w:rsidRPr="005D3639">
        <w:rPr>
          <w:rFonts w:ascii="Times New Roman" w:eastAsia="Times New Roman" w:hAnsi="Times New Roman" w:cs="Times New Roman"/>
          <w:i/>
          <w:iCs/>
          <w:sz w:val="24"/>
          <w:szCs w:val="24"/>
        </w:rPr>
        <w:t>K</w:t>
      </w:r>
      <w:r w:rsidRPr="005D3639">
        <w:rPr>
          <w:rFonts w:ascii="Times New Roman" w:eastAsia="Times New Roman" w:hAnsi="Times New Roman" w:cs="Times New Roman"/>
          <w:sz w:val="24"/>
          <w:szCs w:val="24"/>
        </w:rPr>
        <w:t xml:space="preserve"> values) for the L</w:t>
      </w:r>
      <w:r w:rsidRPr="005D3639">
        <w:rPr>
          <w:rFonts w:ascii="Times New Roman" w:eastAsia="Times New Roman" w:hAnsi="Times New Roman" w:cs="Times New Roman"/>
          <w:sz w:val="24"/>
          <w:szCs w:val="24"/>
          <w:vertAlign w:val="subscript"/>
        </w:rPr>
        <w:t>1</w:t>
      </w:r>
      <w:r w:rsidRPr="005D3639">
        <w:rPr>
          <w:rFonts w:ascii="Times New Roman" w:eastAsia="Times New Roman" w:hAnsi="Times New Roman" w:cs="Times New Roman"/>
          <w:sz w:val="24"/>
          <w:szCs w:val="24"/>
        </w:rPr>
        <w:t xml:space="preserve"> and L</w:t>
      </w:r>
      <w:r w:rsidRPr="005D3639">
        <w:rPr>
          <w:rFonts w:ascii="Times New Roman" w:eastAsia="Times New Roman" w:hAnsi="Times New Roman" w:cs="Times New Roman"/>
          <w:sz w:val="24"/>
          <w:szCs w:val="24"/>
          <w:vertAlign w:val="subscript"/>
        </w:rPr>
        <w:t>2</w:t>
      </w:r>
      <w:r w:rsidRPr="005D3639">
        <w:rPr>
          <w:rFonts w:ascii="Times New Roman" w:eastAsia="Times New Roman" w:hAnsi="Times New Roman" w:cs="Times New Roman"/>
          <w:sz w:val="24"/>
          <w:szCs w:val="24"/>
        </w:rPr>
        <w:t xml:space="preserve"> reactions in the 0.001 M system are 2.3 ± 0.3 and 2.3 ± 0.2, and in the 0.1 M system the values are 1.7 ± 0.2 and 1.6 ± 0.2, respectively. The calculated </w:t>
      </w:r>
      <w:proofErr w:type="spellStart"/>
      <w:r w:rsidRPr="005D3639">
        <w:rPr>
          <w:rFonts w:ascii="Times New Roman" w:eastAsia="Times New Roman" w:hAnsi="Times New Roman" w:cs="Times New Roman"/>
          <w:sz w:val="24"/>
          <w:szCs w:val="24"/>
        </w:rPr>
        <w:t>neptunyl</w:t>
      </w:r>
      <w:proofErr w:type="spellEnd"/>
      <w:r w:rsidRPr="005D3639">
        <w:rPr>
          <w:rFonts w:ascii="Times New Roman" w:eastAsia="Times New Roman" w:hAnsi="Times New Roman" w:cs="Times New Roman"/>
          <w:sz w:val="24"/>
          <w:szCs w:val="24"/>
        </w:rPr>
        <w:t xml:space="preserve">-bacterial surface stability constants are not consistent with values predicted using the linear free energy correlation approach from </w:t>
      </w:r>
      <w:hyperlink r:id="rId6" w:anchor="bib11" w:history="1">
        <w:r w:rsidRPr="005D3639">
          <w:rPr>
            <w:rFonts w:ascii="Times New Roman" w:eastAsia="Times New Roman" w:hAnsi="Times New Roman" w:cs="Times New Roman"/>
            <w:color w:val="0000FF"/>
            <w:sz w:val="24"/>
            <w:szCs w:val="24"/>
            <w:u w:val="single"/>
          </w:rPr>
          <w:t>Fein et al. (2001)</w:t>
        </w:r>
      </w:hyperlink>
      <w:r w:rsidRPr="005D3639">
        <w:rPr>
          <w:rFonts w:ascii="Times New Roman" w:eastAsia="Times New Roman" w:hAnsi="Times New Roman" w:cs="Times New Roman"/>
          <w:sz w:val="24"/>
          <w:szCs w:val="24"/>
        </w:rPr>
        <w:t>, suggesting that possible unfavorable steric interactions and the low charge of NpO</w:t>
      </w:r>
      <w:r w:rsidRPr="005D3639">
        <w:rPr>
          <w:rFonts w:ascii="Times New Roman" w:eastAsia="Times New Roman" w:hAnsi="Times New Roman" w:cs="Times New Roman"/>
          <w:sz w:val="24"/>
          <w:szCs w:val="24"/>
          <w:vertAlign w:val="subscript"/>
        </w:rPr>
        <w:t>2</w:t>
      </w:r>
      <w:r w:rsidRPr="005D3639">
        <w:rPr>
          <w:rFonts w:ascii="Times New Roman" w:eastAsia="Times New Roman" w:hAnsi="Times New Roman" w:cs="Times New Roman"/>
          <w:sz w:val="24"/>
          <w:szCs w:val="24"/>
          <w:vertAlign w:val="superscript"/>
        </w:rPr>
        <w:t>+</w:t>
      </w:r>
      <w:r w:rsidRPr="005D3639">
        <w:rPr>
          <w:rFonts w:ascii="Times New Roman" w:eastAsia="Times New Roman" w:hAnsi="Times New Roman" w:cs="Times New Roman"/>
          <w:sz w:val="24"/>
          <w:szCs w:val="24"/>
        </w:rPr>
        <w:t xml:space="preserve"> affects Np-bacterial adsorption.</w:t>
      </w:r>
    </w:p>
    <w:p w:rsidR="005D3639" w:rsidRPr="005D3639" w:rsidRDefault="005D3639" w:rsidP="005D3639">
      <w:pPr>
        <w:spacing w:before="100" w:beforeAutospacing="1" w:after="100" w:afterAutospacing="1" w:line="240" w:lineRule="auto"/>
        <w:outlineLvl w:val="1"/>
        <w:rPr>
          <w:rFonts w:ascii="Times New Roman" w:eastAsia="Times New Roman" w:hAnsi="Times New Roman" w:cs="Times New Roman"/>
          <w:b/>
          <w:bCs/>
          <w:sz w:val="36"/>
          <w:szCs w:val="36"/>
        </w:rPr>
      </w:pPr>
      <w:r w:rsidRPr="005D3639">
        <w:rPr>
          <w:rFonts w:ascii="Times New Roman" w:eastAsia="Times New Roman" w:hAnsi="Times New Roman" w:cs="Times New Roman"/>
          <w:b/>
          <w:bCs/>
          <w:sz w:val="36"/>
          <w:szCs w:val="36"/>
        </w:rPr>
        <w:t>Introduction</w:t>
      </w:r>
    </w:p>
    <w:p w:rsidR="005D3639" w:rsidRPr="005D3639" w:rsidRDefault="005D3639" w:rsidP="005D3639">
      <w:pPr>
        <w:spacing w:before="100" w:beforeAutospacing="1" w:after="100" w:afterAutospacing="1" w:line="240" w:lineRule="auto"/>
        <w:rPr>
          <w:rFonts w:ascii="Times New Roman" w:eastAsia="Times New Roman" w:hAnsi="Times New Roman" w:cs="Times New Roman"/>
          <w:sz w:val="24"/>
          <w:szCs w:val="24"/>
        </w:rPr>
      </w:pPr>
      <w:r w:rsidRPr="005D3639">
        <w:rPr>
          <w:rFonts w:ascii="Times New Roman" w:eastAsia="Times New Roman" w:hAnsi="Times New Roman" w:cs="Times New Roman"/>
          <w:sz w:val="24"/>
          <w:szCs w:val="24"/>
        </w:rPr>
        <w:t>Neptunium (Np, atomic number 93) is a 5f, manmade element that is produced as a byproduct of nuclear fission in nuclear fuel. Like the other light actinides, it has complex solution chemistry and can be found as dissolved Np</w:t>
      </w:r>
      <w:r w:rsidRPr="005D3639">
        <w:rPr>
          <w:rFonts w:ascii="Times New Roman" w:eastAsia="Times New Roman" w:hAnsi="Times New Roman" w:cs="Times New Roman"/>
          <w:sz w:val="24"/>
          <w:szCs w:val="24"/>
          <w:vertAlign w:val="superscript"/>
        </w:rPr>
        <w:t>3+</w:t>
      </w:r>
      <w:r w:rsidRPr="005D3639">
        <w:rPr>
          <w:rFonts w:ascii="Times New Roman" w:eastAsia="Times New Roman" w:hAnsi="Times New Roman" w:cs="Times New Roman"/>
          <w:sz w:val="24"/>
          <w:szCs w:val="24"/>
        </w:rPr>
        <w:t>, Np</w:t>
      </w:r>
      <w:r w:rsidRPr="005D3639">
        <w:rPr>
          <w:rFonts w:ascii="Times New Roman" w:eastAsia="Times New Roman" w:hAnsi="Times New Roman" w:cs="Times New Roman"/>
          <w:sz w:val="24"/>
          <w:szCs w:val="24"/>
          <w:vertAlign w:val="superscript"/>
        </w:rPr>
        <w:t>4+</w:t>
      </w:r>
      <w:r w:rsidRPr="005D3639">
        <w:rPr>
          <w:rFonts w:ascii="Times New Roman" w:eastAsia="Times New Roman" w:hAnsi="Times New Roman" w:cs="Times New Roman"/>
          <w:sz w:val="24"/>
          <w:szCs w:val="24"/>
        </w:rPr>
        <w:t>, NpO</w:t>
      </w:r>
      <w:r w:rsidRPr="005D3639">
        <w:rPr>
          <w:rFonts w:ascii="Times New Roman" w:eastAsia="Times New Roman" w:hAnsi="Times New Roman" w:cs="Times New Roman"/>
          <w:sz w:val="24"/>
          <w:szCs w:val="24"/>
          <w:vertAlign w:val="subscript"/>
        </w:rPr>
        <w:t>2</w:t>
      </w:r>
      <w:r w:rsidRPr="005D3639">
        <w:rPr>
          <w:rFonts w:ascii="Times New Roman" w:eastAsia="Times New Roman" w:hAnsi="Times New Roman" w:cs="Times New Roman"/>
          <w:sz w:val="24"/>
          <w:szCs w:val="24"/>
          <w:vertAlign w:val="superscript"/>
        </w:rPr>
        <w:t>+</w:t>
      </w:r>
      <w:r w:rsidRPr="005D3639">
        <w:rPr>
          <w:rFonts w:ascii="Times New Roman" w:eastAsia="Times New Roman" w:hAnsi="Times New Roman" w:cs="Times New Roman"/>
          <w:sz w:val="24"/>
          <w:szCs w:val="24"/>
        </w:rPr>
        <w:t>, or NpO</w:t>
      </w:r>
      <w:r w:rsidRPr="005D3639">
        <w:rPr>
          <w:rFonts w:ascii="Times New Roman" w:eastAsia="Times New Roman" w:hAnsi="Times New Roman" w:cs="Times New Roman"/>
          <w:sz w:val="24"/>
          <w:szCs w:val="24"/>
          <w:vertAlign w:val="subscript"/>
        </w:rPr>
        <w:t>2</w:t>
      </w:r>
      <w:r w:rsidRPr="005D3639">
        <w:rPr>
          <w:rFonts w:ascii="Times New Roman" w:eastAsia="Times New Roman" w:hAnsi="Times New Roman" w:cs="Times New Roman"/>
          <w:sz w:val="24"/>
          <w:szCs w:val="24"/>
          <w:vertAlign w:val="superscript"/>
        </w:rPr>
        <w:t>2+</w:t>
      </w:r>
      <w:r w:rsidRPr="005D3639">
        <w:rPr>
          <w:rFonts w:ascii="Times New Roman" w:eastAsia="Times New Roman" w:hAnsi="Times New Roman" w:cs="Times New Roman"/>
          <w:sz w:val="24"/>
          <w:szCs w:val="24"/>
        </w:rPr>
        <w:t xml:space="preserve"> ions under aqueous conditions relevant to natural systems (Fahey, 1986). The </w:t>
      </w:r>
      <w:proofErr w:type="spellStart"/>
      <w:r w:rsidRPr="005D3639">
        <w:rPr>
          <w:rFonts w:ascii="Times New Roman" w:eastAsia="Times New Roman" w:hAnsi="Times New Roman" w:cs="Times New Roman"/>
          <w:sz w:val="24"/>
          <w:szCs w:val="24"/>
        </w:rPr>
        <w:t>neptunyl</w:t>
      </w:r>
      <w:proofErr w:type="spellEnd"/>
      <w:r w:rsidRPr="005D3639">
        <w:rPr>
          <w:rFonts w:ascii="Times New Roman" w:eastAsia="Times New Roman" w:hAnsi="Times New Roman" w:cs="Times New Roman"/>
          <w:sz w:val="24"/>
          <w:szCs w:val="24"/>
        </w:rPr>
        <w:t>(V) ion (NpO</w:t>
      </w:r>
      <w:r w:rsidRPr="005D3639">
        <w:rPr>
          <w:rFonts w:ascii="Times New Roman" w:eastAsia="Times New Roman" w:hAnsi="Times New Roman" w:cs="Times New Roman"/>
          <w:sz w:val="24"/>
          <w:szCs w:val="24"/>
          <w:vertAlign w:val="subscript"/>
        </w:rPr>
        <w:t>2</w:t>
      </w:r>
      <w:r w:rsidRPr="005D3639">
        <w:rPr>
          <w:rFonts w:ascii="Times New Roman" w:eastAsia="Times New Roman" w:hAnsi="Times New Roman" w:cs="Times New Roman"/>
          <w:sz w:val="24"/>
          <w:szCs w:val="24"/>
          <w:vertAlign w:val="superscript"/>
        </w:rPr>
        <w:t>+</w:t>
      </w:r>
      <w:r w:rsidRPr="005D3639">
        <w:rPr>
          <w:rFonts w:ascii="Times New Roman" w:eastAsia="Times New Roman" w:hAnsi="Times New Roman" w:cs="Times New Roman"/>
          <w:sz w:val="24"/>
          <w:szCs w:val="24"/>
        </w:rPr>
        <w:t xml:space="preserve">) is expected to be the most common species in natural environments. Np(V) is readily soluble and therefore mobile, which together with the long lifetime of </w:t>
      </w:r>
      <w:r w:rsidRPr="005D3639">
        <w:rPr>
          <w:rFonts w:ascii="Times New Roman" w:eastAsia="Times New Roman" w:hAnsi="Times New Roman" w:cs="Times New Roman"/>
          <w:sz w:val="24"/>
          <w:szCs w:val="24"/>
          <w:vertAlign w:val="superscript"/>
        </w:rPr>
        <w:t>237</w:t>
      </w:r>
      <w:r w:rsidRPr="005D3639">
        <w:rPr>
          <w:rFonts w:ascii="Times New Roman" w:eastAsia="Times New Roman" w:hAnsi="Times New Roman" w:cs="Times New Roman"/>
          <w:sz w:val="24"/>
          <w:szCs w:val="24"/>
        </w:rPr>
        <w:t>Np, makes it one of the most problematic elements for long term nuclear waste storage. The long-term performance of geologic nuclear repositories is dependent on the environmental mobility of Np, but the fate and transport of Np in the subsurface is difficult to predict because of its complex redox chemistry and because its tendency to adsorb onto common mineral and organic surfaces has not been well characterized. Bacteria, which can adsorb a wide range of aqueous cations, are ubiquitous in near-surface environments and, therefore, bacterial cell wall adsorption may affect the mobility of Np.</w:t>
      </w:r>
    </w:p>
    <w:p w:rsidR="005D3639" w:rsidRPr="005D3639" w:rsidRDefault="005D3639" w:rsidP="005D3639">
      <w:pPr>
        <w:spacing w:before="100" w:beforeAutospacing="1" w:after="100" w:afterAutospacing="1" w:line="240" w:lineRule="auto"/>
        <w:rPr>
          <w:rFonts w:ascii="Times New Roman" w:eastAsia="Times New Roman" w:hAnsi="Times New Roman" w:cs="Times New Roman"/>
          <w:sz w:val="24"/>
          <w:szCs w:val="24"/>
        </w:rPr>
      </w:pPr>
      <w:r w:rsidRPr="005D3639">
        <w:rPr>
          <w:rFonts w:ascii="Times New Roman" w:eastAsia="Times New Roman" w:hAnsi="Times New Roman" w:cs="Times New Roman"/>
          <w:sz w:val="24"/>
          <w:szCs w:val="24"/>
        </w:rPr>
        <w:t>The redox potential (E</w:t>
      </w:r>
      <w:r w:rsidRPr="005D3639">
        <w:rPr>
          <w:rFonts w:ascii="Times New Roman" w:eastAsia="Times New Roman" w:hAnsi="Times New Roman" w:cs="Times New Roman"/>
          <w:sz w:val="24"/>
          <w:szCs w:val="24"/>
          <w:vertAlign w:val="subscript"/>
        </w:rPr>
        <w:t>h</w:t>
      </w:r>
      <w:r w:rsidRPr="005D3639">
        <w:rPr>
          <w:rFonts w:ascii="Times New Roman" w:eastAsia="Times New Roman" w:hAnsi="Times New Roman" w:cs="Times New Roman"/>
          <w:sz w:val="24"/>
          <w:szCs w:val="24"/>
        </w:rPr>
        <w:t xml:space="preserve">) of a system controls whether Np is present as the soluble </w:t>
      </w:r>
      <w:proofErr w:type="spellStart"/>
      <w:r w:rsidRPr="005D3639">
        <w:rPr>
          <w:rFonts w:ascii="Times New Roman" w:eastAsia="Times New Roman" w:hAnsi="Times New Roman" w:cs="Times New Roman"/>
          <w:sz w:val="24"/>
          <w:szCs w:val="24"/>
        </w:rPr>
        <w:t>neptunyl</w:t>
      </w:r>
      <w:proofErr w:type="spellEnd"/>
      <w:r w:rsidRPr="005D3639">
        <w:rPr>
          <w:rFonts w:ascii="Times New Roman" w:eastAsia="Times New Roman" w:hAnsi="Times New Roman" w:cs="Times New Roman"/>
          <w:sz w:val="24"/>
          <w:szCs w:val="24"/>
        </w:rPr>
        <w:t>(V) cation (NpO</w:t>
      </w:r>
      <w:r w:rsidRPr="005D3639">
        <w:rPr>
          <w:rFonts w:ascii="Times New Roman" w:eastAsia="Times New Roman" w:hAnsi="Times New Roman" w:cs="Times New Roman"/>
          <w:sz w:val="24"/>
          <w:szCs w:val="24"/>
          <w:vertAlign w:val="subscript"/>
        </w:rPr>
        <w:t>2</w:t>
      </w:r>
      <w:r w:rsidRPr="005D3639">
        <w:rPr>
          <w:rFonts w:ascii="Times New Roman" w:eastAsia="Times New Roman" w:hAnsi="Times New Roman" w:cs="Times New Roman"/>
          <w:sz w:val="24"/>
          <w:szCs w:val="24"/>
          <w:vertAlign w:val="superscript"/>
        </w:rPr>
        <w:t>+</w:t>
      </w:r>
      <w:r w:rsidRPr="005D3639">
        <w:rPr>
          <w:rFonts w:ascii="Times New Roman" w:eastAsia="Times New Roman" w:hAnsi="Times New Roman" w:cs="Times New Roman"/>
          <w:sz w:val="24"/>
          <w:szCs w:val="24"/>
        </w:rPr>
        <w:t>), or as relatively insoluble Np</w:t>
      </w:r>
      <w:r w:rsidRPr="005D3639">
        <w:rPr>
          <w:rFonts w:ascii="Times New Roman" w:eastAsia="Times New Roman" w:hAnsi="Times New Roman" w:cs="Times New Roman"/>
          <w:sz w:val="24"/>
          <w:szCs w:val="24"/>
          <w:vertAlign w:val="superscript"/>
        </w:rPr>
        <w:t>4+</w:t>
      </w:r>
      <w:r w:rsidRPr="005D3639">
        <w:rPr>
          <w:rFonts w:ascii="Times New Roman" w:eastAsia="Times New Roman" w:hAnsi="Times New Roman" w:cs="Times New Roman"/>
          <w:sz w:val="24"/>
          <w:szCs w:val="24"/>
        </w:rPr>
        <w:t xml:space="preserve"> species. Np(V), the dominant solution species, tends </w:t>
      </w:r>
      <w:r w:rsidRPr="005D3639">
        <w:rPr>
          <w:rFonts w:ascii="Times New Roman" w:eastAsia="Times New Roman" w:hAnsi="Times New Roman" w:cs="Times New Roman"/>
          <w:sz w:val="24"/>
          <w:szCs w:val="24"/>
        </w:rPr>
        <w:lastRenderedPageBreak/>
        <w:t xml:space="preserve">to form less stable complexes (Keller, 1971) and therefore is less likely to adsorb to surfaces than is </w:t>
      </w:r>
      <w:proofErr w:type="gramStart"/>
      <w:r w:rsidRPr="005D3639">
        <w:rPr>
          <w:rFonts w:ascii="Times New Roman" w:eastAsia="Times New Roman" w:hAnsi="Times New Roman" w:cs="Times New Roman"/>
          <w:sz w:val="24"/>
          <w:szCs w:val="24"/>
        </w:rPr>
        <w:t>Np(</w:t>
      </w:r>
      <w:proofErr w:type="gramEnd"/>
      <w:r w:rsidRPr="005D3639">
        <w:rPr>
          <w:rFonts w:ascii="Times New Roman" w:eastAsia="Times New Roman" w:hAnsi="Times New Roman" w:cs="Times New Roman"/>
          <w:sz w:val="24"/>
          <w:szCs w:val="24"/>
        </w:rPr>
        <w:t xml:space="preserve">IV). </w:t>
      </w:r>
      <w:proofErr w:type="gramStart"/>
      <w:r w:rsidRPr="005D3639">
        <w:rPr>
          <w:rFonts w:ascii="Times New Roman" w:eastAsia="Times New Roman" w:hAnsi="Times New Roman" w:cs="Times New Roman"/>
          <w:sz w:val="24"/>
          <w:szCs w:val="24"/>
        </w:rPr>
        <w:t>Np(</w:t>
      </w:r>
      <w:proofErr w:type="gramEnd"/>
      <w:r w:rsidRPr="005D3639">
        <w:rPr>
          <w:rFonts w:ascii="Times New Roman" w:eastAsia="Times New Roman" w:hAnsi="Times New Roman" w:cs="Times New Roman"/>
          <w:sz w:val="24"/>
          <w:szCs w:val="24"/>
        </w:rPr>
        <w:t xml:space="preserve">IV) also is generally less soluble than Np(V), (Lemire et al., 2001) and both of these properties suggest that the mobility of Np(IV) is considerably lower than that of Np(V) in the subsurface. To date, most Np-related geomicrobiological research has focused on the microbial reduction of Np(V) to </w:t>
      </w:r>
      <w:proofErr w:type="gramStart"/>
      <w:r w:rsidRPr="005D3639">
        <w:rPr>
          <w:rFonts w:ascii="Times New Roman" w:eastAsia="Times New Roman" w:hAnsi="Times New Roman" w:cs="Times New Roman"/>
          <w:sz w:val="24"/>
          <w:szCs w:val="24"/>
        </w:rPr>
        <w:t>Np(</w:t>
      </w:r>
      <w:proofErr w:type="gramEnd"/>
      <w:r w:rsidRPr="005D3639">
        <w:rPr>
          <w:rFonts w:ascii="Times New Roman" w:eastAsia="Times New Roman" w:hAnsi="Times New Roman" w:cs="Times New Roman"/>
          <w:sz w:val="24"/>
          <w:szCs w:val="24"/>
        </w:rPr>
        <w:t xml:space="preserve">IV) (Banaszak et al 1998, Banaszak et al 1999, Lloyd et al 2000, </w:t>
      </w:r>
      <w:proofErr w:type="spellStart"/>
      <w:r w:rsidRPr="005D3639">
        <w:rPr>
          <w:rFonts w:ascii="Times New Roman" w:eastAsia="Times New Roman" w:hAnsi="Times New Roman" w:cs="Times New Roman"/>
          <w:sz w:val="24"/>
          <w:szCs w:val="24"/>
        </w:rPr>
        <w:t>Soderholm</w:t>
      </w:r>
      <w:proofErr w:type="spellEnd"/>
      <w:r w:rsidRPr="005D3639">
        <w:rPr>
          <w:rFonts w:ascii="Times New Roman" w:eastAsia="Times New Roman" w:hAnsi="Times New Roman" w:cs="Times New Roman"/>
          <w:sz w:val="24"/>
          <w:szCs w:val="24"/>
        </w:rPr>
        <w:t xml:space="preserve"> et al 2000, </w:t>
      </w:r>
      <w:proofErr w:type="spellStart"/>
      <w:r w:rsidRPr="005D3639">
        <w:rPr>
          <w:rFonts w:ascii="Times New Roman" w:eastAsia="Times New Roman" w:hAnsi="Times New Roman" w:cs="Times New Roman"/>
          <w:sz w:val="24"/>
          <w:szCs w:val="24"/>
        </w:rPr>
        <w:t>Rittmann</w:t>
      </w:r>
      <w:proofErr w:type="spellEnd"/>
      <w:r w:rsidRPr="005D3639">
        <w:rPr>
          <w:rFonts w:ascii="Times New Roman" w:eastAsia="Times New Roman" w:hAnsi="Times New Roman" w:cs="Times New Roman"/>
          <w:sz w:val="24"/>
          <w:szCs w:val="24"/>
        </w:rPr>
        <w:t xml:space="preserve"> et al 2003). Np(V) adsorption onto bacterial cell walls has received relatively little attention. </w:t>
      </w:r>
      <w:proofErr w:type="spellStart"/>
      <w:r w:rsidRPr="005D3639">
        <w:rPr>
          <w:rFonts w:ascii="Times New Roman" w:eastAsia="Times New Roman" w:hAnsi="Times New Roman" w:cs="Times New Roman"/>
          <w:sz w:val="24"/>
          <w:szCs w:val="24"/>
        </w:rPr>
        <w:t>Songkasiri</w:t>
      </w:r>
      <w:proofErr w:type="spellEnd"/>
      <w:r w:rsidRPr="005D3639">
        <w:rPr>
          <w:rFonts w:ascii="Times New Roman" w:eastAsia="Times New Roman" w:hAnsi="Times New Roman" w:cs="Times New Roman"/>
          <w:sz w:val="24"/>
          <w:szCs w:val="24"/>
        </w:rPr>
        <w:t xml:space="preserve"> et al. (2002) measured Np(V) adsorption onto the gram-negative species </w:t>
      </w:r>
      <w:r w:rsidRPr="005D3639">
        <w:rPr>
          <w:rFonts w:ascii="Times New Roman" w:eastAsia="Times New Roman" w:hAnsi="Times New Roman" w:cs="Times New Roman"/>
          <w:i/>
          <w:iCs/>
          <w:sz w:val="24"/>
          <w:szCs w:val="24"/>
        </w:rPr>
        <w:t>Pseudomonas fluorescens</w:t>
      </w:r>
      <w:r w:rsidRPr="005D3639">
        <w:rPr>
          <w:rFonts w:ascii="Times New Roman" w:eastAsia="Times New Roman" w:hAnsi="Times New Roman" w:cs="Times New Roman"/>
          <w:sz w:val="24"/>
          <w:szCs w:val="24"/>
        </w:rPr>
        <w:t xml:space="preserve"> at pH 6, 7, and 8 at a fixed ionic strength of </w:t>
      </w:r>
      <w:r w:rsidRPr="005D3639">
        <w:rPr>
          <w:rFonts w:ascii="Cambria Math" w:eastAsia="Times New Roman" w:hAnsi="Cambria Math" w:cs="Cambria Math"/>
          <w:sz w:val="24"/>
          <w:szCs w:val="24"/>
        </w:rPr>
        <w:t>∼</w:t>
      </w:r>
      <w:r w:rsidRPr="005D3639">
        <w:rPr>
          <w:rFonts w:ascii="Times New Roman" w:eastAsia="Times New Roman" w:hAnsi="Times New Roman" w:cs="Times New Roman"/>
          <w:sz w:val="24"/>
          <w:szCs w:val="24"/>
        </w:rPr>
        <w:t xml:space="preserve">0.1 M, using both batch adsorption and X-ray absorption spectroscopy experiments (XAS). Adsorption results showed rapid uptake of Np (i.e., 15 min for equilibrium to be attained) and increasing adsorption with increasing pH and biomass concentration. Sasaki et al. (2001) measured Np(V) adsorption onto mixed anaerobic bacteria at 35°C and 5°C. The pH of their systems varied in the pH ranges: 1–2, 5–6, and 9–11. Np adsorption increased with time in all systems except for the pH 5–6 system at 5°C which steadily decreased after the first day and continued to decrease for at least 10 d. </w:t>
      </w:r>
      <w:proofErr w:type="spellStart"/>
      <w:r w:rsidRPr="005D3639">
        <w:rPr>
          <w:rFonts w:ascii="Times New Roman" w:eastAsia="Times New Roman" w:hAnsi="Times New Roman" w:cs="Times New Roman"/>
          <w:sz w:val="24"/>
          <w:szCs w:val="24"/>
        </w:rPr>
        <w:t>Songkasiri</w:t>
      </w:r>
      <w:proofErr w:type="spellEnd"/>
      <w:r w:rsidRPr="005D3639">
        <w:rPr>
          <w:rFonts w:ascii="Times New Roman" w:eastAsia="Times New Roman" w:hAnsi="Times New Roman" w:cs="Times New Roman"/>
          <w:sz w:val="24"/>
          <w:szCs w:val="24"/>
        </w:rPr>
        <w:t xml:space="preserve"> et al. (2002) used a Freundlich isotherm approach to model the experimental data and Sasaki et al. (2001) used a distribution coefficient approach to model their data. While these approaches enable accurate modeling of the observed adsorption behavior, they cannot be used to estimate the extent of adsorption that occurs in systems that differ significantly from those investigated in the laboratory. Conversely, surface complexation modeling, through the determination of thermodynamic stability constants of metal-bacterial surface species, has the potential to be a more flexible approach allowing the extrapolation of experimental results to more complex systems.</w:t>
      </w:r>
    </w:p>
    <w:p w:rsidR="005D3639" w:rsidRPr="005D3639" w:rsidRDefault="005D3639" w:rsidP="005D3639">
      <w:pPr>
        <w:spacing w:before="100" w:beforeAutospacing="1" w:after="100" w:afterAutospacing="1" w:line="240" w:lineRule="auto"/>
        <w:rPr>
          <w:rFonts w:ascii="Times New Roman" w:eastAsia="Times New Roman" w:hAnsi="Times New Roman" w:cs="Times New Roman"/>
          <w:sz w:val="24"/>
          <w:szCs w:val="24"/>
        </w:rPr>
      </w:pPr>
      <w:r w:rsidRPr="005D3639">
        <w:rPr>
          <w:rFonts w:ascii="Times New Roman" w:eastAsia="Times New Roman" w:hAnsi="Times New Roman" w:cs="Times New Roman"/>
          <w:sz w:val="24"/>
          <w:szCs w:val="24"/>
        </w:rPr>
        <w:t>The objective of this research is to measure the pH, concentration, and ionic strength dependence of Np adsorption onto a common bacterial cell wall. We use the experimental measurements to constrain the important adsorption reaction stoichiometries and we solve for the values of the thermodynamic stability constants for the Np-bacterial surface complexes.</w:t>
      </w:r>
    </w:p>
    <w:p w:rsidR="005D3639" w:rsidRPr="005D3639" w:rsidRDefault="005D3639" w:rsidP="005D3639">
      <w:pPr>
        <w:spacing w:before="100" w:beforeAutospacing="1" w:after="100" w:afterAutospacing="1" w:line="240" w:lineRule="auto"/>
        <w:outlineLvl w:val="1"/>
        <w:rPr>
          <w:rFonts w:ascii="Times New Roman" w:eastAsia="Times New Roman" w:hAnsi="Times New Roman" w:cs="Times New Roman"/>
          <w:b/>
          <w:bCs/>
          <w:sz w:val="36"/>
          <w:szCs w:val="36"/>
        </w:rPr>
      </w:pPr>
      <w:r w:rsidRPr="005D3639">
        <w:rPr>
          <w:rFonts w:ascii="Times New Roman" w:eastAsia="Times New Roman" w:hAnsi="Times New Roman" w:cs="Times New Roman"/>
          <w:b/>
          <w:bCs/>
          <w:sz w:val="36"/>
          <w:szCs w:val="36"/>
        </w:rPr>
        <w:t>Section snippets</w:t>
      </w:r>
    </w:p>
    <w:p w:rsidR="005D3639" w:rsidRPr="005D3639" w:rsidRDefault="005D3639" w:rsidP="005D3639">
      <w:pPr>
        <w:spacing w:before="100" w:beforeAutospacing="1" w:after="100" w:afterAutospacing="1" w:line="240" w:lineRule="auto"/>
        <w:outlineLvl w:val="1"/>
        <w:rPr>
          <w:rFonts w:ascii="Times New Roman" w:eastAsia="Times New Roman" w:hAnsi="Times New Roman" w:cs="Times New Roman"/>
          <w:b/>
          <w:bCs/>
          <w:sz w:val="36"/>
          <w:szCs w:val="36"/>
        </w:rPr>
      </w:pPr>
      <w:r w:rsidRPr="005D3639">
        <w:rPr>
          <w:rFonts w:ascii="Times New Roman" w:eastAsia="Times New Roman" w:hAnsi="Times New Roman" w:cs="Times New Roman"/>
          <w:b/>
          <w:bCs/>
          <w:sz w:val="36"/>
          <w:szCs w:val="36"/>
        </w:rPr>
        <w:t>Cell Preparation</w:t>
      </w:r>
    </w:p>
    <w:p w:rsidR="005D3639" w:rsidRPr="005D3639" w:rsidRDefault="005D3639" w:rsidP="005D3639">
      <w:pPr>
        <w:spacing w:before="100" w:beforeAutospacing="1" w:after="100" w:afterAutospacing="1" w:line="240" w:lineRule="auto"/>
        <w:rPr>
          <w:rFonts w:ascii="Times New Roman" w:eastAsia="Times New Roman" w:hAnsi="Times New Roman" w:cs="Times New Roman"/>
          <w:sz w:val="24"/>
          <w:szCs w:val="24"/>
        </w:rPr>
      </w:pPr>
      <w:r w:rsidRPr="005D3639">
        <w:rPr>
          <w:rFonts w:ascii="Times New Roman" w:eastAsia="Times New Roman" w:hAnsi="Times New Roman" w:cs="Times New Roman"/>
          <w:i/>
          <w:iCs/>
          <w:sz w:val="24"/>
          <w:szCs w:val="24"/>
        </w:rPr>
        <w:t>B. subtilis</w:t>
      </w:r>
      <w:r w:rsidRPr="005D3639">
        <w:rPr>
          <w:rFonts w:ascii="Times New Roman" w:eastAsia="Times New Roman" w:hAnsi="Times New Roman" w:cs="Times New Roman"/>
          <w:sz w:val="24"/>
          <w:szCs w:val="24"/>
        </w:rPr>
        <w:t xml:space="preserve"> cells (supplied originally by T. J. Beveridge, University of Guelph) were cultured and prepared following the procedures outlined previously (Fein et al 1997, </w:t>
      </w:r>
      <w:proofErr w:type="spellStart"/>
      <w:r w:rsidRPr="005D3639">
        <w:rPr>
          <w:rFonts w:ascii="Times New Roman" w:eastAsia="Times New Roman" w:hAnsi="Times New Roman" w:cs="Times New Roman"/>
          <w:sz w:val="24"/>
          <w:szCs w:val="24"/>
        </w:rPr>
        <w:t>Fowle</w:t>
      </w:r>
      <w:proofErr w:type="spellEnd"/>
      <w:r w:rsidRPr="005D3639">
        <w:rPr>
          <w:rFonts w:ascii="Times New Roman" w:eastAsia="Times New Roman" w:hAnsi="Times New Roman" w:cs="Times New Roman"/>
          <w:sz w:val="24"/>
          <w:szCs w:val="24"/>
        </w:rPr>
        <w:t xml:space="preserve"> et al 2000), except the acid wash step in the cell preparation was not conducted to avoid possible acid damage to the cell walls (</w:t>
      </w:r>
      <w:proofErr w:type="spellStart"/>
      <w:r w:rsidRPr="005D3639">
        <w:rPr>
          <w:rFonts w:ascii="Times New Roman" w:eastAsia="Times New Roman" w:hAnsi="Times New Roman" w:cs="Times New Roman"/>
          <w:sz w:val="24"/>
          <w:szCs w:val="24"/>
        </w:rPr>
        <w:t>Borrok</w:t>
      </w:r>
      <w:proofErr w:type="spellEnd"/>
      <w:r w:rsidRPr="005D3639">
        <w:rPr>
          <w:rFonts w:ascii="Times New Roman" w:eastAsia="Times New Roman" w:hAnsi="Times New Roman" w:cs="Times New Roman"/>
          <w:sz w:val="24"/>
          <w:szCs w:val="24"/>
        </w:rPr>
        <w:t xml:space="preserve"> et al., 2004b). Cells were maintained on agar plates consisting of trypticase soy agar with 0.5% yeast extract added. Cells for the adsorption experiments were grown by first</w:t>
      </w:r>
    </w:p>
    <w:p w:rsidR="005D3639" w:rsidRPr="005D3639" w:rsidRDefault="005D3639" w:rsidP="005D3639">
      <w:pPr>
        <w:spacing w:before="100" w:beforeAutospacing="1" w:after="100" w:afterAutospacing="1" w:line="240" w:lineRule="auto"/>
        <w:outlineLvl w:val="1"/>
        <w:rPr>
          <w:rFonts w:ascii="Times New Roman" w:eastAsia="Times New Roman" w:hAnsi="Times New Roman" w:cs="Times New Roman"/>
          <w:b/>
          <w:bCs/>
          <w:sz w:val="36"/>
          <w:szCs w:val="36"/>
        </w:rPr>
      </w:pPr>
      <w:r w:rsidRPr="005D3639">
        <w:rPr>
          <w:rFonts w:ascii="Times New Roman" w:eastAsia="Times New Roman" w:hAnsi="Times New Roman" w:cs="Times New Roman"/>
          <w:b/>
          <w:bCs/>
          <w:sz w:val="36"/>
          <w:szCs w:val="36"/>
        </w:rPr>
        <w:t>Kinetics Experiments</w:t>
      </w:r>
    </w:p>
    <w:p w:rsidR="005D3639" w:rsidRPr="005D3639" w:rsidRDefault="005D3639" w:rsidP="005D3639">
      <w:pPr>
        <w:spacing w:before="100" w:beforeAutospacing="1" w:after="100" w:afterAutospacing="1" w:line="240" w:lineRule="auto"/>
        <w:rPr>
          <w:rFonts w:ascii="Times New Roman" w:eastAsia="Times New Roman" w:hAnsi="Times New Roman" w:cs="Times New Roman"/>
          <w:sz w:val="24"/>
          <w:szCs w:val="24"/>
        </w:rPr>
      </w:pPr>
      <w:r w:rsidRPr="005D3639">
        <w:rPr>
          <w:rFonts w:ascii="Times New Roman" w:eastAsia="Times New Roman" w:hAnsi="Times New Roman" w:cs="Times New Roman"/>
          <w:sz w:val="24"/>
          <w:szCs w:val="24"/>
        </w:rPr>
        <w:t xml:space="preserve">At pH 6.3 and 0.1 M ionic strength, the amount of Np adsorbed from solution in the kinetics experiments (Fig. 1) reaches a plateau, with no continued adsorption of Np after </w:t>
      </w:r>
      <w:r w:rsidRPr="005D3639">
        <w:rPr>
          <w:rFonts w:ascii="Cambria Math" w:eastAsia="Times New Roman" w:hAnsi="Cambria Math" w:cs="Cambria Math"/>
          <w:sz w:val="24"/>
          <w:szCs w:val="24"/>
        </w:rPr>
        <w:t>∼</w:t>
      </w:r>
      <w:r w:rsidRPr="005D3639">
        <w:rPr>
          <w:rFonts w:ascii="Times New Roman" w:eastAsia="Times New Roman" w:hAnsi="Times New Roman" w:cs="Times New Roman"/>
          <w:sz w:val="24"/>
          <w:szCs w:val="24"/>
        </w:rPr>
        <w:t xml:space="preserve">15 min. In contrast, however, the extent of Np adsorption does not plateau during the course of the pH 2.5 kinetics experiments (also shown in Fig. 1), continually increasing for at least 24 h. The kinetics of Np removal from solution under low pH and 0.1 M ionic strength conditions are markedly different from that observed </w:t>
      </w:r>
    </w:p>
    <w:p w:rsidR="005D3639" w:rsidRPr="005D3639" w:rsidRDefault="005D3639" w:rsidP="005D3639">
      <w:pPr>
        <w:spacing w:before="100" w:beforeAutospacing="1" w:after="100" w:afterAutospacing="1" w:line="240" w:lineRule="auto"/>
        <w:outlineLvl w:val="1"/>
        <w:rPr>
          <w:rFonts w:ascii="Times New Roman" w:eastAsia="Times New Roman" w:hAnsi="Times New Roman" w:cs="Times New Roman"/>
          <w:b/>
          <w:bCs/>
          <w:sz w:val="36"/>
          <w:szCs w:val="36"/>
        </w:rPr>
      </w:pPr>
      <w:r w:rsidRPr="005D3639">
        <w:rPr>
          <w:rFonts w:ascii="Times New Roman" w:eastAsia="Times New Roman" w:hAnsi="Times New Roman" w:cs="Times New Roman"/>
          <w:b/>
          <w:bCs/>
          <w:sz w:val="36"/>
          <w:szCs w:val="36"/>
        </w:rPr>
        <w:lastRenderedPageBreak/>
        <w:t>Thermodynamic Modeling</w:t>
      </w:r>
    </w:p>
    <w:p w:rsidR="005D3639" w:rsidRPr="005D3639" w:rsidRDefault="005D3639" w:rsidP="005D3639">
      <w:pPr>
        <w:spacing w:before="100" w:beforeAutospacing="1" w:after="100" w:afterAutospacing="1" w:line="240" w:lineRule="auto"/>
        <w:rPr>
          <w:rFonts w:ascii="Times New Roman" w:eastAsia="Times New Roman" w:hAnsi="Times New Roman" w:cs="Times New Roman"/>
          <w:sz w:val="24"/>
          <w:szCs w:val="24"/>
        </w:rPr>
      </w:pPr>
      <w:r w:rsidRPr="005D3639">
        <w:rPr>
          <w:rFonts w:ascii="Times New Roman" w:eastAsia="Times New Roman" w:hAnsi="Times New Roman" w:cs="Times New Roman"/>
          <w:sz w:val="24"/>
          <w:szCs w:val="24"/>
        </w:rPr>
        <w:t xml:space="preserve">We apply a surface complexation approach to model the adsorption of Np to the </w:t>
      </w:r>
      <w:r w:rsidRPr="005D3639">
        <w:rPr>
          <w:rFonts w:ascii="Times New Roman" w:eastAsia="Times New Roman" w:hAnsi="Times New Roman" w:cs="Times New Roman"/>
          <w:i/>
          <w:iCs/>
          <w:sz w:val="24"/>
          <w:szCs w:val="24"/>
        </w:rPr>
        <w:t>B. subtilis</w:t>
      </w:r>
      <w:r w:rsidRPr="005D3639">
        <w:rPr>
          <w:rFonts w:ascii="Times New Roman" w:eastAsia="Times New Roman" w:hAnsi="Times New Roman" w:cs="Times New Roman"/>
          <w:sz w:val="24"/>
          <w:szCs w:val="24"/>
        </w:rPr>
        <w:t xml:space="preserve"> cell wall. Using the model of Fein et al. (2005) to describe the proton-active sites on the bacterial surface, proton binding is ascribed to four distinct reactions of the following stoichiometry (1): </w:t>
      </w:r>
    </w:p>
    <w:p w:rsidR="005D3639" w:rsidRPr="005D3639" w:rsidRDefault="005D3639" w:rsidP="005D3639">
      <w:pPr>
        <w:spacing w:before="100" w:beforeAutospacing="1" w:after="100" w:afterAutospacing="1" w:line="240" w:lineRule="auto"/>
        <w:rPr>
          <w:rFonts w:ascii="Times New Roman" w:eastAsia="Times New Roman" w:hAnsi="Times New Roman" w:cs="Times New Roman"/>
          <w:sz w:val="24"/>
          <w:szCs w:val="24"/>
        </w:rPr>
      </w:pPr>
      <w:r w:rsidRPr="005D3639">
        <w:rPr>
          <w:rFonts w:ascii="Times New Roman" w:eastAsia="Times New Roman" w:hAnsi="Times New Roman" w:cs="Times New Roman"/>
          <w:sz w:val="24"/>
          <w:szCs w:val="24"/>
        </w:rPr>
        <w:t>where R is a bacterium to which a proton-active functional group type, L</w:t>
      </w:r>
      <w:r w:rsidRPr="005D3639">
        <w:rPr>
          <w:rFonts w:ascii="Times New Roman" w:eastAsia="Times New Roman" w:hAnsi="Times New Roman" w:cs="Times New Roman"/>
          <w:sz w:val="24"/>
          <w:szCs w:val="24"/>
          <w:vertAlign w:val="subscript"/>
        </w:rPr>
        <w:t>i</w:t>
      </w:r>
      <w:r w:rsidRPr="005D3639">
        <w:rPr>
          <w:rFonts w:ascii="Times New Roman" w:eastAsia="Times New Roman" w:hAnsi="Times New Roman" w:cs="Times New Roman"/>
          <w:sz w:val="24"/>
          <w:szCs w:val="24"/>
        </w:rPr>
        <w:t>, is attached. Fein et al. (2005) use potentiometric titration data to constrain the site concentrations and acidity</w:t>
      </w:r>
    </w:p>
    <w:p w:rsidR="005D3639" w:rsidRPr="005D3639" w:rsidRDefault="005D3639" w:rsidP="005D3639">
      <w:pPr>
        <w:spacing w:before="100" w:beforeAutospacing="1" w:after="100" w:afterAutospacing="1" w:line="240" w:lineRule="auto"/>
        <w:outlineLvl w:val="1"/>
        <w:rPr>
          <w:rFonts w:ascii="Times New Roman" w:eastAsia="Times New Roman" w:hAnsi="Times New Roman" w:cs="Times New Roman"/>
          <w:b/>
          <w:bCs/>
          <w:sz w:val="36"/>
          <w:szCs w:val="36"/>
        </w:rPr>
      </w:pPr>
      <w:r w:rsidRPr="005D3639">
        <w:rPr>
          <w:rFonts w:ascii="Times New Roman" w:eastAsia="Times New Roman" w:hAnsi="Times New Roman" w:cs="Times New Roman"/>
          <w:b/>
          <w:bCs/>
          <w:sz w:val="36"/>
          <w:szCs w:val="36"/>
        </w:rPr>
        <w:t>Conclusions</w:t>
      </w:r>
    </w:p>
    <w:p w:rsidR="005D3639" w:rsidRPr="005D3639" w:rsidRDefault="005D3639" w:rsidP="005D3639">
      <w:pPr>
        <w:spacing w:before="100" w:beforeAutospacing="1" w:after="100" w:afterAutospacing="1" w:line="240" w:lineRule="auto"/>
        <w:rPr>
          <w:rFonts w:ascii="Times New Roman" w:eastAsia="Times New Roman" w:hAnsi="Times New Roman" w:cs="Times New Roman"/>
          <w:sz w:val="24"/>
          <w:szCs w:val="24"/>
        </w:rPr>
      </w:pPr>
      <w:r w:rsidRPr="005D3639">
        <w:rPr>
          <w:rFonts w:ascii="Times New Roman" w:eastAsia="Times New Roman" w:hAnsi="Times New Roman" w:cs="Times New Roman"/>
          <w:sz w:val="24"/>
          <w:szCs w:val="24"/>
        </w:rPr>
        <w:t xml:space="preserve">Our experimental results indicate that the </w:t>
      </w:r>
      <w:proofErr w:type="spellStart"/>
      <w:r w:rsidRPr="005D3639">
        <w:rPr>
          <w:rFonts w:ascii="Times New Roman" w:eastAsia="Times New Roman" w:hAnsi="Times New Roman" w:cs="Times New Roman"/>
          <w:sz w:val="24"/>
          <w:szCs w:val="24"/>
        </w:rPr>
        <w:t>neptunyl</w:t>
      </w:r>
      <w:proofErr w:type="spellEnd"/>
      <w:r w:rsidRPr="005D3639">
        <w:rPr>
          <w:rFonts w:ascii="Times New Roman" w:eastAsia="Times New Roman" w:hAnsi="Times New Roman" w:cs="Times New Roman"/>
          <w:sz w:val="24"/>
          <w:szCs w:val="24"/>
        </w:rPr>
        <w:t xml:space="preserve"> ion adsorbs onto </w:t>
      </w:r>
      <w:r w:rsidRPr="005D3639">
        <w:rPr>
          <w:rFonts w:ascii="Times New Roman" w:eastAsia="Times New Roman" w:hAnsi="Times New Roman" w:cs="Times New Roman"/>
          <w:i/>
          <w:iCs/>
          <w:sz w:val="24"/>
          <w:szCs w:val="24"/>
        </w:rPr>
        <w:t>B. subtilis</w:t>
      </w:r>
      <w:r w:rsidRPr="005D3639">
        <w:rPr>
          <w:rFonts w:ascii="Times New Roman" w:eastAsia="Times New Roman" w:hAnsi="Times New Roman" w:cs="Times New Roman"/>
          <w:sz w:val="24"/>
          <w:szCs w:val="24"/>
        </w:rPr>
        <w:t xml:space="preserve"> cell walls </w:t>
      </w:r>
      <w:proofErr w:type="gramStart"/>
      <w:r w:rsidRPr="005D3639">
        <w:rPr>
          <w:rFonts w:ascii="Times New Roman" w:eastAsia="Times New Roman" w:hAnsi="Times New Roman" w:cs="Times New Roman"/>
          <w:sz w:val="24"/>
          <w:szCs w:val="24"/>
        </w:rPr>
        <w:t>more weakly</w:t>
      </w:r>
      <w:proofErr w:type="gramEnd"/>
      <w:r w:rsidRPr="005D3639">
        <w:rPr>
          <w:rFonts w:ascii="Times New Roman" w:eastAsia="Times New Roman" w:hAnsi="Times New Roman" w:cs="Times New Roman"/>
          <w:sz w:val="24"/>
          <w:szCs w:val="24"/>
        </w:rPr>
        <w:t xml:space="preserve"> than do divalent and trivalent cations such as Cd</w:t>
      </w:r>
      <w:r w:rsidRPr="005D3639">
        <w:rPr>
          <w:rFonts w:ascii="Times New Roman" w:eastAsia="Times New Roman" w:hAnsi="Times New Roman" w:cs="Times New Roman"/>
          <w:sz w:val="24"/>
          <w:szCs w:val="24"/>
          <w:vertAlign w:val="superscript"/>
        </w:rPr>
        <w:t>+2</w:t>
      </w:r>
      <w:r w:rsidRPr="005D3639">
        <w:rPr>
          <w:rFonts w:ascii="Times New Roman" w:eastAsia="Times New Roman" w:hAnsi="Times New Roman" w:cs="Times New Roman"/>
          <w:sz w:val="24"/>
          <w:szCs w:val="24"/>
        </w:rPr>
        <w:t>, UO</w:t>
      </w:r>
      <w:r w:rsidRPr="005D3639">
        <w:rPr>
          <w:rFonts w:ascii="Times New Roman" w:eastAsia="Times New Roman" w:hAnsi="Times New Roman" w:cs="Times New Roman"/>
          <w:sz w:val="24"/>
          <w:szCs w:val="24"/>
          <w:vertAlign w:val="subscript"/>
        </w:rPr>
        <w:t>2</w:t>
      </w:r>
      <w:r w:rsidRPr="005D3639">
        <w:rPr>
          <w:rFonts w:ascii="Times New Roman" w:eastAsia="Times New Roman" w:hAnsi="Times New Roman" w:cs="Times New Roman"/>
          <w:sz w:val="24"/>
          <w:szCs w:val="24"/>
          <w:vertAlign w:val="superscript"/>
        </w:rPr>
        <w:t>+2</w:t>
      </w:r>
      <w:r w:rsidRPr="005D3639">
        <w:rPr>
          <w:rFonts w:ascii="Times New Roman" w:eastAsia="Times New Roman" w:hAnsi="Times New Roman" w:cs="Times New Roman"/>
          <w:sz w:val="24"/>
          <w:szCs w:val="24"/>
        </w:rPr>
        <w:t>, Al</w:t>
      </w:r>
      <w:r w:rsidRPr="005D3639">
        <w:rPr>
          <w:rFonts w:ascii="Times New Roman" w:eastAsia="Times New Roman" w:hAnsi="Times New Roman" w:cs="Times New Roman"/>
          <w:sz w:val="24"/>
          <w:szCs w:val="24"/>
          <w:vertAlign w:val="superscript"/>
        </w:rPr>
        <w:t>+3</w:t>
      </w:r>
      <w:r w:rsidRPr="005D3639">
        <w:rPr>
          <w:rFonts w:ascii="Times New Roman" w:eastAsia="Times New Roman" w:hAnsi="Times New Roman" w:cs="Times New Roman"/>
          <w:sz w:val="24"/>
          <w:szCs w:val="24"/>
        </w:rPr>
        <w:t xml:space="preserve">, etc. Np adsorption is highly ionic strength dependent, and ionic strength appears to control the extent of possible Np(V) reduction that we observed under low pH conditions. Our modeling results for both the 0.1 and 0.001 M systems suggest that binding is due primarily to attachment of the </w:t>
      </w:r>
      <w:proofErr w:type="spellStart"/>
      <w:r w:rsidRPr="005D3639">
        <w:rPr>
          <w:rFonts w:ascii="Times New Roman" w:eastAsia="Times New Roman" w:hAnsi="Times New Roman" w:cs="Times New Roman"/>
          <w:sz w:val="24"/>
          <w:szCs w:val="24"/>
        </w:rPr>
        <w:t>neptunyl</w:t>
      </w:r>
      <w:proofErr w:type="spellEnd"/>
      <w:r w:rsidRPr="005D3639">
        <w:rPr>
          <w:rFonts w:ascii="Times New Roman" w:eastAsia="Times New Roman" w:hAnsi="Times New Roman" w:cs="Times New Roman"/>
          <w:sz w:val="24"/>
          <w:szCs w:val="24"/>
        </w:rPr>
        <w:t xml:space="preserve"> cation onto phosphoryl and</w:t>
      </w:r>
    </w:p>
    <w:p w:rsidR="005D3639" w:rsidRPr="005D3639" w:rsidRDefault="005D3639" w:rsidP="005D3639">
      <w:pPr>
        <w:spacing w:before="100" w:beforeAutospacing="1" w:after="100" w:afterAutospacing="1" w:line="240" w:lineRule="auto"/>
        <w:outlineLvl w:val="1"/>
        <w:rPr>
          <w:rFonts w:ascii="Times New Roman" w:eastAsia="Times New Roman" w:hAnsi="Times New Roman" w:cs="Times New Roman"/>
          <w:b/>
          <w:bCs/>
          <w:sz w:val="36"/>
          <w:szCs w:val="36"/>
        </w:rPr>
      </w:pPr>
      <w:r w:rsidRPr="005D3639">
        <w:rPr>
          <w:rFonts w:ascii="Times New Roman" w:eastAsia="Times New Roman" w:hAnsi="Times New Roman" w:cs="Times New Roman"/>
          <w:b/>
          <w:bCs/>
          <w:sz w:val="36"/>
          <w:szCs w:val="36"/>
        </w:rPr>
        <w:t>Acknowledgments</w:t>
      </w:r>
    </w:p>
    <w:p w:rsidR="005D3639" w:rsidRPr="005D3639" w:rsidRDefault="005D3639" w:rsidP="005D3639">
      <w:pPr>
        <w:spacing w:before="100" w:beforeAutospacing="1" w:after="100" w:afterAutospacing="1" w:line="240" w:lineRule="auto"/>
        <w:rPr>
          <w:rFonts w:ascii="Times New Roman" w:eastAsia="Times New Roman" w:hAnsi="Times New Roman" w:cs="Times New Roman"/>
          <w:sz w:val="24"/>
          <w:szCs w:val="24"/>
        </w:rPr>
      </w:pPr>
      <w:r w:rsidRPr="005D3639">
        <w:rPr>
          <w:rFonts w:ascii="Times New Roman" w:eastAsia="Times New Roman" w:hAnsi="Times New Roman" w:cs="Times New Roman"/>
          <w:sz w:val="24"/>
          <w:szCs w:val="24"/>
        </w:rPr>
        <w:t>Research funding was provided by the National Science Foundation through an Environmental Molecular Science Institute grant (EAR02-21966). The work at ANL is funded by the DOE, OBES—Chemical Sciences under contract W-31-109-ENG-38. Three journal reviews and the comments of editor Johnson Haas significantly improved the quality and presentation of the article.</w:t>
      </w:r>
    </w:p>
    <w:p w:rsidR="009763F8" w:rsidRDefault="009763F8"/>
    <w:sectPr w:rsidR="009763F8">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639"/>
    <w:rsid w:val="005D3639"/>
    <w:rsid w:val="009763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92B8AE"/>
  <w15:chartTrackingRefBased/>
  <w15:docId w15:val="{CB333DDB-44E4-4BD2-900D-BEF2ED5A9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3650071">
      <w:bodyDiv w:val="1"/>
      <w:marLeft w:val="0"/>
      <w:marRight w:val="0"/>
      <w:marTop w:val="0"/>
      <w:marBottom w:val="0"/>
      <w:divBdr>
        <w:top w:val="none" w:sz="0" w:space="0" w:color="auto"/>
        <w:left w:val="none" w:sz="0" w:space="0" w:color="auto"/>
        <w:bottom w:val="none" w:sz="0" w:space="0" w:color="auto"/>
        <w:right w:val="none" w:sz="0" w:space="0" w:color="auto"/>
      </w:divBdr>
      <w:divsChild>
        <w:div w:id="319968676">
          <w:marLeft w:val="0"/>
          <w:marRight w:val="0"/>
          <w:marTop w:val="0"/>
          <w:marBottom w:val="0"/>
          <w:divBdr>
            <w:top w:val="none" w:sz="0" w:space="0" w:color="auto"/>
            <w:left w:val="none" w:sz="0" w:space="0" w:color="auto"/>
            <w:bottom w:val="none" w:sz="0" w:space="0" w:color="auto"/>
            <w:right w:val="none" w:sz="0" w:space="0" w:color="auto"/>
          </w:divBdr>
          <w:divsChild>
            <w:div w:id="1237323030">
              <w:marLeft w:val="0"/>
              <w:marRight w:val="0"/>
              <w:marTop w:val="0"/>
              <w:marBottom w:val="0"/>
              <w:divBdr>
                <w:top w:val="none" w:sz="0" w:space="0" w:color="auto"/>
                <w:left w:val="none" w:sz="0" w:space="0" w:color="auto"/>
                <w:bottom w:val="none" w:sz="0" w:space="0" w:color="auto"/>
                <w:right w:val="none" w:sz="0" w:space="0" w:color="auto"/>
              </w:divBdr>
              <w:divsChild>
                <w:div w:id="2053535084">
                  <w:marLeft w:val="0"/>
                  <w:marRight w:val="0"/>
                  <w:marTop w:val="0"/>
                  <w:marBottom w:val="0"/>
                  <w:divBdr>
                    <w:top w:val="none" w:sz="0" w:space="0" w:color="auto"/>
                    <w:left w:val="none" w:sz="0" w:space="0" w:color="auto"/>
                    <w:bottom w:val="none" w:sz="0" w:space="0" w:color="auto"/>
                    <w:right w:val="none" w:sz="0" w:space="0" w:color="auto"/>
                  </w:divBdr>
                  <w:divsChild>
                    <w:div w:id="1597248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790903">
          <w:marLeft w:val="0"/>
          <w:marRight w:val="0"/>
          <w:marTop w:val="0"/>
          <w:marBottom w:val="0"/>
          <w:divBdr>
            <w:top w:val="none" w:sz="0" w:space="0" w:color="auto"/>
            <w:left w:val="none" w:sz="0" w:space="0" w:color="auto"/>
            <w:bottom w:val="none" w:sz="0" w:space="0" w:color="auto"/>
            <w:right w:val="none" w:sz="0" w:space="0" w:color="auto"/>
          </w:divBdr>
          <w:divsChild>
            <w:div w:id="189681890">
              <w:marLeft w:val="0"/>
              <w:marRight w:val="0"/>
              <w:marTop w:val="0"/>
              <w:marBottom w:val="0"/>
              <w:divBdr>
                <w:top w:val="none" w:sz="0" w:space="0" w:color="auto"/>
                <w:left w:val="none" w:sz="0" w:space="0" w:color="auto"/>
                <w:bottom w:val="none" w:sz="0" w:space="0" w:color="auto"/>
                <w:right w:val="none" w:sz="0" w:space="0" w:color="auto"/>
              </w:divBdr>
              <w:divsChild>
                <w:div w:id="1806315263">
                  <w:marLeft w:val="0"/>
                  <w:marRight w:val="0"/>
                  <w:marTop w:val="0"/>
                  <w:marBottom w:val="0"/>
                  <w:divBdr>
                    <w:top w:val="none" w:sz="0" w:space="0" w:color="auto"/>
                    <w:left w:val="none" w:sz="0" w:space="0" w:color="auto"/>
                    <w:bottom w:val="none" w:sz="0" w:space="0" w:color="auto"/>
                    <w:right w:val="none" w:sz="0" w:space="0" w:color="auto"/>
                  </w:divBdr>
                  <w:divsChild>
                    <w:div w:id="121533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635301">
          <w:marLeft w:val="0"/>
          <w:marRight w:val="0"/>
          <w:marTop w:val="0"/>
          <w:marBottom w:val="0"/>
          <w:divBdr>
            <w:top w:val="none" w:sz="0" w:space="0" w:color="auto"/>
            <w:left w:val="none" w:sz="0" w:space="0" w:color="auto"/>
            <w:bottom w:val="none" w:sz="0" w:space="0" w:color="auto"/>
            <w:right w:val="none" w:sz="0" w:space="0" w:color="auto"/>
          </w:divBdr>
          <w:divsChild>
            <w:div w:id="872352823">
              <w:marLeft w:val="0"/>
              <w:marRight w:val="0"/>
              <w:marTop w:val="0"/>
              <w:marBottom w:val="0"/>
              <w:divBdr>
                <w:top w:val="none" w:sz="0" w:space="0" w:color="auto"/>
                <w:left w:val="none" w:sz="0" w:space="0" w:color="auto"/>
                <w:bottom w:val="none" w:sz="0" w:space="0" w:color="auto"/>
                <w:right w:val="none" w:sz="0" w:space="0" w:color="auto"/>
              </w:divBdr>
            </w:div>
          </w:divsChild>
        </w:div>
        <w:div w:id="1240287972">
          <w:marLeft w:val="0"/>
          <w:marRight w:val="0"/>
          <w:marTop w:val="0"/>
          <w:marBottom w:val="0"/>
          <w:divBdr>
            <w:top w:val="none" w:sz="0" w:space="0" w:color="auto"/>
            <w:left w:val="none" w:sz="0" w:space="0" w:color="auto"/>
            <w:bottom w:val="none" w:sz="0" w:space="0" w:color="auto"/>
            <w:right w:val="none" w:sz="0" w:space="0" w:color="auto"/>
          </w:divBdr>
          <w:divsChild>
            <w:div w:id="1025518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science/article/abs/pii/S0016703705005569?via%3Dihub" TargetMode="External"/><Relationship Id="rId5" Type="http://schemas.openxmlformats.org/officeDocument/2006/relationships/hyperlink" Target="https://www.sciencedirect.com/topics/earth-and-planetary-sciences/sorption" TargetMode="External"/><Relationship Id="rId4" Type="http://schemas.openxmlformats.org/officeDocument/2006/relationships/hyperlink" Target="https://doi.org/10.1016/j.gca.2005.06.02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1281</Words>
  <Characters>7302</Characters>
  <Application>Microsoft Office Word</Application>
  <DocSecurity>0</DocSecurity>
  <Lines>60</Lines>
  <Paragraphs>17</Paragraphs>
  <ScaleCrop>false</ScaleCrop>
  <Company/>
  <LinksUpToDate>false</LinksUpToDate>
  <CharactersWithSpaces>8566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2023-11-11T08:17:00Z</dcterms:created>
  <dcterms:modified xsi:type="dcterms:W3CDTF">2023-11-11T08:18:00Z</dcterms:modified>
</cp:coreProperties>
</file>