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07B33" w:rsidRPr="00107B33" w:rsidRDefault="00107B33" w:rsidP="00107B33">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07B33">
        <w:rPr>
          <w:rFonts w:ascii="Times New Roman" w:eastAsia="Times New Roman" w:hAnsi="Times New Roman" w:cs="Times New Roman"/>
          <w:b/>
          <w:bCs/>
          <w:kern w:val="36"/>
          <w:sz w:val="48"/>
          <w:szCs w:val="48"/>
        </w:rPr>
        <w:t>Coupling of anatectic reactions and dissolution of accessory phases and the Sr and Nd isotope systematics of anatectic melts from a metasedimentary source</w:t>
      </w:r>
    </w:p>
    <w:p w:rsidR="00107B33" w:rsidRPr="00107B33" w:rsidRDefault="00107B33" w:rsidP="00107B33">
      <w:pPr>
        <w:spacing w:after="0"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Author links open overlay panel</w:t>
      </w:r>
    </w:p>
    <w:p w:rsidR="00107B33" w:rsidRPr="00107B33" w:rsidRDefault="00107B33" w:rsidP="00107B33">
      <w:pPr>
        <w:spacing w:after="0"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 xml:space="preserve">, </w:t>
      </w:r>
      <w:bookmarkStart w:id="0" w:name="baep-author-id9-profile"/>
      <w:r w:rsidRPr="00107B33">
        <w:rPr>
          <w:rFonts w:ascii="Times New Roman" w:eastAsia="Times New Roman" w:hAnsi="Times New Roman" w:cs="Times New Roman"/>
          <w:sz w:val="24"/>
          <w:szCs w:val="24"/>
        </w:rPr>
        <w:fldChar w:fldCharType="begin"/>
      </w:r>
      <w:r w:rsidRPr="00107B33">
        <w:rPr>
          <w:rFonts w:ascii="Times New Roman" w:eastAsia="Times New Roman" w:hAnsi="Times New Roman" w:cs="Times New Roman"/>
          <w:sz w:val="24"/>
          <w:szCs w:val="24"/>
        </w:rPr>
        <w:instrText xml:space="preserve"> HYPERLINK "https://www.sciencedirect.com/author/6603732662/paul-d-asimow" </w:instrText>
      </w:r>
      <w:r w:rsidRPr="00107B33">
        <w:rPr>
          <w:rFonts w:ascii="Times New Roman" w:eastAsia="Times New Roman" w:hAnsi="Times New Roman" w:cs="Times New Roman"/>
          <w:sz w:val="24"/>
          <w:szCs w:val="24"/>
        </w:rPr>
        <w:fldChar w:fldCharType="separate"/>
      </w:r>
      <w:r w:rsidRPr="00107B33">
        <w:rPr>
          <w:rFonts w:ascii="Times New Roman" w:eastAsia="Times New Roman" w:hAnsi="Times New Roman" w:cs="Times New Roman"/>
          <w:color w:val="0000FF"/>
          <w:sz w:val="24"/>
          <w:szCs w:val="24"/>
          <w:u w:val="single"/>
        </w:rPr>
        <w:t xml:space="preserve">Paul D. </w:t>
      </w:r>
      <w:proofErr w:type="spellStart"/>
      <w:r w:rsidRPr="00107B33">
        <w:rPr>
          <w:rFonts w:ascii="Times New Roman" w:eastAsia="Times New Roman" w:hAnsi="Times New Roman" w:cs="Times New Roman"/>
          <w:color w:val="0000FF"/>
          <w:sz w:val="24"/>
          <w:szCs w:val="24"/>
          <w:u w:val="single"/>
        </w:rPr>
        <w:t>Asimow</w:t>
      </w:r>
      <w:proofErr w:type="spellEnd"/>
      <w:r w:rsidRPr="00107B33">
        <w:rPr>
          <w:rFonts w:ascii="Times New Roman" w:eastAsia="Times New Roman" w:hAnsi="Times New Roman" w:cs="Times New Roman"/>
          <w:sz w:val="24"/>
          <w:szCs w:val="24"/>
        </w:rPr>
        <w:fldChar w:fldCharType="end"/>
      </w:r>
      <w:bookmarkEnd w:id="0"/>
      <w:r w:rsidRPr="00107B33">
        <w:rPr>
          <w:rFonts w:ascii="Times New Roman" w:eastAsia="Times New Roman" w:hAnsi="Times New Roman" w:cs="Times New Roman"/>
          <w:sz w:val="24"/>
          <w:szCs w:val="24"/>
        </w:rPr>
        <w:t xml:space="preserve">, </w:t>
      </w:r>
    </w:p>
    <w:p w:rsidR="00107B33" w:rsidRPr="00107B33" w:rsidRDefault="00107B33" w:rsidP="00107B33">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107B33">
          <w:rPr>
            <w:rFonts w:ascii="Times New Roman" w:eastAsia="Times New Roman" w:hAnsi="Times New Roman" w:cs="Times New Roman"/>
            <w:color w:val="0000FF"/>
            <w:sz w:val="24"/>
            <w:szCs w:val="24"/>
            <w:u w:val="single"/>
          </w:rPr>
          <w:t>https://doi.org/10.1016/j.gca.2005.02.035</w:t>
        </w:r>
      </w:hyperlink>
      <w:bookmarkStart w:id="1" w:name="_GoBack"/>
      <w:bookmarkEnd w:id="1"/>
      <w:r w:rsidRPr="00107B33">
        <w:rPr>
          <w:rFonts w:ascii="Times New Roman" w:eastAsia="Times New Roman" w:hAnsi="Times New Roman" w:cs="Times New Roman"/>
          <w:sz w:val="24"/>
          <w:szCs w:val="24"/>
        </w:rPr>
        <w:t xml:space="preserve"> </w:t>
      </w:r>
    </w:p>
    <w:p w:rsidR="00107B33" w:rsidRPr="00107B33" w:rsidRDefault="00107B33" w:rsidP="00107B33">
      <w:pPr>
        <w:spacing w:before="100" w:beforeAutospacing="1" w:after="100" w:afterAutospacing="1" w:line="240" w:lineRule="auto"/>
        <w:outlineLvl w:val="1"/>
        <w:rPr>
          <w:rFonts w:ascii="Times New Roman" w:eastAsia="Times New Roman" w:hAnsi="Times New Roman" w:cs="Times New Roman"/>
          <w:b/>
          <w:bCs/>
          <w:sz w:val="36"/>
          <w:szCs w:val="36"/>
        </w:rPr>
      </w:pPr>
      <w:r w:rsidRPr="00107B33">
        <w:rPr>
          <w:rFonts w:ascii="Times New Roman" w:eastAsia="Times New Roman" w:hAnsi="Times New Roman" w:cs="Times New Roman"/>
          <w:b/>
          <w:bCs/>
          <w:sz w:val="36"/>
          <w:szCs w:val="36"/>
        </w:rPr>
        <w:t>Abstract</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 xml:space="preserve">Advances in field observations and </w:t>
      </w:r>
      <w:hyperlink r:id="rId5" w:tooltip="Learn more about experimental petrology from ScienceDirect's AI-generated Topic Pages" w:history="1">
        <w:r w:rsidRPr="00107B33">
          <w:rPr>
            <w:rFonts w:ascii="Times New Roman" w:eastAsia="Times New Roman" w:hAnsi="Times New Roman" w:cs="Times New Roman"/>
            <w:color w:val="0000FF"/>
            <w:sz w:val="24"/>
            <w:szCs w:val="24"/>
            <w:u w:val="single"/>
          </w:rPr>
          <w:t>experimental petrology</w:t>
        </w:r>
      </w:hyperlink>
      <w:r w:rsidRPr="00107B33">
        <w:rPr>
          <w:rFonts w:ascii="Times New Roman" w:eastAsia="Times New Roman" w:hAnsi="Times New Roman" w:cs="Times New Roman"/>
          <w:sz w:val="24"/>
          <w:szCs w:val="24"/>
        </w:rPr>
        <w:t xml:space="preserve"> on anatectic products have motivated us to investigate the geochemical consequences of accessory mineral dissolution and nonmodal partial melting processes. Incorporation of </w:t>
      </w:r>
      <w:hyperlink r:id="rId6" w:tooltip="Learn more about apatite from ScienceDirect's AI-generated Topic Pages" w:history="1">
        <w:r w:rsidRPr="00107B33">
          <w:rPr>
            <w:rFonts w:ascii="Times New Roman" w:eastAsia="Times New Roman" w:hAnsi="Times New Roman" w:cs="Times New Roman"/>
            <w:color w:val="0000FF"/>
            <w:sz w:val="24"/>
            <w:szCs w:val="24"/>
            <w:u w:val="single"/>
          </w:rPr>
          <w:t>apatite</w:t>
        </w:r>
      </w:hyperlink>
      <w:r w:rsidRPr="00107B33">
        <w:rPr>
          <w:rFonts w:ascii="Times New Roman" w:eastAsia="Times New Roman" w:hAnsi="Times New Roman" w:cs="Times New Roman"/>
          <w:sz w:val="24"/>
          <w:szCs w:val="24"/>
        </w:rPr>
        <w:t xml:space="preserve"> and </w:t>
      </w:r>
      <w:hyperlink r:id="rId7" w:tooltip="Learn more about monazite from ScienceDirect's AI-generated Topic Pages" w:history="1">
        <w:r w:rsidRPr="00107B33">
          <w:rPr>
            <w:rFonts w:ascii="Times New Roman" w:eastAsia="Times New Roman" w:hAnsi="Times New Roman" w:cs="Times New Roman"/>
            <w:color w:val="0000FF"/>
            <w:sz w:val="24"/>
            <w:szCs w:val="24"/>
            <w:u w:val="single"/>
          </w:rPr>
          <w:t>monazite</w:t>
        </w:r>
      </w:hyperlink>
      <w:r w:rsidRPr="00107B33">
        <w:rPr>
          <w:rFonts w:ascii="Times New Roman" w:eastAsia="Times New Roman" w:hAnsi="Times New Roman" w:cs="Times New Roman"/>
          <w:sz w:val="24"/>
          <w:szCs w:val="24"/>
        </w:rPr>
        <w:t xml:space="preserve"> dissolution into a </w:t>
      </w:r>
      <w:hyperlink r:id="rId8" w:tooltip="Learn more about muscovite from ScienceDirect's AI-generated Topic Pages" w:history="1">
        <w:r w:rsidRPr="00107B33">
          <w:rPr>
            <w:rFonts w:ascii="Times New Roman" w:eastAsia="Times New Roman" w:hAnsi="Times New Roman" w:cs="Times New Roman"/>
            <w:color w:val="0000FF"/>
            <w:sz w:val="24"/>
            <w:szCs w:val="24"/>
            <w:u w:val="single"/>
          </w:rPr>
          <w:t>muscovite</w:t>
        </w:r>
      </w:hyperlink>
      <w:r w:rsidRPr="00107B33">
        <w:rPr>
          <w:rFonts w:ascii="Times New Roman" w:eastAsia="Times New Roman" w:hAnsi="Times New Roman" w:cs="Times New Roman"/>
          <w:sz w:val="24"/>
          <w:szCs w:val="24"/>
        </w:rPr>
        <w:t xml:space="preserve"> </w:t>
      </w:r>
      <w:hyperlink r:id="rId9" w:tooltip="Learn more about dehydration melting from ScienceDirect's AI-generated Topic Pages" w:history="1">
        <w:r w:rsidRPr="00107B33">
          <w:rPr>
            <w:rFonts w:ascii="Times New Roman" w:eastAsia="Times New Roman" w:hAnsi="Times New Roman" w:cs="Times New Roman"/>
            <w:color w:val="0000FF"/>
            <w:sz w:val="24"/>
            <w:szCs w:val="24"/>
            <w:u w:val="single"/>
          </w:rPr>
          <w:t>dehydration melting</w:t>
        </w:r>
      </w:hyperlink>
      <w:r w:rsidRPr="00107B33">
        <w:rPr>
          <w:rFonts w:ascii="Times New Roman" w:eastAsia="Times New Roman" w:hAnsi="Times New Roman" w:cs="Times New Roman"/>
          <w:sz w:val="24"/>
          <w:szCs w:val="24"/>
        </w:rPr>
        <w:t xml:space="preserve"> model allows us to examine the coupling of the Rb-Sr and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-Nd isotope systems in anatectic melts from a muscovite-bearing metasedimentary source. Modeling results show that (1) the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/Nd ratios and Nd </w:t>
      </w:r>
      <w:hyperlink r:id="rId10" w:tooltip="Learn more about isotopic compositions from ScienceDirect's AI-generated Topic Pages" w:history="1">
        <w:r w:rsidRPr="00107B33">
          <w:rPr>
            <w:rFonts w:ascii="Times New Roman" w:eastAsia="Times New Roman" w:hAnsi="Times New Roman" w:cs="Times New Roman"/>
            <w:color w:val="0000FF"/>
            <w:sz w:val="24"/>
            <w:szCs w:val="24"/>
            <w:u w:val="single"/>
          </w:rPr>
          <w:t>isotopic compositions</w:t>
        </w:r>
      </w:hyperlink>
      <w:r w:rsidRPr="00107B33">
        <w:rPr>
          <w:rFonts w:ascii="Times New Roman" w:eastAsia="Times New Roman" w:hAnsi="Times New Roman" w:cs="Times New Roman"/>
          <w:sz w:val="24"/>
          <w:szCs w:val="24"/>
        </w:rPr>
        <w:t xml:space="preserve"> of the melts depend on the amount of </w:t>
      </w:r>
      <w:hyperlink r:id="rId11" w:tooltip="Learn more about apatite from ScienceDirect's AI-generated Topic Pages" w:history="1">
        <w:r w:rsidRPr="00107B33">
          <w:rPr>
            <w:rFonts w:ascii="Times New Roman" w:eastAsia="Times New Roman" w:hAnsi="Times New Roman" w:cs="Times New Roman"/>
            <w:color w:val="0000FF"/>
            <w:sz w:val="24"/>
            <w:szCs w:val="24"/>
            <w:u w:val="single"/>
          </w:rPr>
          <w:t>apatite</w:t>
        </w:r>
      </w:hyperlink>
      <w:r w:rsidRPr="00107B33">
        <w:rPr>
          <w:rFonts w:ascii="Times New Roman" w:eastAsia="Times New Roman" w:hAnsi="Times New Roman" w:cs="Times New Roman"/>
          <w:sz w:val="24"/>
          <w:szCs w:val="24"/>
        </w:rPr>
        <w:t xml:space="preserve"> and </w:t>
      </w:r>
      <w:hyperlink r:id="rId12" w:tooltip="Learn more about monazite from ScienceDirect's AI-generated Topic Pages" w:history="1">
        <w:r w:rsidRPr="00107B33">
          <w:rPr>
            <w:rFonts w:ascii="Times New Roman" w:eastAsia="Times New Roman" w:hAnsi="Times New Roman" w:cs="Times New Roman"/>
            <w:color w:val="0000FF"/>
            <w:sz w:val="24"/>
            <w:szCs w:val="24"/>
            <w:u w:val="single"/>
          </w:rPr>
          <w:t>monazite</w:t>
        </w:r>
      </w:hyperlink>
      <w:r w:rsidRPr="00107B33">
        <w:rPr>
          <w:rFonts w:ascii="Times New Roman" w:eastAsia="Times New Roman" w:hAnsi="Times New Roman" w:cs="Times New Roman"/>
          <w:sz w:val="24"/>
          <w:szCs w:val="24"/>
        </w:rPr>
        <w:t xml:space="preserve"> dissolved into the melt, and (2) the relative proportion of micas (muscovite and biotite) and feldspars (plagioclase and K-feldspar) that enter the melt is a key parameter determining the </w:t>
      </w:r>
      <w:proofErr w:type="spellStart"/>
      <w:r w:rsidRPr="00107B33">
        <w:rPr>
          <w:rFonts w:ascii="Times New Roman" w:eastAsia="Times New Roman" w:hAnsi="Times New Roman" w:cs="Times New Roman"/>
          <w:sz w:val="24"/>
          <w:szCs w:val="24"/>
        </w:rPr>
        <w:t>Rb</w:t>
      </w:r>
      <w:proofErr w:type="spellEnd"/>
      <w:r w:rsidRPr="00107B33">
        <w:rPr>
          <w:rFonts w:ascii="Times New Roman" w:eastAsia="Times New Roman" w:hAnsi="Times New Roman" w:cs="Times New Roman"/>
          <w:sz w:val="24"/>
          <w:szCs w:val="24"/>
        </w:rPr>
        <w:t xml:space="preserve">/Sr and </w:t>
      </w:r>
      <w:r w:rsidRPr="00107B33">
        <w:rPr>
          <w:rFonts w:ascii="Times New Roman" w:eastAsia="Times New Roman" w:hAnsi="Times New Roman" w:cs="Times New Roman"/>
          <w:sz w:val="24"/>
          <w:szCs w:val="24"/>
          <w:vertAlign w:val="superscript"/>
        </w:rPr>
        <w:t>87</w:t>
      </w:r>
      <w:r w:rsidRPr="00107B33">
        <w:rPr>
          <w:rFonts w:ascii="Times New Roman" w:eastAsia="Times New Roman" w:hAnsi="Times New Roman" w:cs="Times New Roman"/>
          <w:sz w:val="24"/>
          <w:szCs w:val="24"/>
        </w:rPr>
        <w:t>Sr/</w:t>
      </w:r>
      <w:r w:rsidRPr="00107B33">
        <w:rPr>
          <w:rFonts w:ascii="Times New Roman" w:eastAsia="Times New Roman" w:hAnsi="Times New Roman" w:cs="Times New Roman"/>
          <w:sz w:val="24"/>
          <w:szCs w:val="24"/>
          <w:vertAlign w:val="superscript"/>
        </w:rPr>
        <w:t>86</w:t>
      </w:r>
      <w:r w:rsidRPr="00107B33">
        <w:rPr>
          <w:rFonts w:ascii="Times New Roman" w:eastAsia="Times New Roman" w:hAnsi="Times New Roman" w:cs="Times New Roman"/>
          <w:sz w:val="24"/>
          <w:szCs w:val="24"/>
        </w:rPr>
        <w:t xml:space="preserve">Sr ratios of the melt. Furthermore, these two factors are not, in practice, independent. In general, nonmodal partial melting of a </w:t>
      </w:r>
      <w:proofErr w:type="spellStart"/>
      <w:r w:rsidRPr="00107B33">
        <w:rPr>
          <w:rFonts w:ascii="Times New Roman" w:eastAsia="Times New Roman" w:hAnsi="Times New Roman" w:cs="Times New Roman"/>
          <w:sz w:val="24"/>
          <w:szCs w:val="24"/>
        </w:rPr>
        <w:t>pelitic</w:t>
      </w:r>
      <w:proofErr w:type="spellEnd"/>
      <w:r w:rsidRPr="00107B33">
        <w:rPr>
          <w:rFonts w:ascii="Times New Roman" w:eastAsia="Times New Roman" w:hAnsi="Times New Roman" w:cs="Times New Roman"/>
          <w:sz w:val="24"/>
          <w:szCs w:val="24"/>
        </w:rPr>
        <w:t xml:space="preserve"> source results in melts following one of two paths in ε</w:t>
      </w:r>
      <w:r w:rsidRPr="00107B33">
        <w:rPr>
          <w:rFonts w:ascii="Times New Roman" w:eastAsia="Times New Roman" w:hAnsi="Times New Roman" w:cs="Times New Roman"/>
          <w:sz w:val="24"/>
          <w:szCs w:val="24"/>
          <w:vertAlign w:val="subscript"/>
        </w:rPr>
        <w:t>Nd</w:t>
      </w:r>
      <w:r w:rsidRPr="00107B33">
        <w:rPr>
          <w:rFonts w:ascii="Times New Roman" w:eastAsia="Times New Roman" w:hAnsi="Times New Roman" w:cs="Times New Roman"/>
          <w:sz w:val="24"/>
          <w:szCs w:val="24"/>
        </w:rPr>
        <w:t>-</w:t>
      </w:r>
      <w:r w:rsidRPr="00107B33">
        <w:rPr>
          <w:rFonts w:ascii="Times New Roman" w:eastAsia="Times New Roman" w:hAnsi="Times New Roman" w:cs="Times New Roman"/>
          <w:sz w:val="24"/>
          <w:szCs w:val="24"/>
          <w:vertAlign w:val="superscript"/>
        </w:rPr>
        <w:t>87</w:t>
      </w:r>
      <w:r w:rsidRPr="00107B33">
        <w:rPr>
          <w:rFonts w:ascii="Times New Roman" w:eastAsia="Times New Roman" w:hAnsi="Times New Roman" w:cs="Times New Roman"/>
          <w:sz w:val="24"/>
          <w:szCs w:val="24"/>
        </w:rPr>
        <w:t>Sr/</w:t>
      </w:r>
      <w:r w:rsidRPr="00107B33">
        <w:rPr>
          <w:rFonts w:ascii="Times New Roman" w:eastAsia="Times New Roman" w:hAnsi="Times New Roman" w:cs="Times New Roman"/>
          <w:sz w:val="24"/>
          <w:szCs w:val="24"/>
          <w:vertAlign w:val="superscript"/>
        </w:rPr>
        <w:t>86</w:t>
      </w:r>
      <w:r w:rsidRPr="00107B33">
        <w:rPr>
          <w:rFonts w:ascii="Times New Roman" w:eastAsia="Times New Roman" w:hAnsi="Times New Roman" w:cs="Times New Roman"/>
          <w:sz w:val="24"/>
          <w:szCs w:val="24"/>
        </w:rPr>
        <w:t xml:space="preserve">Sr ratio space. A higher temperature, fluid-absent path (Path 1) represents those partial melting reactions in which muscovite/biotite dehydration and apatite but not monazite dissolution </w:t>
      </w:r>
      <w:proofErr w:type="gramStart"/>
      <w:r w:rsidRPr="00107B33">
        <w:rPr>
          <w:rFonts w:ascii="Times New Roman" w:eastAsia="Times New Roman" w:hAnsi="Times New Roman" w:cs="Times New Roman"/>
          <w:sz w:val="24"/>
          <w:szCs w:val="24"/>
        </w:rPr>
        <w:t>play</w:t>
      </w:r>
      <w:proofErr w:type="gramEnd"/>
      <w:r w:rsidRPr="00107B33">
        <w:rPr>
          <w:rFonts w:ascii="Times New Roman" w:eastAsia="Times New Roman" w:hAnsi="Times New Roman" w:cs="Times New Roman"/>
          <w:sz w:val="24"/>
          <w:szCs w:val="24"/>
        </w:rPr>
        <w:t xml:space="preserve"> a significant role; the melt will have elevated </w:t>
      </w:r>
      <w:proofErr w:type="spellStart"/>
      <w:r w:rsidRPr="00107B33">
        <w:rPr>
          <w:rFonts w:ascii="Times New Roman" w:eastAsia="Times New Roman" w:hAnsi="Times New Roman" w:cs="Times New Roman"/>
          <w:sz w:val="24"/>
          <w:szCs w:val="24"/>
        </w:rPr>
        <w:t>Rb</w:t>
      </w:r>
      <w:proofErr w:type="spellEnd"/>
      <w:r w:rsidRPr="00107B33">
        <w:rPr>
          <w:rFonts w:ascii="Times New Roman" w:eastAsia="Times New Roman" w:hAnsi="Times New Roman" w:cs="Times New Roman"/>
          <w:sz w:val="24"/>
          <w:szCs w:val="24"/>
        </w:rPr>
        <w:t xml:space="preserve">/Sr, </w:t>
      </w:r>
      <w:r w:rsidRPr="00107B33">
        <w:rPr>
          <w:rFonts w:ascii="Times New Roman" w:eastAsia="Times New Roman" w:hAnsi="Times New Roman" w:cs="Times New Roman"/>
          <w:sz w:val="24"/>
          <w:szCs w:val="24"/>
          <w:vertAlign w:val="superscript"/>
        </w:rPr>
        <w:t>87</w:t>
      </w:r>
      <w:r w:rsidRPr="00107B33">
        <w:rPr>
          <w:rFonts w:ascii="Times New Roman" w:eastAsia="Times New Roman" w:hAnsi="Times New Roman" w:cs="Times New Roman"/>
          <w:sz w:val="24"/>
          <w:szCs w:val="24"/>
        </w:rPr>
        <w:t>Sr/</w:t>
      </w:r>
      <w:r w:rsidRPr="00107B33">
        <w:rPr>
          <w:rFonts w:ascii="Times New Roman" w:eastAsia="Times New Roman" w:hAnsi="Times New Roman" w:cs="Times New Roman"/>
          <w:sz w:val="24"/>
          <w:szCs w:val="24"/>
          <w:vertAlign w:val="superscript"/>
        </w:rPr>
        <w:t>86</w:t>
      </w:r>
      <w:r w:rsidRPr="00107B33">
        <w:rPr>
          <w:rFonts w:ascii="Times New Roman" w:eastAsia="Times New Roman" w:hAnsi="Times New Roman" w:cs="Times New Roman"/>
          <w:sz w:val="24"/>
          <w:szCs w:val="24"/>
        </w:rPr>
        <w:t xml:space="preserve">Sr,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/Nd, and </w:t>
      </w:r>
      <w:proofErr w:type="spellStart"/>
      <w:r w:rsidRPr="00107B33">
        <w:rPr>
          <w:rFonts w:ascii="Times New Roman" w:eastAsia="Times New Roman" w:hAnsi="Times New Roman" w:cs="Times New Roman"/>
          <w:sz w:val="24"/>
          <w:szCs w:val="24"/>
        </w:rPr>
        <w:t>ε</w:t>
      </w:r>
      <w:r w:rsidRPr="00107B33">
        <w:rPr>
          <w:rFonts w:ascii="Times New Roman" w:eastAsia="Times New Roman" w:hAnsi="Times New Roman" w:cs="Times New Roman"/>
          <w:sz w:val="24"/>
          <w:szCs w:val="24"/>
          <w:vertAlign w:val="subscript"/>
        </w:rPr>
        <w:t>Nd</w:t>
      </w:r>
      <w:proofErr w:type="spellEnd"/>
      <w:r w:rsidRPr="00107B33">
        <w:rPr>
          <w:rFonts w:ascii="Times New Roman" w:eastAsia="Times New Roman" w:hAnsi="Times New Roman" w:cs="Times New Roman"/>
          <w:sz w:val="24"/>
          <w:szCs w:val="24"/>
        </w:rPr>
        <w:t xml:space="preserve"> values. In contrast, a lower temperature, fluid-fluxed path (Path 2) represents those partial melting reactions in which muscovite/biotite dehydration plays an insignificant role and apatite but not monazite stays in the residue; the melt will have lower </w:t>
      </w:r>
      <w:proofErr w:type="spellStart"/>
      <w:r w:rsidRPr="00107B33">
        <w:rPr>
          <w:rFonts w:ascii="Times New Roman" w:eastAsia="Times New Roman" w:hAnsi="Times New Roman" w:cs="Times New Roman"/>
          <w:sz w:val="24"/>
          <w:szCs w:val="24"/>
        </w:rPr>
        <w:t>Rb</w:t>
      </w:r>
      <w:proofErr w:type="spellEnd"/>
      <w:r w:rsidRPr="00107B33">
        <w:rPr>
          <w:rFonts w:ascii="Times New Roman" w:eastAsia="Times New Roman" w:hAnsi="Times New Roman" w:cs="Times New Roman"/>
          <w:sz w:val="24"/>
          <w:szCs w:val="24"/>
        </w:rPr>
        <w:t xml:space="preserve">/Sr, </w:t>
      </w:r>
      <w:r w:rsidRPr="00107B33">
        <w:rPr>
          <w:rFonts w:ascii="Times New Roman" w:eastAsia="Times New Roman" w:hAnsi="Times New Roman" w:cs="Times New Roman"/>
          <w:sz w:val="24"/>
          <w:szCs w:val="24"/>
          <w:vertAlign w:val="superscript"/>
        </w:rPr>
        <w:t>87</w:t>
      </w:r>
      <w:r w:rsidRPr="00107B33">
        <w:rPr>
          <w:rFonts w:ascii="Times New Roman" w:eastAsia="Times New Roman" w:hAnsi="Times New Roman" w:cs="Times New Roman"/>
          <w:sz w:val="24"/>
          <w:szCs w:val="24"/>
        </w:rPr>
        <w:t>Sr/</w:t>
      </w:r>
      <w:r w:rsidRPr="00107B33">
        <w:rPr>
          <w:rFonts w:ascii="Times New Roman" w:eastAsia="Times New Roman" w:hAnsi="Times New Roman" w:cs="Times New Roman"/>
          <w:sz w:val="24"/>
          <w:szCs w:val="24"/>
          <w:vertAlign w:val="superscript"/>
        </w:rPr>
        <w:t>86</w:t>
      </w:r>
      <w:r w:rsidRPr="00107B33">
        <w:rPr>
          <w:rFonts w:ascii="Times New Roman" w:eastAsia="Times New Roman" w:hAnsi="Times New Roman" w:cs="Times New Roman"/>
          <w:sz w:val="24"/>
          <w:szCs w:val="24"/>
        </w:rPr>
        <w:t xml:space="preserve">Sr,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/Nd, and </w:t>
      </w:r>
      <w:proofErr w:type="spellStart"/>
      <w:r w:rsidRPr="00107B33">
        <w:rPr>
          <w:rFonts w:ascii="Times New Roman" w:eastAsia="Times New Roman" w:hAnsi="Times New Roman" w:cs="Times New Roman"/>
          <w:sz w:val="24"/>
          <w:szCs w:val="24"/>
        </w:rPr>
        <w:t>ε</w:t>
      </w:r>
      <w:r w:rsidRPr="00107B33">
        <w:rPr>
          <w:rFonts w:ascii="Times New Roman" w:eastAsia="Times New Roman" w:hAnsi="Times New Roman" w:cs="Times New Roman"/>
          <w:sz w:val="24"/>
          <w:szCs w:val="24"/>
          <w:vertAlign w:val="subscript"/>
        </w:rPr>
        <w:t>Nd</w:t>
      </w:r>
      <w:proofErr w:type="spellEnd"/>
      <w:r w:rsidRPr="00107B33">
        <w:rPr>
          <w:rFonts w:ascii="Times New Roman" w:eastAsia="Times New Roman" w:hAnsi="Times New Roman" w:cs="Times New Roman"/>
          <w:sz w:val="24"/>
          <w:szCs w:val="24"/>
        </w:rPr>
        <w:t xml:space="preserve"> values than its source. The master variables controlling both accessory phase dissolution (and hence the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-Nd system), and melting reaction (and hence the Rb-Sr systematics) are temperature and water content. The complexity in Sr-Nd isotope systematics in </w:t>
      </w:r>
      <w:proofErr w:type="spellStart"/>
      <w:r w:rsidRPr="00107B33">
        <w:rPr>
          <w:rFonts w:ascii="Times New Roman" w:eastAsia="Times New Roman" w:hAnsi="Times New Roman" w:cs="Times New Roman"/>
          <w:sz w:val="24"/>
          <w:szCs w:val="24"/>
        </w:rPr>
        <w:t>metasediment</w:t>
      </w:r>
      <w:proofErr w:type="spellEnd"/>
      <w:r w:rsidRPr="00107B33">
        <w:rPr>
          <w:rFonts w:ascii="Times New Roman" w:eastAsia="Times New Roman" w:hAnsi="Times New Roman" w:cs="Times New Roman"/>
          <w:sz w:val="24"/>
          <w:szCs w:val="24"/>
        </w:rPr>
        <w:t xml:space="preserve">-derived melts, as suggested in this study, will help us to better understand the </w:t>
      </w:r>
      <w:hyperlink r:id="rId13" w:tooltip="Learn more about petrogenesis from ScienceDirect's AI-generated Topic Pages" w:history="1">
        <w:r w:rsidRPr="00107B33">
          <w:rPr>
            <w:rFonts w:ascii="Times New Roman" w:eastAsia="Times New Roman" w:hAnsi="Times New Roman" w:cs="Times New Roman"/>
            <w:color w:val="0000FF"/>
            <w:sz w:val="24"/>
            <w:szCs w:val="24"/>
            <w:u w:val="single"/>
          </w:rPr>
          <w:t>petrogenesis</w:t>
        </w:r>
      </w:hyperlink>
      <w:r w:rsidRPr="00107B33">
        <w:rPr>
          <w:rFonts w:ascii="Times New Roman" w:eastAsia="Times New Roman" w:hAnsi="Times New Roman" w:cs="Times New Roman"/>
          <w:sz w:val="24"/>
          <w:szCs w:val="24"/>
        </w:rPr>
        <w:t xml:space="preserve"> for those granitic plutons that have a significant crustal source component.</w:t>
      </w:r>
    </w:p>
    <w:p w:rsidR="00107B33" w:rsidRPr="00107B33" w:rsidRDefault="00107B33" w:rsidP="00107B33">
      <w:pPr>
        <w:spacing w:before="100" w:beforeAutospacing="1" w:after="100" w:afterAutospacing="1" w:line="240" w:lineRule="auto"/>
        <w:outlineLvl w:val="1"/>
        <w:rPr>
          <w:rFonts w:ascii="Times New Roman" w:eastAsia="Times New Roman" w:hAnsi="Times New Roman" w:cs="Times New Roman"/>
          <w:b/>
          <w:bCs/>
          <w:sz w:val="36"/>
          <w:szCs w:val="36"/>
        </w:rPr>
      </w:pPr>
      <w:r w:rsidRPr="00107B33">
        <w:rPr>
          <w:rFonts w:ascii="Times New Roman" w:eastAsia="Times New Roman" w:hAnsi="Times New Roman" w:cs="Times New Roman"/>
          <w:b/>
          <w:bCs/>
          <w:sz w:val="36"/>
          <w:szCs w:val="36"/>
        </w:rPr>
        <w:t>Introduction</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Crustal anatexis occurs in various tectonic environments in which either: (1) crustal temperature is elevated by intrusion of hot magmas from depth (</w:t>
      </w:r>
      <w:proofErr w:type="spellStart"/>
      <w:r w:rsidRPr="00107B33">
        <w:rPr>
          <w:rFonts w:ascii="Times New Roman" w:eastAsia="Times New Roman" w:hAnsi="Times New Roman" w:cs="Times New Roman"/>
          <w:sz w:val="24"/>
          <w:szCs w:val="24"/>
        </w:rPr>
        <w:t>Bergantz</w:t>
      </w:r>
      <w:proofErr w:type="spellEnd"/>
      <w:r w:rsidRPr="00107B33">
        <w:rPr>
          <w:rFonts w:ascii="Times New Roman" w:eastAsia="Times New Roman" w:hAnsi="Times New Roman" w:cs="Times New Roman"/>
          <w:sz w:val="24"/>
          <w:szCs w:val="24"/>
        </w:rPr>
        <w:t xml:space="preserve">, 1989); (2) the solidus is lowered by addition of water (Harris et al., 1993); or (3) decompression during rapid exhumation of deep seated crustal rocks elevates the geotherm (Harris and Massey, 1994). An important mechanism for crustal anatexis is dehydration partial melting of hydrous-mineral-rich metasedimentary rocks at various crustal levels (Wyllie 1977, Le Breton and Thompson 1988, </w:t>
      </w:r>
      <w:proofErr w:type="spellStart"/>
      <w:r w:rsidRPr="00107B33">
        <w:rPr>
          <w:rFonts w:ascii="Times New Roman" w:eastAsia="Times New Roman" w:hAnsi="Times New Roman" w:cs="Times New Roman"/>
          <w:sz w:val="24"/>
          <w:szCs w:val="24"/>
        </w:rPr>
        <w:t>Vielzeuf</w:t>
      </w:r>
      <w:proofErr w:type="spellEnd"/>
      <w:r w:rsidRPr="00107B33">
        <w:rPr>
          <w:rFonts w:ascii="Times New Roman" w:eastAsia="Times New Roman" w:hAnsi="Times New Roman" w:cs="Times New Roman"/>
          <w:sz w:val="24"/>
          <w:szCs w:val="24"/>
        </w:rPr>
        <w:t xml:space="preserve"> and Holloway 1988, </w:t>
      </w:r>
      <w:proofErr w:type="spellStart"/>
      <w:r w:rsidRPr="00107B33">
        <w:rPr>
          <w:rFonts w:ascii="Times New Roman" w:eastAsia="Times New Roman" w:hAnsi="Times New Roman" w:cs="Times New Roman"/>
          <w:sz w:val="24"/>
          <w:szCs w:val="24"/>
        </w:rPr>
        <w:t>Rushmer</w:t>
      </w:r>
      <w:proofErr w:type="spellEnd"/>
      <w:r w:rsidRPr="00107B33">
        <w:rPr>
          <w:rFonts w:ascii="Times New Roman" w:eastAsia="Times New Roman" w:hAnsi="Times New Roman" w:cs="Times New Roman"/>
          <w:sz w:val="24"/>
          <w:szCs w:val="24"/>
        </w:rPr>
        <w:t xml:space="preserve"> 1991, Harris and Inger 1992, </w:t>
      </w:r>
      <w:proofErr w:type="spellStart"/>
      <w:r w:rsidRPr="00107B33">
        <w:rPr>
          <w:rFonts w:ascii="Times New Roman" w:eastAsia="Times New Roman" w:hAnsi="Times New Roman" w:cs="Times New Roman"/>
          <w:sz w:val="24"/>
          <w:szCs w:val="24"/>
        </w:rPr>
        <w:t>Gardien</w:t>
      </w:r>
      <w:proofErr w:type="spellEnd"/>
      <w:r w:rsidRPr="00107B33">
        <w:rPr>
          <w:rFonts w:ascii="Times New Roman" w:eastAsia="Times New Roman" w:hAnsi="Times New Roman" w:cs="Times New Roman"/>
          <w:sz w:val="24"/>
          <w:szCs w:val="24"/>
        </w:rPr>
        <w:t xml:space="preserve"> et al 1995, </w:t>
      </w:r>
      <w:proofErr w:type="spellStart"/>
      <w:r w:rsidRPr="00107B33">
        <w:rPr>
          <w:rFonts w:ascii="Times New Roman" w:eastAsia="Times New Roman" w:hAnsi="Times New Roman" w:cs="Times New Roman"/>
          <w:sz w:val="24"/>
          <w:szCs w:val="24"/>
        </w:rPr>
        <w:t>Patiño-Douce</w:t>
      </w:r>
      <w:proofErr w:type="spellEnd"/>
      <w:r w:rsidRPr="00107B33">
        <w:rPr>
          <w:rFonts w:ascii="Times New Roman" w:eastAsia="Times New Roman" w:hAnsi="Times New Roman" w:cs="Times New Roman"/>
          <w:sz w:val="24"/>
          <w:szCs w:val="24"/>
        </w:rPr>
        <w:t xml:space="preserve"> 1996, Thompson 1996, </w:t>
      </w:r>
      <w:proofErr w:type="spellStart"/>
      <w:r w:rsidRPr="00107B33">
        <w:rPr>
          <w:rFonts w:ascii="Times New Roman" w:eastAsia="Times New Roman" w:hAnsi="Times New Roman" w:cs="Times New Roman"/>
          <w:sz w:val="24"/>
          <w:szCs w:val="24"/>
        </w:rPr>
        <w:t>Knesel</w:t>
      </w:r>
      <w:proofErr w:type="spellEnd"/>
      <w:r w:rsidRPr="00107B33">
        <w:rPr>
          <w:rFonts w:ascii="Times New Roman" w:eastAsia="Times New Roman" w:hAnsi="Times New Roman" w:cs="Times New Roman"/>
          <w:sz w:val="24"/>
          <w:szCs w:val="24"/>
        </w:rPr>
        <w:t xml:space="preserve"> and Davidson 2002).</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proofErr w:type="spellStart"/>
      <w:r w:rsidRPr="00107B33">
        <w:rPr>
          <w:rFonts w:ascii="Times New Roman" w:eastAsia="Times New Roman" w:hAnsi="Times New Roman" w:cs="Times New Roman"/>
          <w:sz w:val="24"/>
          <w:szCs w:val="24"/>
        </w:rPr>
        <w:lastRenderedPageBreak/>
        <w:t>Crustally</w:t>
      </w:r>
      <w:proofErr w:type="spellEnd"/>
      <w:r w:rsidRPr="00107B33">
        <w:rPr>
          <w:rFonts w:ascii="Times New Roman" w:eastAsia="Times New Roman" w:hAnsi="Times New Roman" w:cs="Times New Roman"/>
          <w:sz w:val="24"/>
          <w:szCs w:val="24"/>
        </w:rPr>
        <w:t xml:space="preserve"> derived melts have complicated trace element and isotopic geochemistry in part due to the disequilibrium nature of crustal anatexis at relatively low temperatures. Experimental and field observations have shown that the geochemical and isotopic characteristics of anatectic melts are determined by mineral phases entering the melt, rather than the bulk source rock (e.g., </w:t>
      </w:r>
      <w:proofErr w:type="spellStart"/>
      <w:r w:rsidRPr="00107B33">
        <w:rPr>
          <w:rFonts w:ascii="Times New Roman" w:eastAsia="Times New Roman" w:hAnsi="Times New Roman" w:cs="Times New Roman"/>
          <w:sz w:val="24"/>
          <w:szCs w:val="24"/>
        </w:rPr>
        <w:t>Hammouda</w:t>
      </w:r>
      <w:proofErr w:type="spellEnd"/>
      <w:r w:rsidRPr="00107B33">
        <w:rPr>
          <w:rFonts w:ascii="Times New Roman" w:eastAsia="Times New Roman" w:hAnsi="Times New Roman" w:cs="Times New Roman"/>
          <w:sz w:val="24"/>
          <w:szCs w:val="24"/>
        </w:rPr>
        <w:t xml:space="preserve"> et al 1996, </w:t>
      </w:r>
      <w:proofErr w:type="spellStart"/>
      <w:r w:rsidRPr="00107B33">
        <w:rPr>
          <w:rFonts w:ascii="Times New Roman" w:eastAsia="Times New Roman" w:hAnsi="Times New Roman" w:cs="Times New Roman"/>
          <w:sz w:val="24"/>
          <w:szCs w:val="24"/>
        </w:rPr>
        <w:t>Tommasini</w:t>
      </w:r>
      <w:proofErr w:type="spellEnd"/>
      <w:r w:rsidRPr="00107B33">
        <w:rPr>
          <w:rFonts w:ascii="Times New Roman" w:eastAsia="Times New Roman" w:hAnsi="Times New Roman" w:cs="Times New Roman"/>
          <w:sz w:val="24"/>
          <w:szCs w:val="24"/>
        </w:rPr>
        <w:t xml:space="preserve"> and Davies 1997, </w:t>
      </w:r>
      <w:proofErr w:type="spellStart"/>
      <w:r w:rsidRPr="00107B33">
        <w:rPr>
          <w:rFonts w:ascii="Times New Roman" w:eastAsia="Times New Roman" w:hAnsi="Times New Roman" w:cs="Times New Roman"/>
          <w:sz w:val="24"/>
          <w:szCs w:val="24"/>
        </w:rPr>
        <w:t>Knesel</w:t>
      </w:r>
      <w:proofErr w:type="spellEnd"/>
      <w:r w:rsidRPr="00107B33">
        <w:rPr>
          <w:rFonts w:ascii="Times New Roman" w:eastAsia="Times New Roman" w:hAnsi="Times New Roman" w:cs="Times New Roman"/>
          <w:sz w:val="24"/>
          <w:szCs w:val="24"/>
        </w:rPr>
        <w:t xml:space="preserve"> and Davidson 1999, </w:t>
      </w:r>
      <w:proofErr w:type="spellStart"/>
      <w:r w:rsidRPr="00107B33">
        <w:rPr>
          <w:rFonts w:ascii="Times New Roman" w:eastAsia="Times New Roman" w:hAnsi="Times New Roman" w:cs="Times New Roman"/>
          <w:sz w:val="24"/>
          <w:szCs w:val="24"/>
        </w:rPr>
        <w:t>Knesel</w:t>
      </w:r>
      <w:proofErr w:type="spellEnd"/>
      <w:r w:rsidRPr="00107B33">
        <w:rPr>
          <w:rFonts w:ascii="Times New Roman" w:eastAsia="Times New Roman" w:hAnsi="Times New Roman" w:cs="Times New Roman"/>
          <w:sz w:val="24"/>
          <w:szCs w:val="24"/>
        </w:rPr>
        <w:t xml:space="preserve"> and Davidson 2002). That is, as diffusion through the residual minerals becomes slow relative to melt extraction, a limit is approached whereby the phases contributing to the nonmodal melting reaction simply impart their budget of trace elements and their isotopic signature directly to the melt, whereas material that does not melt quantitatively withholds its trace elements. Partial melting of mica-rich metasedimentary rocks is particularly interesting, because it has been demonstrated that a given source material can generate a wide spectrum of melts and crystalline residues with a wide range of trace element and radiogenic isotopic signatures (</w:t>
      </w:r>
      <w:proofErr w:type="spellStart"/>
      <w:r w:rsidRPr="00107B33">
        <w:rPr>
          <w:rFonts w:ascii="Times New Roman" w:eastAsia="Times New Roman" w:hAnsi="Times New Roman" w:cs="Times New Roman"/>
          <w:sz w:val="24"/>
          <w:szCs w:val="24"/>
        </w:rPr>
        <w:t>Patiño-Douce</w:t>
      </w:r>
      <w:proofErr w:type="spellEnd"/>
      <w:r w:rsidRPr="00107B33">
        <w:rPr>
          <w:rFonts w:ascii="Times New Roman" w:eastAsia="Times New Roman" w:hAnsi="Times New Roman" w:cs="Times New Roman"/>
          <w:sz w:val="24"/>
          <w:szCs w:val="24"/>
        </w:rPr>
        <w:t xml:space="preserve"> 1996, </w:t>
      </w:r>
      <w:proofErr w:type="spellStart"/>
      <w:r w:rsidRPr="00107B33">
        <w:rPr>
          <w:rFonts w:ascii="Times New Roman" w:eastAsia="Times New Roman" w:hAnsi="Times New Roman" w:cs="Times New Roman"/>
          <w:sz w:val="24"/>
          <w:szCs w:val="24"/>
        </w:rPr>
        <w:t>Patiño-Douce</w:t>
      </w:r>
      <w:proofErr w:type="spellEnd"/>
      <w:r w:rsidRPr="00107B33">
        <w:rPr>
          <w:rFonts w:ascii="Times New Roman" w:eastAsia="Times New Roman" w:hAnsi="Times New Roman" w:cs="Times New Roman"/>
          <w:sz w:val="24"/>
          <w:szCs w:val="24"/>
        </w:rPr>
        <w:t xml:space="preserve"> and Harris 1998, </w:t>
      </w:r>
      <w:proofErr w:type="spellStart"/>
      <w:r w:rsidRPr="00107B33">
        <w:rPr>
          <w:rFonts w:ascii="Times New Roman" w:eastAsia="Times New Roman" w:hAnsi="Times New Roman" w:cs="Times New Roman"/>
          <w:sz w:val="24"/>
          <w:szCs w:val="24"/>
        </w:rPr>
        <w:t>Knesel</w:t>
      </w:r>
      <w:proofErr w:type="spellEnd"/>
      <w:r w:rsidRPr="00107B33">
        <w:rPr>
          <w:rFonts w:ascii="Times New Roman" w:eastAsia="Times New Roman" w:hAnsi="Times New Roman" w:cs="Times New Roman"/>
          <w:sz w:val="24"/>
          <w:szCs w:val="24"/>
        </w:rPr>
        <w:t xml:space="preserve"> and Davidson 2002). It follows that contamination of an intruding granitic magma body by partial melts of the crust, for example, may not admit a straightforward interpretation in terms of simple mixing of components.</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 xml:space="preserve">Over the last two decades, experimental petrology and field observations have suggested that the behavior of trace elements hosted dominantly by rock-forming minerals may be quite different from those hosted mainly by accessory minerals such as apatite and monazite (Miller and </w:t>
      </w:r>
      <w:proofErr w:type="spellStart"/>
      <w:r w:rsidRPr="00107B33">
        <w:rPr>
          <w:rFonts w:ascii="Times New Roman" w:eastAsia="Times New Roman" w:hAnsi="Times New Roman" w:cs="Times New Roman"/>
          <w:sz w:val="24"/>
          <w:szCs w:val="24"/>
        </w:rPr>
        <w:t>Mittlefehldt</w:t>
      </w:r>
      <w:proofErr w:type="spellEnd"/>
      <w:r w:rsidRPr="00107B33">
        <w:rPr>
          <w:rFonts w:ascii="Times New Roman" w:eastAsia="Times New Roman" w:hAnsi="Times New Roman" w:cs="Times New Roman"/>
          <w:sz w:val="24"/>
          <w:szCs w:val="24"/>
        </w:rPr>
        <w:t xml:space="preserve"> 1982, </w:t>
      </w:r>
      <w:proofErr w:type="spellStart"/>
      <w:r w:rsidRPr="00107B33">
        <w:rPr>
          <w:rFonts w:ascii="Times New Roman" w:eastAsia="Times New Roman" w:hAnsi="Times New Roman" w:cs="Times New Roman"/>
          <w:sz w:val="24"/>
          <w:szCs w:val="24"/>
        </w:rPr>
        <w:t>Mittlefehldt</w:t>
      </w:r>
      <w:proofErr w:type="spellEnd"/>
      <w:r w:rsidRPr="00107B33">
        <w:rPr>
          <w:rFonts w:ascii="Times New Roman" w:eastAsia="Times New Roman" w:hAnsi="Times New Roman" w:cs="Times New Roman"/>
          <w:sz w:val="24"/>
          <w:szCs w:val="24"/>
        </w:rPr>
        <w:t xml:space="preserve"> and Miller 1983, Watson and Harrison 1984, Hogan and Sinha 1991, Watt and Harley 1993, </w:t>
      </w:r>
      <w:proofErr w:type="spellStart"/>
      <w:r w:rsidRPr="00107B33">
        <w:rPr>
          <w:rFonts w:ascii="Times New Roman" w:eastAsia="Times New Roman" w:hAnsi="Times New Roman" w:cs="Times New Roman"/>
          <w:sz w:val="24"/>
          <w:szCs w:val="24"/>
        </w:rPr>
        <w:t>Nabelek</w:t>
      </w:r>
      <w:proofErr w:type="spellEnd"/>
      <w:r w:rsidRPr="00107B33">
        <w:rPr>
          <w:rFonts w:ascii="Times New Roman" w:eastAsia="Times New Roman" w:hAnsi="Times New Roman" w:cs="Times New Roman"/>
          <w:sz w:val="24"/>
          <w:szCs w:val="24"/>
        </w:rPr>
        <w:t xml:space="preserve"> and Glascock 1995, </w:t>
      </w:r>
      <w:proofErr w:type="spellStart"/>
      <w:r w:rsidRPr="00107B33">
        <w:rPr>
          <w:rFonts w:ascii="Times New Roman" w:eastAsia="Times New Roman" w:hAnsi="Times New Roman" w:cs="Times New Roman"/>
          <w:sz w:val="24"/>
          <w:szCs w:val="24"/>
        </w:rPr>
        <w:t>Nabelek</w:t>
      </w:r>
      <w:proofErr w:type="spellEnd"/>
      <w:r w:rsidRPr="00107B33">
        <w:rPr>
          <w:rFonts w:ascii="Times New Roman" w:eastAsia="Times New Roman" w:hAnsi="Times New Roman" w:cs="Times New Roman"/>
          <w:sz w:val="24"/>
          <w:szCs w:val="24"/>
        </w:rPr>
        <w:t xml:space="preserve"> 1999, Bea 1996a, Bea and Montero 1999, Zeng et al 2005). In addition, the behavior of light rare earth elements (LREE), particularly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 and Nd, in felsic magma is very different from that which has been inferred for mafic magmas (Miller and </w:t>
      </w:r>
      <w:proofErr w:type="spellStart"/>
      <w:r w:rsidRPr="00107B33">
        <w:rPr>
          <w:rFonts w:ascii="Times New Roman" w:eastAsia="Times New Roman" w:hAnsi="Times New Roman" w:cs="Times New Roman"/>
          <w:sz w:val="24"/>
          <w:szCs w:val="24"/>
        </w:rPr>
        <w:t>Mittlefehldt</w:t>
      </w:r>
      <w:proofErr w:type="spellEnd"/>
      <w:r w:rsidRPr="00107B33">
        <w:rPr>
          <w:rFonts w:ascii="Times New Roman" w:eastAsia="Times New Roman" w:hAnsi="Times New Roman" w:cs="Times New Roman"/>
          <w:sz w:val="24"/>
          <w:szCs w:val="24"/>
        </w:rPr>
        <w:t xml:space="preserve"> 1982, </w:t>
      </w:r>
      <w:proofErr w:type="spellStart"/>
      <w:r w:rsidRPr="00107B33">
        <w:rPr>
          <w:rFonts w:ascii="Times New Roman" w:eastAsia="Times New Roman" w:hAnsi="Times New Roman" w:cs="Times New Roman"/>
          <w:sz w:val="24"/>
          <w:szCs w:val="24"/>
        </w:rPr>
        <w:t>Mittlefehldt</w:t>
      </w:r>
      <w:proofErr w:type="spellEnd"/>
      <w:r w:rsidRPr="00107B33">
        <w:rPr>
          <w:rFonts w:ascii="Times New Roman" w:eastAsia="Times New Roman" w:hAnsi="Times New Roman" w:cs="Times New Roman"/>
          <w:sz w:val="24"/>
          <w:szCs w:val="24"/>
        </w:rPr>
        <w:t xml:space="preserve"> and Miller 1983). The participation of phases in which LREE are highly compatible has important implications for trace element and Nd isotopic systematics of the products of crustal anatexis. For instance, Watson and Harrison (1984) pointed out the possibility that </w:t>
      </w:r>
      <w:proofErr w:type="spellStart"/>
      <w:r w:rsidRPr="00107B33">
        <w:rPr>
          <w:rFonts w:ascii="Times New Roman" w:eastAsia="Times New Roman" w:hAnsi="Times New Roman" w:cs="Times New Roman"/>
          <w:sz w:val="24"/>
          <w:szCs w:val="24"/>
        </w:rPr>
        <w:t>unmelted</w:t>
      </w:r>
      <w:proofErr w:type="spellEnd"/>
      <w:r w:rsidRPr="00107B33">
        <w:rPr>
          <w:rFonts w:ascii="Times New Roman" w:eastAsia="Times New Roman" w:hAnsi="Times New Roman" w:cs="Times New Roman"/>
          <w:sz w:val="24"/>
          <w:szCs w:val="24"/>
        </w:rPr>
        <w:t xml:space="preserve"> accessory minerals may carry with them the radiogenic components (Pb, Nd and Hf) of the source region. Hogan and Sinha (1991) presented a model and discussed the role of zircon in the redistribution of lead isotopes during crustal anatexis. If the differences in Sr or Nd isotopic compositions among phases in an aged source rock persist until the onset of melting, it is conceivable that melts from crustal partial melting will develop complicated but distinct isotopic compositions with respect to their source. Whether or not the Rb-Sr system is coupled with the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-Nd system during partial melting of typical metasedimentary rocks is still not a well-understood problem. Because most granitoids contain some crustal components derived from assimilation of melts from crustal rocks, understanding the joint behavior of the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-Nd and Rb-Sr isotope systems during anatexis of </w:t>
      </w:r>
      <w:proofErr w:type="spellStart"/>
      <w:r w:rsidRPr="00107B33">
        <w:rPr>
          <w:rFonts w:ascii="Times New Roman" w:eastAsia="Times New Roman" w:hAnsi="Times New Roman" w:cs="Times New Roman"/>
          <w:sz w:val="24"/>
          <w:szCs w:val="24"/>
        </w:rPr>
        <w:t>metasediments</w:t>
      </w:r>
      <w:proofErr w:type="spellEnd"/>
      <w:r w:rsidRPr="00107B33">
        <w:rPr>
          <w:rFonts w:ascii="Times New Roman" w:eastAsia="Times New Roman" w:hAnsi="Times New Roman" w:cs="Times New Roman"/>
          <w:sz w:val="24"/>
          <w:szCs w:val="24"/>
        </w:rPr>
        <w:t xml:space="preserve"> is critical to discuss the Sr-Nd systematics of granitoids and to formulate and test various petrogenesis models for their formation.</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 xml:space="preserve">In our studies on the migmatite zone of the Isabella pendant, southern Sierra Nevada, California, we found that the </w:t>
      </w:r>
      <w:proofErr w:type="spellStart"/>
      <w:r w:rsidRPr="00107B33">
        <w:rPr>
          <w:rFonts w:ascii="Times New Roman" w:eastAsia="Times New Roman" w:hAnsi="Times New Roman" w:cs="Times New Roman"/>
          <w:sz w:val="24"/>
          <w:szCs w:val="24"/>
        </w:rPr>
        <w:t>leucosomes</w:t>
      </w:r>
      <w:proofErr w:type="spellEnd"/>
      <w:r w:rsidRPr="00107B33">
        <w:rPr>
          <w:rFonts w:ascii="Times New Roman" w:eastAsia="Times New Roman" w:hAnsi="Times New Roman" w:cs="Times New Roman"/>
          <w:sz w:val="24"/>
          <w:szCs w:val="24"/>
        </w:rPr>
        <w:t xml:space="preserve">, i.e., melts derived from partial melting of the </w:t>
      </w:r>
      <w:proofErr w:type="spellStart"/>
      <w:r w:rsidRPr="00107B33">
        <w:rPr>
          <w:rFonts w:ascii="Times New Roman" w:eastAsia="Times New Roman" w:hAnsi="Times New Roman" w:cs="Times New Roman"/>
          <w:sz w:val="24"/>
          <w:szCs w:val="24"/>
        </w:rPr>
        <w:t>pelites</w:t>
      </w:r>
      <w:proofErr w:type="spellEnd"/>
      <w:r w:rsidRPr="00107B33">
        <w:rPr>
          <w:rFonts w:ascii="Times New Roman" w:eastAsia="Times New Roman" w:hAnsi="Times New Roman" w:cs="Times New Roman"/>
          <w:sz w:val="24"/>
          <w:szCs w:val="24"/>
        </w:rPr>
        <w:t xml:space="preserve"> of the metamorphic framework rocks, preserve a record of large magnitude Nd but weak Sr isotopic disequilibrium with respect to their </w:t>
      </w:r>
      <w:proofErr w:type="spellStart"/>
      <w:r w:rsidRPr="00107B33">
        <w:rPr>
          <w:rFonts w:ascii="Times New Roman" w:eastAsia="Times New Roman" w:hAnsi="Times New Roman" w:cs="Times New Roman"/>
          <w:sz w:val="24"/>
          <w:szCs w:val="24"/>
        </w:rPr>
        <w:t>pelitic</w:t>
      </w:r>
      <w:proofErr w:type="spellEnd"/>
      <w:r w:rsidRPr="00107B33">
        <w:rPr>
          <w:rFonts w:ascii="Times New Roman" w:eastAsia="Times New Roman" w:hAnsi="Times New Roman" w:cs="Times New Roman"/>
          <w:sz w:val="24"/>
          <w:szCs w:val="24"/>
        </w:rPr>
        <w:t xml:space="preserve"> source (Fig. 1). The </w:t>
      </w:r>
      <w:proofErr w:type="spellStart"/>
      <w:r w:rsidRPr="00107B33">
        <w:rPr>
          <w:rFonts w:ascii="Times New Roman" w:eastAsia="Times New Roman" w:hAnsi="Times New Roman" w:cs="Times New Roman"/>
          <w:sz w:val="24"/>
          <w:szCs w:val="24"/>
        </w:rPr>
        <w:t>leucosomes</w:t>
      </w:r>
      <w:proofErr w:type="spellEnd"/>
      <w:r w:rsidRPr="00107B33">
        <w:rPr>
          <w:rFonts w:ascii="Times New Roman" w:eastAsia="Times New Roman" w:hAnsi="Times New Roman" w:cs="Times New Roman"/>
          <w:sz w:val="24"/>
          <w:szCs w:val="24"/>
        </w:rPr>
        <w:t xml:space="preserve"> have a wide range of initial </w:t>
      </w:r>
      <w:proofErr w:type="spellStart"/>
      <w:r w:rsidRPr="00107B33">
        <w:rPr>
          <w:rFonts w:ascii="Times New Roman" w:eastAsia="Times New Roman" w:hAnsi="Times New Roman" w:cs="Times New Roman"/>
          <w:sz w:val="24"/>
          <w:szCs w:val="24"/>
        </w:rPr>
        <w:t>ε</w:t>
      </w:r>
      <w:proofErr w:type="gramStart"/>
      <w:r w:rsidRPr="00107B33">
        <w:rPr>
          <w:rFonts w:ascii="Times New Roman" w:eastAsia="Times New Roman" w:hAnsi="Times New Roman" w:cs="Times New Roman"/>
          <w:sz w:val="24"/>
          <w:szCs w:val="24"/>
          <w:vertAlign w:val="subscript"/>
        </w:rPr>
        <w:t>Nd</w:t>
      </w:r>
      <w:proofErr w:type="spellEnd"/>
      <w:r w:rsidRPr="00107B33">
        <w:rPr>
          <w:rFonts w:ascii="Times New Roman" w:eastAsia="Times New Roman" w:hAnsi="Times New Roman" w:cs="Times New Roman"/>
          <w:sz w:val="24"/>
          <w:szCs w:val="24"/>
        </w:rPr>
        <w:t>(</w:t>
      </w:r>
      <w:proofErr w:type="spellStart"/>
      <w:proofErr w:type="gramEnd"/>
      <w:r w:rsidRPr="00107B33">
        <w:rPr>
          <w:rFonts w:ascii="Times New Roman" w:eastAsia="Times New Roman" w:hAnsi="Times New Roman" w:cs="Times New Roman"/>
          <w:sz w:val="24"/>
          <w:szCs w:val="24"/>
        </w:rPr>
        <w:t>i</w:t>
      </w:r>
      <w:proofErr w:type="spellEnd"/>
      <w:r w:rsidRPr="00107B33">
        <w:rPr>
          <w:rFonts w:ascii="Times New Roman" w:eastAsia="Times New Roman" w:hAnsi="Times New Roman" w:cs="Times New Roman"/>
          <w:sz w:val="24"/>
          <w:szCs w:val="24"/>
        </w:rPr>
        <w:t xml:space="preserve"> = 100 Ma) from −6.0 to −11.0, as compared to −8.7 to −11.3 for the source. These </w:t>
      </w:r>
      <w:proofErr w:type="spellStart"/>
      <w:r w:rsidRPr="00107B33">
        <w:rPr>
          <w:rFonts w:ascii="Times New Roman" w:eastAsia="Times New Roman" w:hAnsi="Times New Roman" w:cs="Times New Roman"/>
          <w:sz w:val="24"/>
          <w:szCs w:val="24"/>
        </w:rPr>
        <w:t>leucosomes</w:t>
      </w:r>
      <w:proofErr w:type="spellEnd"/>
      <w:r w:rsidRPr="00107B33">
        <w:rPr>
          <w:rFonts w:ascii="Times New Roman" w:eastAsia="Times New Roman" w:hAnsi="Times New Roman" w:cs="Times New Roman"/>
          <w:sz w:val="24"/>
          <w:szCs w:val="24"/>
        </w:rPr>
        <w:t xml:space="preserve"> can be subdivided into two groups based on their major elements and Sr and Nd isotope geochemistry. Group A </w:t>
      </w:r>
      <w:proofErr w:type="spellStart"/>
      <w:r w:rsidRPr="00107B33">
        <w:rPr>
          <w:rFonts w:ascii="Times New Roman" w:eastAsia="Times New Roman" w:hAnsi="Times New Roman" w:cs="Times New Roman"/>
          <w:sz w:val="24"/>
          <w:szCs w:val="24"/>
        </w:rPr>
        <w:t>leucosomes</w:t>
      </w:r>
      <w:proofErr w:type="spellEnd"/>
      <w:r w:rsidRPr="00107B33">
        <w:rPr>
          <w:rFonts w:ascii="Times New Roman" w:eastAsia="Times New Roman" w:hAnsi="Times New Roman" w:cs="Times New Roman"/>
          <w:sz w:val="24"/>
          <w:szCs w:val="24"/>
        </w:rPr>
        <w:t xml:space="preserve"> have higher P</w:t>
      </w:r>
      <w:r w:rsidRPr="00107B33">
        <w:rPr>
          <w:rFonts w:ascii="Times New Roman" w:eastAsia="Times New Roman" w:hAnsi="Times New Roman" w:cs="Times New Roman"/>
          <w:sz w:val="24"/>
          <w:szCs w:val="24"/>
          <w:vertAlign w:val="subscript"/>
        </w:rPr>
        <w:t>2</w:t>
      </w:r>
      <w:r w:rsidRPr="00107B33">
        <w:rPr>
          <w:rFonts w:ascii="Times New Roman" w:eastAsia="Times New Roman" w:hAnsi="Times New Roman" w:cs="Times New Roman"/>
          <w:sz w:val="24"/>
          <w:szCs w:val="24"/>
        </w:rPr>
        <w:t>O</w:t>
      </w:r>
      <w:r w:rsidRPr="00107B33">
        <w:rPr>
          <w:rFonts w:ascii="Times New Roman" w:eastAsia="Times New Roman" w:hAnsi="Times New Roman" w:cs="Times New Roman"/>
          <w:sz w:val="24"/>
          <w:szCs w:val="24"/>
          <w:vertAlign w:val="subscript"/>
        </w:rPr>
        <w:t>5</w:t>
      </w:r>
      <w:r w:rsidRPr="00107B33">
        <w:rPr>
          <w:rFonts w:ascii="Times New Roman" w:eastAsia="Times New Roman" w:hAnsi="Times New Roman" w:cs="Times New Roman"/>
          <w:sz w:val="24"/>
          <w:szCs w:val="24"/>
        </w:rPr>
        <w:t xml:space="preserve"> contents and </w:t>
      </w:r>
      <w:proofErr w:type="spellStart"/>
      <w:r w:rsidRPr="00107B33">
        <w:rPr>
          <w:rFonts w:ascii="Times New Roman" w:eastAsia="Times New Roman" w:hAnsi="Times New Roman" w:cs="Times New Roman"/>
          <w:sz w:val="24"/>
          <w:szCs w:val="24"/>
        </w:rPr>
        <w:t>ε</w:t>
      </w:r>
      <w:r w:rsidRPr="00107B33">
        <w:rPr>
          <w:rFonts w:ascii="Times New Roman" w:eastAsia="Times New Roman" w:hAnsi="Times New Roman" w:cs="Times New Roman"/>
          <w:sz w:val="24"/>
          <w:szCs w:val="24"/>
          <w:vertAlign w:val="subscript"/>
        </w:rPr>
        <w:t>Nd</w:t>
      </w:r>
      <w:proofErr w:type="spellEnd"/>
      <w:r w:rsidRPr="00107B33">
        <w:rPr>
          <w:rFonts w:ascii="Times New Roman" w:eastAsia="Times New Roman" w:hAnsi="Times New Roman" w:cs="Times New Roman"/>
          <w:sz w:val="24"/>
          <w:szCs w:val="24"/>
        </w:rPr>
        <w:t>(</w:t>
      </w:r>
      <w:proofErr w:type="spellStart"/>
      <w:r w:rsidRPr="00107B33">
        <w:rPr>
          <w:rFonts w:ascii="Times New Roman" w:eastAsia="Times New Roman" w:hAnsi="Times New Roman" w:cs="Times New Roman"/>
          <w:sz w:val="24"/>
          <w:szCs w:val="24"/>
        </w:rPr>
        <w:t>i</w:t>
      </w:r>
      <w:proofErr w:type="spellEnd"/>
      <w:r w:rsidRPr="00107B33">
        <w:rPr>
          <w:rFonts w:ascii="Times New Roman" w:eastAsia="Times New Roman" w:hAnsi="Times New Roman" w:cs="Times New Roman"/>
          <w:sz w:val="24"/>
          <w:szCs w:val="24"/>
        </w:rPr>
        <w:t xml:space="preserve">) values, a tendency toward high </w:t>
      </w:r>
      <w:r w:rsidRPr="00107B33">
        <w:rPr>
          <w:rFonts w:ascii="Times New Roman" w:eastAsia="Times New Roman" w:hAnsi="Times New Roman" w:cs="Times New Roman"/>
          <w:sz w:val="24"/>
          <w:szCs w:val="24"/>
          <w:vertAlign w:val="superscript"/>
        </w:rPr>
        <w:t>87</w:t>
      </w:r>
      <w:r w:rsidRPr="00107B33">
        <w:rPr>
          <w:rFonts w:ascii="Times New Roman" w:eastAsia="Times New Roman" w:hAnsi="Times New Roman" w:cs="Times New Roman"/>
          <w:sz w:val="24"/>
          <w:szCs w:val="24"/>
        </w:rPr>
        <w:t>Sr/</w:t>
      </w:r>
      <w:r w:rsidRPr="00107B33">
        <w:rPr>
          <w:rFonts w:ascii="Times New Roman" w:eastAsia="Times New Roman" w:hAnsi="Times New Roman" w:cs="Times New Roman"/>
          <w:sz w:val="24"/>
          <w:szCs w:val="24"/>
          <w:vertAlign w:val="superscript"/>
        </w:rPr>
        <w:t>86</w:t>
      </w:r>
      <w:r w:rsidRPr="00107B33">
        <w:rPr>
          <w:rFonts w:ascii="Times New Roman" w:eastAsia="Times New Roman" w:hAnsi="Times New Roman" w:cs="Times New Roman"/>
          <w:sz w:val="24"/>
          <w:szCs w:val="24"/>
        </w:rPr>
        <w:t xml:space="preserve">Sr, and granitic composition. Group B </w:t>
      </w:r>
      <w:proofErr w:type="spellStart"/>
      <w:r w:rsidRPr="00107B33">
        <w:rPr>
          <w:rFonts w:ascii="Times New Roman" w:eastAsia="Times New Roman" w:hAnsi="Times New Roman" w:cs="Times New Roman"/>
          <w:sz w:val="24"/>
          <w:szCs w:val="24"/>
        </w:rPr>
        <w:t>leucosomes</w:t>
      </w:r>
      <w:proofErr w:type="spellEnd"/>
      <w:r w:rsidRPr="00107B33">
        <w:rPr>
          <w:rFonts w:ascii="Times New Roman" w:eastAsia="Times New Roman" w:hAnsi="Times New Roman" w:cs="Times New Roman"/>
          <w:sz w:val="24"/>
          <w:szCs w:val="24"/>
        </w:rPr>
        <w:t xml:space="preserve"> have lower P</w:t>
      </w:r>
      <w:r w:rsidRPr="00107B33">
        <w:rPr>
          <w:rFonts w:ascii="Times New Roman" w:eastAsia="Times New Roman" w:hAnsi="Times New Roman" w:cs="Times New Roman"/>
          <w:sz w:val="24"/>
          <w:szCs w:val="24"/>
          <w:vertAlign w:val="subscript"/>
        </w:rPr>
        <w:t>2</w:t>
      </w:r>
      <w:r w:rsidRPr="00107B33">
        <w:rPr>
          <w:rFonts w:ascii="Times New Roman" w:eastAsia="Times New Roman" w:hAnsi="Times New Roman" w:cs="Times New Roman"/>
          <w:sz w:val="24"/>
          <w:szCs w:val="24"/>
        </w:rPr>
        <w:t>O</w:t>
      </w:r>
      <w:r w:rsidRPr="00107B33">
        <w:rPr>
          <w:rFonts w:ascii="Times New Roman" w:eastAsia="Times New Roman" w:hAnsi="Times New Roman" w:cs="Times New Roman"/>
          <w:sz w:val="24"/>
          <w:szCs w:val="24"/>
          <w:vertAlign w:val="subscript"/>
        </w:rPr>
        <w:t>5</w:t>
      </w:r>
      <w:r w:rsidRPr="00107B33">
        <w:rPr>
          <w:rFonts w:ascii="Times New Roman" w:eastAsia="Times New Roman" w:hAnsi="Times New Roman" w:cs="Times New Roman"/>
          <w:sz w:val="24"/>
          <w:szCs w:val="24"/>
        </w:rPr>
        <w:t xml:space="preserve">, lower </w:t>
      </w:r>
      <w:proofErr w:type="spellStart"/>
      <w:r w:rsidRPr="00107B33">
        <w:rPr>
          <w:rFonts w:ascii="Times New Roman" w:eastAsia="Times New Roman" w:hAnsi="Times New Roman" w:cs="Times New Roman"/>
          <w:sz w:val="24"/>
          <w:szCs w:val="24"/>
        </w:rPr>
        <w:t>ε</w:t>
      </w:r>
      <w:r w:rsidRPr="00107B33">
        <w:rPr>
          <w:rFonts w:ascii="Times New Roman" w:eastAsia="Times New Roman" w:hAnsi="Times New Roman" w:cs="Times New Roman"/>
          <w:sz w:val="24"/>
          <w:szCs w:val="24"/>
          <w:vertAlign w:val="subscript"/>
        </w:rPr>
        <w:t>Nd</w:t>
      </w:r>
      <w:proofErr w:type="spellEnd"/>
      <w:r w:rsidRPr="00107B33">
        <w:rPr>
          <w:rFonts w:ascii="Times New Roman" w:eastAsia="Times New Roman" w:hAnsi="Times New Roman" w:cs="Times New Roman"/>
          <w:sz w:val="24"/>
          <w:szCs w:val="24"/>
        </w:rPr>
        <w:t>(</w:t>
      </w:r>
      <w:proofErr w:type="spellStart"/>
      <w:r w:rsidRPr="00107B33">
        <w:rPr>
          <w:rFonts w:ascii="Times New Roman" w:eastAsia="Times New Roman" w:hAnsi="Times New Roman" w:cs="Times New Roman"/>
          <w:sz w:val="24"/>
          <w:szCs w:val="24"/>
        </w:rPr>
        <w:t>i</w:t>
      </w:r>
      <w:proofErr w:type="spellEnd"/>
      <w:r w:rsidRPr="00107B33">
        <w:rPr>
          <w:rFonts w:ascii="Times New Roman" w:eastAsia="Times New Roman" w:hAnsi="Times New Roman" w:cs="Times New Roman"/>
          <w:sz w:val="24"/>
          <w:szCs w:val="24"/>
        </w:rPr>
        <w:t xml:space="preserve">), lower </w:t>
      </w:r>
      <w:r w:rsidRPr="00107B33">
        <w:rPr>
          <w:rFonts w:ascii="Times New Roman" w:eastAsia="Times New Roman" w:hAnsi="Times New Roman" w:cs="Times New Roman"/>
          <w:sz w:val="24"/>
          <w:szCs w:val="24"/>
          <w:vertAlign w:val="superscript"/>
        </w:rPr>
        <w:t>87</w:t>
      </w:r>
      <w:r w:rsidRPr="00107B33">
        <w:rPr>
          <w:rFonts w:ascii="Times New Roman" w:eastAsia="Times New Roman" w:hAnsi="Times New Roman" w:cs="Times New Roman"/>
          <w:sz w:val="24"/>
          <w:szCs w:val="24"/>
        </w:rPr>
        <w:t>Sr/</w:t>
      </w:r>
      <w:r w:rsidRPr="00107B33">
        <w:rPr>
          <w:rFonts w:ascii="Times New Roman" w:eastAsia="Times New Roman" w:hAnsi="Times New Roman" w:cs="Times New Roman"/>
          <w:sz w:val="24"/>
          <w:szCs w:val="24"/>
          <w:vertAlign w:val="superscript"/>
        </w:rPr>
        <w:t>86</w:t>
      </w:r>
      <w:r w:rsidRPr="00107B33">
        <w:rPr>
          <w:rFonts w:ascii="Times New Roman" w:eastAsia="Times New Roman" w:hAnsi="Times New Roman" w:cs="Times New Roman"/>
          <w:sz w:val="24"/>
          <w:szCs w:val="24"/>
        </w:rPr>
        <w:t xml:space="preserve">Sr, and trondhjemite-like composition (Fig. 1). The </w:t>
      </w:r>
      <w:proofErr w:type="spellStart"/>
      <w:r w:rsidRPr="00107B33">
        <w:rPr>
          <w:rFonts w:ascii="Times New Roman" w:eastAsia="Times New Roman" w:hAnsi="Times New Roman" w:cs="Times New Roman"/>
          <w:sz w:val="24"/>
          <w:szCs w:val="24"/>
        </w:rPr>
        <w:t>ε</w:t>
      </w:r>
      <w:r w:rsidRPr="00107B33">
        <w:rPr>
          <w:rFonts w:ascii="Times New Roman" w:eastAsia="Times New Roman" w:hAnsi="Times New Roman" w:cs="Times New Roman"/>
          <w:sz w:val="24"/>
          <w:szCs w:val="24"/>
          <w:vertAlign w:val="subscript"/>
        </w:rPr>
        <w:t>Nd</w:t>
      </w:r>
      <w:proofErr w:type="spellEnd"/>
      <w:r w:rsidRPr="00107B33">
        <w:rPr>
          <w:rFonts w:ascii="Times New Roman" w:eastAsia="Times New Roman" w:hAnsi="Times New Roman" w:cs="Times New Roman"/>
          <w:sz w:val="24"/>
          <w:szCs w:val="24"/>
        </w:rPr>
        <w:t>(</w:t>
      </w:r>
      <w:proofErr w:type="spellStart"/>
      <w:r w:rsidRPr="00107B33">
        <w:rPr>
          <w:rFonts w:ascii="Times New Roman" w:eastAsia="Times New Roman" w:hAnsi="Times New Roman" w:cs="Times New Roman"/>
          <w:sz w:val="24"/>
          <w:szCs w:val="24"/>
        </w:rPr>
        <w:t>i</w:t>
      </w:r>
      <w:proofErr w:type="spellEnd"/>
      <w:r w:rsidRPr="00107B33">
        <w:rPr>
          <w:rFonts w:ascii="Times New Roman" w:eastAsia="Times New Roman" w:hAnsi="Times New Roman" w:cs="Times New Roman"/>
          <w:sz w:val="24"/>
          <w:szCs w:val="24"/>
        </w:rPr>
        <w:t xml:space="preserve">) values of Group A </w:t>
      </w:r>
      <w:proofErr w:type="spellStart"/>
      <w:r w:rsidRPr="00107B33">
        <w:rPr>
          <w:rFonts w:ascii="Times New Roman" w:eastAsia="Times New Roman" w:hAnsi="Times New Roman" w:cs="Times New Roman"/>
          <w:sz w:val="24"/>
          <w:szCs w:val="24"/>
        </w:rPr>
        <w:t>leucosomes</w:t>
      </w:r>
      <w:proofErr w:type="spellEnd"/>
      <w:r w:rsidRPr="00107B33">
        <w:rPr>
          <w:rFonts w:ascii="Times New Roman" w:eastAsia="Times New Roman" w:hAnsi="Times New Roman" w:cs="Times New Roman"/>
          <w:sz w:val="24"/>
          <w:szCs w:val="24"/>
        </w:rPr>
        <w:t xml:space="preserve"> are significantly higher, by 2–4 epsilon units, than those of bulk migmatites and of correlative metapelites further from the Goat Ranch granodiorite pluton, suggesting substantial Nd isotopic disequilibrium with </w:t>
      </w:r>
      <w:r w:rsidRPr="00107B33">
        <w:rPr>
          <w:rFonts w:ascii="Times New Roman" w:eastAsia="Times New Roman" w:hAnsi="Times New Roman" w:cs="Times New Roman"/>
          <w:sz w:val="24"/>
          <w:szCs w:val="24"/>
        </w:rPr>
        <w:lastRenderedPageBreak/>
        <w:t>respect to their sources. We seek here to examine whether the coupling between accessory mineral dissolution and type of melting reaction can account for the correlation between the observed Sr isotope, Nd isotope, P</w:t>
      </w:r>
      <w:r w:rsidRPr="00107B33">
        <w:rPr>
          <w:rFonts w:ascii="Times New Roman" w:eastAsia="Times New Roman" w:hAnsi="Times New Roman" w:cs="Times New Roman"/>
          <w:sz w:val="24"/>
          <w:szCs w:val="24"/>
          <w:vertAlign w:val="subscript"/>
        </w:rPr>
        <w:t>2</w:t>
      </w:r>
      <w:r w:rsidRPr="00107B33">
        <w:rPr>
          <w:rFonts w:ascii="Times New Roman" w:eastAsia="Times New Roman" w:hAnsi="Times New Roman" w:cs="Times New Roman"/>
          <w:sz w:val="24"/>
          <w:szCs w:val="24"/>
        </w:rPr>
        <w:t>O</w:t>
      </w:r>
      <w:r w:rsidRPr="00107B33">
        <w:rPr>
          <w:rFonts w:ascii="Times New Roman" w:eastAsia="Times New Roman" w:hAnsi="Times New Roman" w:cs="Times New Roman"/>
          <w:sz w:val="24"/>
          <w:szCs w:val="24"/>
          <w:vertAlign w:val="subscript"/>
        </w:rPr>
        <w:t>5</w:t>
      </w:r>
      <w:r w:rsidRPr="00107B33">
        <w:rPr>
          <w:rFonts w:ascii="Times New Roman" w:eastAsia="Times New Roman" w:hAnsi="Times New Roman" w:cs="Times New Roman"/>
          <w:sz w:val="24"/>
          <w:szCs w:val="24"/>
        </w:rPr>
        <w:t xml:space="preserve">, and </w:t>
      </w:r>
      <w:proofErr w:type="spellStart"/>
      <w:r w:rsidRPr="00107B33">
        <w:rPr>
          <w:rFonts w:ascii="Times New Roman" w:eastAsia="Times New Roman" w:hAnsi="Times New Roman" w:cs="Times New Roman"/>
          <w:sz w:val="24"/>
          <w:szCs w:val="24"/>
        </w:rPr>
        <w:t>trondhjemitic</w:t>
      </w:r>
      <w:proofErr w:type="spellEnd"/>
      <w:r w:rsidRPr="00107B33">
        <w:rPr>
          <w:rFonts w:ascii="Times New Roman" w:eastAsia="Times New Roman" w:hAnsi="Times New Roman" w:cs="Times New Roman"/>
          <w:sz w:val="24"/>
          <w:szCs w:val="24"/>
        </w:rPr>
        <w:t xml:space="preserve"> vs. granitic systematics.</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 xml:space="preserve">In this study, we intend to take partial melting of muscovite-bearing metasedimentary rocks as an example to explore the effects of accessory mineral dissolution and nonmodal partial melting on the Rb-Sr and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-Nd isotopic systematics of </w:t>
      </w:r>
      <w:proofErr w:type="spellStart"/>
      <w:r w:rsidRPr="00107B33">
        <w:rPr>
          <w:rFonts w:ascii="Times New Roman" w:eastAsia="Times New Roman" w:hAnsi="Times New Roman" w:cs="Times New Roman"/>
          <w:sz w:val="24"/>
          <w:szCs w:val="24"/>
        </w:rPr>
        <w:t>metasediment</w:t>
      </w:r>
      <w:proofErr w:type="spellEnd"/>
      <w:r w:rsidRPr="00107B33">
        <w:rPr>
          <w:rFonts w:ascii="Times New Roman" w:eastAsia="Times New Roman" w:hAnsi="Times New Roman" w:cs="Times New Roman"/>
          <w:sz w:val="24"/>
          <w:szCs w:val="24"/>
        </w:rPr>
        <w:t xml:space="preserve">-derived melts. We will limit ourselves to the well-constrained case of muscovite dehydration melting of a hypothetical source system consisting of the rock-forming minerals quartz, plagioclase, muscovite, biotite, and aluminosilicate with accessory minerals apatite and monazite. We will demonstrate how </w:t>
      </w:r>
      <w:proofErr w:type="spellStart"/>
      <w:r w:rsidRPr="00107B33">
        <w:rPr>
          <w:rFonts w:ascii="Times New Roman" w:eastAsia="Times New Roman" w:hAnsi="Times New Roman" w:cs="Times New Roman"/>
          <w:sz w:val="24"/>
          <w:szCs w:val="24"/>
        </w:rPr>
        <w:t>Rb</w:t>
      </w:r>
      <w:proofErr w:type="spellEnd"/>
      <w:r w:rsidRPr="00107B33">
        <w:rPr>
          <w:rFonts w:ascii="Times New Roman" w:eastAsia="Times New Roman" w:hAnsi="Times New Roman" w:cs="Times New Roman"/>
          <w:sz w:val="24"/>
          <w:szCs w:val="24"/>
        </w:rPr>
        <w:t xml:space="preserve">, Sr, </w:t>
      </w:r>
      <w:proofErr w:type="spellStart"/>
      <w:r w:rsidRPr="00107B33">
        <w:rPr>
          <w:rFonts w:ascii="Times New Roman" w:eastAsia="Times New Roman" w:hAnsi="Times New Roman" w:cs="Times New Roman"/>
          <w:sz w:val="24"/>
          <w:szCs w:val="24"/>
        </w:rPr>
        <w:t>Sm</w:t>
      </w:r>
      <w:proofErr w:type="spellEnd"/>
      <w:r w:rsidRPr="00107B33">
        <w:rPr>
          <w:rFonts w:ascii="Times New Roman" w:eastAsia="Times New Roman" w:hAnsi="Times New Roman" w:cs="Times New Roman"/>
          <w:sz w:val="24"/>
          <w:szCs w:val="24"/>
        </w:rPr>
        <w:t xml:space="preserve">, Nd, </w:t>
      </w:r>
      <w:r w:rsidRPr="00107B33">
        <w:rPr>
          <w:rFonts w:ascii="Times New Roman" w:eastAsia="Times New Roman" w:hAnsi="Times New Roman" w:cs="Times New Roman"/>
          <w:sz w:val="24"/>
          <w:szCs w:val="24"/>
          <w:vertAlign w:val="superscript"/>
        </w:rPr>
        <w:t>87</w:t>
      </w:r>
      <w:r w:rsidRPr="00107B33">
        <w:rPr>
          <w:rFonts w:ascii="Times New Roman" w:eastAsia="Times New Roman" w:hAnsi="Times New Roman" w:cs="Times New Roman"/>
          <w:sz w:val="24"/>
          <w:szCs w:val="24"/>
        </w:rPr>
        <w:t>Sr/</w:t>
      </w:r>
      <w:r w:rsidRPr="00107B33">
        <w:rPr>
          <w:rFonts w:ascii="Times New Roman" w:eastAsia="Times New Roman" w:hAnsi="Times New Roman" w:cs="Times New Roman"/>
          <w:sz w:val="24"/>
          <w:szCs w:val="24"/>
          <w:vertAlign w:val="superscript"/>
        </w:rPr>
        <w:t>86</w:t>
      </w:r>
      <w:r w:rsidRPr="00107B33">
        <w:rPr>
          <w:rFonts w:ascii="Times New Roman" w:eastAsia="Times New Roman" w:hAnsi="Times New Roman" w:cs="Times New Roman"/>
          <w:sz w:val="24"/>
          <w:szCs w:val="24"/>
        </w:rPr>
        <w:t xml:space="preserve">Sr, </w:t>
      </w:r>
      <w:proofErr w:type="spellStart"/>
      <w:r w:rsidRPr="00107B33">
        <w:rPr>
          <w:rFonts w:ascii="Times New Roman" w:eastAsia="Times New Roman" w:hAnsi="Times New Roman" w:cs="Times New Roman"/>
          <w:sz w:val="24"/>
          <w:szCs w:val="24"/>
        </w:rPr>
        <w:t>ε</w:t>
      </w:r>
      <w:r w:rsidRPr="00107B33">
        <w:rPr>
          <w:rFonts w:ascii="Times New Roman" w:eastAsia="Times New Roman" w:hAnsi="Times New Roman" w:cs="Times New Roman"/>
          <w:sz w:val="24"/>
          <w:szCs w:val="24"/>
          <w:vertAlign w:val="subscript"/>
        </w:rPr>
        <w:t>Nd</w:t>
      </w:r>
      <w:proofErr w:type="spellEnd"/>
      <w:r w:rsidRPr="00107B33">
        <w:rPr>
          <w:rFonts w:ascii="Times New Roman" w:eastAsia="Times New Roman" w:hAnsi="Times New Roman" w:cs="Times New Roman"/>
          <w:sz w:val="24"/>
          <w:szCs w:val="24"/>
          <w:vertAlign w:val="subscript"/>
        </w:rPr>
        <w:t>,</w:t>
      </w:r>
      <w:r w:rsidRPr="00107B33">
        <w:rPr>
          <w:rFonts w:ascii="Times New Roman" w:eastAsia="Times New Roman" w:hAnsi="Times New Roman" w:cs="Times New Roman"/>
          <w:sz w:val="24"/>
          <w:szCs w:val="24"/>
        </w:rPr>
        <w:t xml:space="preserve"> P</w:t>
      </w:r>
      <w:r w:rsidRPr="00107B33">
        <w:rPr>
          <w:rFonts w:ascii="Times New Roman" w:eastAsia="Times New Roman" w:hAnsi="Times New Roman" w:cs="Times New Roman"/>
          <w:sz w:val="24"/>
          <w:szCs w:val="24"/>
          <w:vertAlign w:val="subscript"/>
        </w:rPr>
        <w:t>2</w:t>
      </w:r>
      <w:r w:rsidRPr="00107B33">
        <w:rPr>
          <w:rFonts w:ascii="Times New Roman" w:eastAsia="Times New Roman" w:hAnsi="Times New Roman" w:cs="Times New Roman"/>
          <w:sz w:val="24"/>
          <w:szCs w:val="24"/>
        </w:rPr>
        <w:t>O</w:t>
      </w:r>
      <w:r w:rsidRPr="00107B33">
        <w:rPr>
          <w:rFonts w:ascii="Times New Roman" w:eastAsia="Times New Roman" w:hAnsi="Times New Roman" w:cs="Times New Roman"/>
          <w:sz w:val="24"/>
          <w:szCs w:val="24"/>
          <w:vertAlign w:val="subscript"/>
        </w:rPr>
        <w:t>5,</w:t>
      </w:r>
      <w:r w:rsidRPr="00107B33">
        <w:rPr>
          <w:rFonts w:ascii="Times New Roman" w:eastAsia="Times New Roman" w:hAnsi="Times New Roman" w:cs="Times New Roman"/>
          <w:sz w:val="24"/>
          <w:szCs w:val="24"/>
        </w:rPr>
        <w:t xml:space="preserve"> and K/Na behave during melting of this system. The results presented in this study can be readily extended to systems with more accessory minerals and more complicated melting reactions. Although we address only Sr and Nd isotopes, our results have implications for understanding the behavior of other radiogenic isotope systems such as U-Pb and Lu-Hf during crustal anatexis.</w:t>
      </w:r>
    </w:p>
    <w:p w:rsidR="00107B33" w:rsidRPr="00107B33" w:rsidRDefault="00107B33" w:rsidP="00107B33">
      <w:pPr>
        <w:spacing w:before="100" w:beforeAutospacing="1" w:after="100" w:afterAutospacing="1" w:line="240" w:lineRule="auto"/>
        <w:outlineLvl w:val="1"/>
        <w:rPr>
          <w:rFonts w:ascii="Times New Roman" w:eastAsia="Times New Roman" w:hAnsi="Times New Roman" w:cs="Times New Roman"/>
          <w:b/>
          <w:bCs/>
          <w:sz w:val="36"/>
          <w:szCs w:val="36"/>
        </w:rPr>
      </w:pPr>
      <w:r w:rsidRPr="00107B33">
        <w:rPr>
          <w:rFonts w:ascii="Times New Roman" w:eastAsia="Times New Roman" w:hAnsi="Times New Roman" w:cs="Times New Roman"/>
          <w:b/>
          <w:bCs/>
          <w:sz w:val="36"/>
          <w:szCs w:val="36"/>
        </w:rPr>
        <w:t>Section snippets</w:t>
      </w:r>
    </w:p>
    <w:p w:rsidR="00107B33" w:rsidRPr="00107B33" w:rsidRDefault="00107B33" w:rsidP="00107B33">
      <w:pPr>
        <w:spacing w:before="100" w:beforeAutospacing="1" w:after="100" w:afterAutospacing="1" w:line="240" w:lineRule="auto"/>
        <w:outlineLvl w:val="1"/>
        <w:rPr>
          <w:rFonts w:ascii="Times New Roman" w:eastAsia="Times New Roman" w:hAnsi="Times New Roman" w:cs="Times New Roman"/>
          <w:b/>
          <w:bCs/>
          <w:sz w:val="36"/>
          <w:szCs w:val="36"/>
        </w:rPr>
      </w:pPr>
      <w:r w:rsidRPr="00107B33">
        <w:rPr>
          <w:rFonts w:ascii="Times New Roman" w:eastAsia="Times New Roman" w:hAnsi="Times New Roman" w:cs="Times New Roman"/>
          <w:b/>
          <w:bCs/>
          <w:sz w:val="36"/>
          <w:szCs w:val="36"/>
        </w:rPr>
        <w:t>Melting Reactions</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 xml:space="preserve">A number of experiments have determined the melting reactions of metapelites and metabasites. These results show that crustal anatexis in general can be classified as either fluid-present or fluid-absent partial melting, which differ in the importance of breakdown of hydrous minerals such as muscovite, biotite and hornblende. </w:t>
      </w:r>
      <w:proofErr w:type="spellStart"/>
      <w:r w:rsidRPr="00107B33">
        <w:rPr>
          <w:rFonts w:ascii="Times New Roman" w:eastAsia="Times New Roman" w:hAnsi="Times New Roman" w:cs="Times New Roman"/>
          <w:sz w:val="24"/>
          <w:szCs w:val="24"/>
        </w:rPr>
        <w:t>Patiño-Douce</w:t>
      </w:r>
      <w:proofErr w:type="spellEnd"/>
      <w:r w:rsidRPr="00107B33">
        <w:rPr>
          <w:rFonts w:ascii="Times New Roman" w:eastAsia="Times New Roman" w:hAnsi="Times New Roman" w:cs="Times New Roman"/>
          <w:sz w:val="24"/>
          <w:szCs w:val="24"/>
        </w:rPr>
        <w:t xml:space="preserve"> and Harris (1998) conducted partial melting experiments on </w:t>
      </w:r>
      <w:proofErr w:type="spellStart"/>
      <w:r w:rsidRPr="00107B33">
        <w:rPr>
          <w:rFonts w:ascii="Times New Roman" w:eastAsia="Times New Roman" w:hAnsi="Times New Roman" w:cs="Times New Roman"/>
          <w:sz w:val="24"/>
          <w:szCs w:val="24"/>
        </w:rPr>
        <w:t>metapelitic</w:t>
      </w:r>
      <w:proofErr w:type="spellEnd"/>
      <w:r w:rsidRPr="00107B33">
        <w:rPr>
          <w:rFonts w:ascii="Times New Roman" w:eastAsia="Times New Roman" w:hAnsi="Times New Roman" w:cs="Times New Roman"/>
          <w:sz w:val="24"/>
          <w:szCs w:val="24"/>
        </w:rPr>
        <w:t xml:space="preserve"> rocks from the High Himalayan Crystalline Sequence that are likely sources of the</w:t>
      </w:r>
    </w:p>
    <w:p w:rsidR="00107B33" w:rsidRPr="00107B33" w:rsidRDefault="00107B33" w:rsidP="00107B33">
      <w:pPr>
        <w:spacing w:before="100" w:beforeAutospacing="1" w:after="100" w:afterAutospacing="1" w:line="240" w:lineRule="auto"/>
        <w:outlineLvl w:val="1"/>
        <w:rPr>
          <w:rFonts w:ascii="Times New Roman" w:eastAsia="Times New Roman" w:hAnsi="Times New Roman" w:cs="Times New Roman"/>
          <w:b/>
          <w:bCs/>
          <w:sz w:val="36"/>
          <w:szCs w:val="36"/>
        </w:rPr>
      </w:pPr>
      <w:r w:rsidRPr="00107B33">
        <w:rPr>
          <w:rFonts w:ascii="Times New Roman" w:eastAsia="Times New Roman" w:hAnsi="Times New Roman" w:cs="Times New Roman"/>
          <w:b/>
          <w:bCs/>
          <w:sz w:val="36"/>
          <w:szCs w:val="36"/>
        </w:rPr>
        <w:t>Results and discussion</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 xml:space="preserve">The profound geochemical consequences of accessory phase dissolution during partial melting of high-grade metapelites are illustrated in Fig. 3, Fig. 4. Given the details of how the incongruent melting of muscovite proceeds, we can examine how the Sr isotopic composition evolves as a function of degree of melting. To calculate the </w:t>
      </w:r>
      <w:r w:rsidRPr="00107B33">
        <w:rPr>
          <w:rFonts w:ascii="Times New Roman" w:eastAsia="Times New Roman" w:hAnsi="Times New Roman" w:cs="Times New Roman"/>
          <w:sz w:val="24"/>
          <w:szCs w:val="24"/>
          <w:vertAlign w:val="superscript"/>
        </w:rPr>
        <w:t>87</w:t>
      </w:r>
      <w:r w:rsidRPr="00107B33">
        <w:rPr>
          <w:rFonts w:ascii="Times New Roman" w:eastAsia="Times New Roman" w:hAnsi="Times New Roman" w:cs="Times New Roman"/>
          <w:sz w:val="24"/>
          <w:szCs w:val="24"/>
        </w:rPr>
        <w:t>Sr/</w:t>
      </w:r>
      <w:r w:rsidRPr="00107B33">
        <w:rPr>
          <w:rFonts w:ascii="Times New Roman" w:eastAsia="Times New Roman" w:hAnsi="Times New Roman" w:cs="Times New Roman"/>
          <w:sz w:val="24"/>
          <w:szCs w:val="24"/>
          <w:vertAlign w:val="superscript"/>
        </w:rPr>
        <w:t>86</w:t>
      </w:r>
      <w:r w:rsidRPr="00107B33">
        <w:rPr>
          <w:rFonts w:ascii="Times New Roman" w:eastAsia="Times New Roman" w:hAnsi="Times New Roman" w:cs="Times New Roman"/>
          <w:sz w:val="24"/>
          <w:szCs w:val="24"/>
        </w:rPr>
        <w:t xml:space="preserve">Sr ratios of the melts from reactions MS1 and MS2, the Sr concentrations, </w:t>
      </w:r>
      <w:r w:rsidRPr="00107B33">
        <w:rPr>
          <w:rFonts w:ascii="Times New Roman" w:eastAsia="Times New Roman" w:hAnsi="Times New Roman" w:cs="Times New Roman"/>
          <w:sz w:val="24"/>
          <w:szCs w:val="24"/>
          <w:vertAlign w:val="superscript"/>
        </w:rPr>
        <w:t>87</w:t>
      </w:r>
      <w:r w:rsidRPr="00107B33">
        <w:rPr>
          <w:rFonts w:ascii="Times New Roman" w:eastAsia="Times New Roman" w:hAnsi="Times New Roman" w:cs="Times New Roman"/>
          <w:sz w:val="24"/>
          <w:szCs w:val="24"/>
        </w:rPr>
        <w:t>Sr/</w:t>
      </w:r>
      <w:r w:rsidRPr="00107B33">
        <w:rPr>
          <w:rFonts w:ascii="Times New Roman" w:eastAsia="Times New Roman" w:hAnsi="Times New Roman" w:cs="Times New Roman"/>
          <w:sz w:val="24"/>
          <w:szCs w:val="24"/>
          <w:vertAlign w:val="superscript"/>
        </w:rPr>
        <w:t>86</w:t>
      </w:r>
      <w:r w:rsidRPr="00107B33">
        <w:rPr>
          <w:rFonts w:ascii="Times New Roman" w:eastAsia="Times New Roman" w:hAnsi="Times New Roman" w:cs="Times New Roman"/>
          <w:sz w:val="24"/>
          <w:szCs w:val="24"/>
        </w:rPr>
        <w:t>Sr ratios, and proportions of each phase that contributes to the melt should</w:t>
      </w:r>
    </w:p>
    <w:p w:rsidR="00107B33" w:rsidRPr="00107B33" w:rsidRDefault="00107B33" w:rsidP="00107B33">
      <w:pPr>
        <w:spacing w:before="100" w:beforeAutospacing="1" w:after="100" w:afterAutospacing="1" w:line="240" w:lineRule="auto"/>
        <w:outlineLvl w:val="1"/>
        <w:rPr>
          <w:rFonts w:ascii="Times New Roman" w:eastAsia="Times New Roman" w:hAnsi="Times New Roman" w:cs="Times New Roman"/>
          <w:b/>
          <w:bCs/>
          <w:sz w:val="36"/>
          <w:szCs w:val="36"/>
        </w:rPr>
      </w:pPr>
      <w:r w:rsidRPr="00107B33">
        <w:rPr>
          <w:rFonts w:ascii="Times New Roman" w:eastAsia="Times New Roman" w:hAnsi="Times New Roman" w:cs="Times New Roman"/>
          <w:b/>
          <w:bCs/>
          <w:sz w:val="36"/>
          <w:szCs w:val="36"/>
        </w:rPr>
        <w:t>Summary and conclusions</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t xml:space="preserve">We have incorporated accessory mineral dissolution into nonmodal partial melting modeling to examine the geochemical consequences of muscovite dehydration melting of </w:t>
      </w:r>
      <w:proofErr w:type="spellStart"/>
      <w:r w:rsidRPr="00107B33">
        <w:rPr>
          <w:rFonts w:ascii="Times New Roman" w:eastAsia="Times New Roman" w:hAnsi="Times New Roman" w:cs="Times New Roman"/>
          <w:sz w:val="24"/>
          <w:szCs w:val="24"/>
        </w:rPr>
        <w:t>pelitic</w:t>
      </w:r>
      <w:proofErr w:type="spellEnd"/>
      <w:r w:rsidRPr="00107B33">
        <w:rPr>
          <w:rFonts w:ascii="Times New Roman" w:eastAsia="Times New Roman" w:hAnsi="Times New Roman" w:cs="Times New Roman"/>
          <w:sz w:val="24"/>
          <w:szCs w:val="24"/>
        </w:rPr>
        <w:t xml:space="preserve"> sources. In particular, assuming a hypothetical source consisting of quartz, plagioclase, muscovite, biotite, aluminosilicate, apatite and monazite, and following the partial melting reactions MS1 and MS2 determined by </w:t>
      </w:r>
      <w:proofErr w:type="spellStart"/>
      <w:r w:rsidRPr="00107B33">
        <w:rPr>
          <w:rFonts w:ascii="Times New Roman" w:eastAsia="Times New Roman" w:hAnsi="Times New Roman" w:cs="Times New Roman"/>
          <w:sz w:val="24"/>
          <w:szCs w:val="24"/>
        </w:rPr>
        <w:t>Patiño-Douce</w:t>
      </w:r>
      <w:proofErr w:type="spellEnd"/>
      <w:r w:rsidRPr="00107B33">
        <w:rPr>
          <w:rFonts w:ascii="Times New Roman" w:eastAsia="Times New Roman" w:hAnsi="Times New Roman" w:cs="Times New Roman"/>
          <w:sz w:val="24"/>
          <w:szCs w:val="24"/>
        </w:rPr>
        <w:t xml:space="preserve"> and Harris (1998), dissolution of apatite or monazite into the melt combined with muscovite</w:t>
      </w:r>
    </w:p>
    <w:p w:rsidR="00107B33" w:rsidRPr="00107B33" w:rsidRDefault="00107B33" w:rsidP="00107B33">
      <w:pPr>
        <w:spacing w:before="100" w:beforeAutospacing="1" w:after="100" w:afterAutospacing="1" w:line="240" w:lineRule="auto"/>
        <w:outlineLvl w:val="1"/>
        <w:rPr>
          <w:rFonts w:ascii="Times New Roman" w:eastAsia="Times New Roman" w:hAnsi="Times New Roman" w:cs="Times New Roman"/>
          <w:b/>
          <w:bCs/>
          <w:sz w:val="36"/>
          <w:szCs w:val="36"/>
        </w:rPr>
      </w:pPr>
      <w:r w:rsidRPr="00107B33">
        <w:rPr>
          <w:rFonts w:ascii="Times New Roman" w:eastAsia="Times New Roman" w:hAnsi="Times New Roman" w:cs="Times New Roman"/>
          <w:b/>
          <w:bCs/>
          <w:sz w:val="36"/>
          <w:szCs w:val="36"/>
        </w:rPr>
        <w:t>Acknowledgments</w:t>
      </w:r>
    </w:p>
    <w:p w:rsidR="00107B33" w:rsidRPr="00107B33" w:rsidRDefault="00107B33" w:rsidP="00107B33">
      <w:pPr>
        <w:spacing w:before="100" w:beforeAutospacing="1" w:after="100" w:afterAutospacing="1" w:line="240" w:lineRule="auto"/>
        <w:rPr>
          <w:rFonts w:ascii="Times New Roman" w:eastAsia="Times New Roman" w:hAnsi="Times New Roman" w:cs="Times New Roman"/>
          <w:sz w:val="24"/>
          <w:szCs w:val="24"/>
        </w:rPr>
      </w:pPr>
      <w:r w:rsidRPr="00107B33">
        <w:rPr>
          <w:rFonts w:ascii="Times New Roman" w:eastAsia="Times New Roman" w:hAnsi="Times New Roman" w:cs="Times New Roman"/>
          <w:sz w:val="24"/>
          <w:szCs w:val="24"/>
        </w:rPr>
        <w:lastRenderedPageBreak/>
        <w:t xml:space="preserve">Support for this research was provided by NSF grants EAR-9815024 and EAR-0087347. We thank D.W. </w:t>
      </w:r>
      <w:proofErr w:type="spellStart"/>
      <w:r w:rsidRPr="00107B33">
        <w:rPr>
          <w:rFonts w:ascii="Times New Roman" w:eastAsia="Times New Roman" w:hAnsi="Times New Roman" w:cs="Times New Roman"/>
          <w:sz w:val="24"/>
          <w:szCs w:val="24"/>
        </w:rPr>
        <w:t>Mittlefehldt</w:t>
      </w:r>
      <w:proofErr w:type="spellEnd"/>
      <w:r w:rsidRPr="00107B33">
        <w:rPr>
          <w:rFonts w:ascii="Times New Roman" w:eastAsia="Times New Roman" w:hAnsi="Times New Roman" w:cs="Times New Roman"/>
          <w:sz w:val="24"/>
          <w:szCs w:val="24"/>
        </w:rPr>
        <w:t xml:space="preserve">, E.B. Watson, K. </w:t>
      </w:r>
      <w:proofErr w:type="spellStart"/>
      <w:r w:rsidRPr="00107B33">
        <w:rPr>
          <w:rFonts w:ascii="Times New Roman" w:eastAsia="Times New Roman" w:hAnsi="Times New Roman" w:cs="Times New Roman"/>
          <w:sz w:val="24"/>
          <w:szCs w:val="24"/>
        </w:rPr>
        <w:t>Knesel</w:t>
      </w:r>
      <w:proofErr w:type="spellEnd"/>
      <w:r w:rsidRPr="00107B33">
        <w:rPr>
          <w:rFonts w:ascii="Times New Roman" w:eastAsia="Times New Roman" w:hAnsi="Times New Roman" w:cs="Times New Roman"/>
          <w:sz w:val="24"/>
          <w:szCs w:val="24"/>
        </w:rPr>
        <w:t>, M. Wolf and an anonymous reviewer for critical comments and suggestions. We greatly appreciate their comments that helped us clarify and improve the quality of our manuscript.</w:t>
      </w:r>
    </w:p>
    <w:p w:rsidR="000B6214" w:rsidRDefault="000B6214"/>
    <w:sectPr w:rsidR="000B621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B33"/>
    <w:rsid w:val="000B6214"/>
    <w:rsid w:val="00107B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FE0BD"/>
  <w15:chartTrackingRefBased/>
  <w15:docId w15:val="{D6DD3E89-A8B3-4548-98E4-5A47EF769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3237461">
      <w:bodyDiv w:val="1"/>
      <w:marLeft w:val="0"/>
      <w:marRight w:val="0"/>
      <w:marTop w:val="0"/>
      <w:marBottom w:val="0"/>
      <w:divBdr>
        <w:top w:val="none" w:sz="0" w:space="0" w:color="auto"/>
        <w:left w:val="none" w:sz="0" w:space="0" w:color="auto"/>
        <w:bottom w:val="none" w:sz="0" w:space="0" w:color="auto"/>
        <w:right w:val="none" w:sz="0" w:space="0" w:color="auto"/>
      </w:divBdr>
      <w:divsChild>
        <w:div w:id="412169035">
          <w:marLeft w:val="0"/>
          <w:marRight w:val="0"/>
          <w:marTop w:val="0"/>
          <w:marBottom w:val="0"/>
          <w:divBdr>
            <w:top w:val="none" w:sz="0" w:space="0" w:color="auto"/>
            <w:left w:val="none" w:sz="0" w:space="0" w:color="auto"/>
            <w:bottom w:val="none" w:sz="0" w:space="0" w:color="auto"/>
            <w:right w:val="none" w:sz="0" w:space="0" w:color="auto"/>
          </w:divBdr>
          <w:divsChild>
            <w:div w:id="1262101657">
              <w:marLeft w:val="0"/>
              <w:marRight w:val="0"/>
              <w:marTop w:val="0"/>
              <w:marBottom w:val="0"/>
              <w:divBdr>
                <w:top w:val="none" w:sz="0" w:space="0" w:color="auto"/>
                <w:left w:val="none" w:sz="0" w:space="0" w:color="auto"/>
                <w:bottom w:val="none" w:sz="0" w:space="0" w:color="auto"/>
                <w:right w:val="none" w:sz="0" w:space="0" w:color="auto"/>
              </w:divBdr>
              <w:divsChild>
                <w:div w:id="483085613">
                  <w:marLeft w:val="0"/>
                  <w:marRight w:val="0"/>
                  <w:marTop w:val="0"/>
                  <w:marBottom w:val="0"/>
                  <w:divBdr>
                    <w:top w:val="none" w:sz="0" w:space="0" w:color="auto"/>
                    <w:left w:val="none" w:sz="0" w:space="0" w:color="auto"/>
                    <w:bottom w:val="none" w:sz="0" w:space="0" w:color="auto"/>
                    <w:right w:val="none" w:sz="0" w:space="0" w:color="auto"/>
                  </w:divBdr>
                  <w:divsChild>
                    <w:div w:id="206374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967328">
          <w:marLeft w:val="0"/>
          <w:marRight w:val="0"/>
          <w:marTop w:val="0"/>
          <w:marBottom w:val="0"/>
          <w:divBdr>
            <w:top w:val="none" w:sz="0" w:space="0" w:color="auto"/>
            <w:left w:val="none" w:sz="0" w:space="0" w:color="auto"/>
            <w:bottom w:val="none" w:sz="0" w:space="0" w:color="auto"/>
            <w:right w:val="none" w:sz="0" w:space="0" w:color="auto"/>
          </w:divBdr>
          <w:divsChild>
            <w:div w:id="767505936">
              <w:marLeft w:val="0"/>
              <w:marRight w:val="0"/>
              <w:marTop w:val="0"/>
              <w:marBottom w:val="0"/>
              <w:divBdr>
                <w:top w:val="none" w:sz="0" w:space="0" w:color="auto"/>
                <w:left w:val="none" w:sz="0" w:space="0" w:color="auto"/>
                <w:bottom w:val="none" w:sz="0" w:space="0" w:color="auto"/>
                <w:right w:val="none" w:sz="0" w:space="0" w:color="auto"/>
              </w:divBdr>
              <w:divsChild>
                <w:div w:id="296766484">
                  <w:marLeft w:val="0"/>
                  <w:marRight w:val="0"/>
                  <w:marTop w:val="0"/>
                  <w:marBottom w:val="0"/>
                  <w:divBdr>
                    <w:top w:val="none" w:sz="0" w:space="0" w:color="auto"/>
                    <w:left w:val="none" w:sz="0" w:space="0" w:color="auto"/>
                    <w:bottom w:val="none" w:sz="0" w:space="0" w:color="auto"/>
                    <w:right w:val="none" w:sz="0" w:space="0" w:color="auto"/>
                  </w:divBdr>
                  <w:divsChild>
                    <w:div w:id="155616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780696">
          <w:marLeft w:val="0"/>
          <w:marRight w:val="0"/>
          <w:marTop w:val="0"/>
          <w:marBottom w:val="0"/>
          <w:divBdr>
            <w:top w:val="none" w:sz="0" w:space="0" w:color="auto"/>
            <w:left w:val="none" w:sz="0" w:space="0" w:color="auto"/>
            <w:bottom w:val="none" w:sz="0" w:space="0" w:color="auto"/>
            <w:right w:val="none" w:sz="0" w:space="0" w:color="auto"/>
          </w:divBdr>
          <w:divsChild>
            <w:div w:id="1219902447">
              <w:marLeft w:val="0"/>
              <w:marRight w:val="0"/>
              <w:marTop w:val="0"/>
              <w:marBottom w:val="0"/>
              <w:divBdr>
                <w:top w:val="none" w:sz="0" w:space="0" w:color="auto"/>
                <w:left w:val="none" w:sz="0" w:space="0" w:color="auto"/>
                <w:bottom w:val="none" w:sz="0" w:space="0" w:color="auto"/>
                <w:right w:val="none" w:sz="0" w:space="0" w:color="auto"/>
              </w:divBdr>
            </w:div>
          </w:divsChild>
        </w:div>
        <w:div w:id="2137870118">
          <w:marLeft w:val="0"/>
          <w:marRight w:val="0"/>
          <w:marTop w:val="0"/>
          <w:marBottom w:val="0"/>
          <w:divBdr>
            <w:top w:val="none" w:sz="0" w:space="0" w:color="auto"/>
            <w:left w:val="none" w:sz="0" w:space="0" w:color="auto"/>
            <w:bottom w:val="none" w:sz="0" w:space="0" w:color="auto"/>
            <w:right w:val="none" w:sz="0" w:space="0" w:color="auto"/>
          </w:divBdr>
          <w:divsChild>
            <w:div w:id="168442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muscovite" TargetMode="External"/><Relationship Id="rId13" Type="http://schemas.openxmlformats.org/officeDocument/2006/relationships/hyperlink" Target="https://www.sciencedirect.com/topics/earth-and-planetary-sciences/petrogenesis"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monazite" TargetMode="External"/><Relationship Id="rId12" Type="http://schemas.openxmlformats.org/officeDocument/2006/relationships/hyperlink" Target="https://www.sciencedirect.com/topics/earth-and-planetary-sciences/monazit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calcium-phosphate" TargetMode="External"/><Relationship Id="rId11" Type="http://schemas.openxmlformats.org/officeDocument/2006/relationships/hyperlink" Target="https://www.sciencedirect.com/topics/earth-and-planetary-sciences/calcium-phosphate" TargetMode="External"/><Relationship Id="rId5" Type="http://schemas.openxmlformats.org/officeDocument/2006/relationships/hyperlink" Target="https://www.sciencedirect.com/topics/earth-and-planetary-sciences/experimental-petrology" TargetMode="External"/><Relationship Id="rId15" Type="http://schemas.openxmlformats.org/officeDocument/2006/relationships/theme" Target="theme/theme1.xml"/><Relationship Id="rId10" Type="http://schemas.openxmlformats.org/officeDocument/2006/relationships/hyperlink" Target="https://www.sciencedirect.com/topics/earth-and-planetary-sciences/isotopic-composition" TargetMode="External"/><Relationship Id="rId4" Type="http://schemas.openxmlformats.org/officeDocument/2006/relationships/hyperlink" Target="https://doi.org/10.1016/j.gca.2005.02.035" TargetMode="External"/><Relationship Id="rId9" Type="http://schemas.openxmlformats.org/officeDocument/2006/relationships/hyperlink" Target="https://www.sciencedirect.com/topics/earth-and-planetary-sciences/dehydration-meltin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1847</Words>
  <Characters>10533</Characters>
  <Application>Microsoft Office Word</Application>
  <DocSecurity>0</DocSecurity>
  <Lines>87</Lines>
  <Paragraphs>24</Paragraphs>
  <ScaleCrop>false</ScaleCrop>
  <Company/>
  <LinksUpToDate>false</LinksUpToDate>
  <CharactersWithSpaces>12356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2023-11-18T06:36:00Z</dcterms:created>
  <dcterms:modified xsi:type="dcterms:W3CDTF">2023-11-18T06:37:00Z</dcterms:modified>
</cp:coreProperties>
</file>