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D6744" w:rsidRPr="009D6744" w:rsidRDefault="009D6744" w:rsidP="009D674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D6744">
        <w:rPr>
          <w:rFonts w:ascii="Times New Roman" w:eastAsia="Times New Roman" w:hAnsi="Times New Roman" w:cs="Times New Roman"/>
          <w:b/>
          <w:bCs/>
          <w:kern w:val="36"/>
          <w:sz w:val="48"/>
          <w:szCs w:val="48"/>
        </w:rPr>
        <w:t>Isotopic variability in the aragonite shells of freshwater gastropods living in springs with nearly constant temperature and isotopic composition</w:t>
      </w:r>
    </w:p>
    <w:p w:rsidR="009D6744" w:rsidRPr="009D6744" w:rsidRDefault="009D6744" w:rsidP="009D6744">
      <w:pPr>
        <w:spacing w:after="0"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Author links open overlay panel</w:t>
      </w:r>
    </w:p>
    <w:p w:rsidR="009D6744" w:rsidRPr="009D6744" w:rsidRDefault="009D6744" w:rsidP="009D6744">
      <w:pPr>
        <w:spacing w:after="0"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 , </w:t>
      </w:r>
    </w:p>
    <w:p w:rsidR="009D6744" w:rsidRPr="009D6744" w:rsidRDefault="009D6744" w:rsidP="009D6744">
      <w:pPr>
        <w:spacing w:after="0"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 </w:t>
      </w:r>
      <w:bookmarkStart w:id="0" w:name="baep-author-id12-profile"/>
      <w:r w:rsidRPr="009D6744">
        <w:rPr>
          <w:rFonts w:ascii="Times New Roman" w:eastAsia="Times New Roman" w:hAnsi="Times New Roman" w:cs="Times New Roman"/>
          <w:sz w:val="24"/>
          <w:szCs w:val="24"/>
        </w:rPr>
        <w:fldChar w:fldCharType="begin"/>
      </w:r>
      <w:r w:rsidRPr="009D6744">
        <w:rPr>
          <w:rFonts w:ascii="Times New Roman" w:eastAsia="Times New Roman" w:hAnsi="Times New Roman" w:cs="Times New Roman"/>
          <w:sz w:val="24"/>
          <w:szCs w:val="24"/>
        </w:rPr>
        <w:instrText xml:space="preserve"> HYPERLINK "https://www.sciencedirect.com/author/16194835700/jay-quade" </w:instrText>
      </w:r>
      <w:r w:rsidRPr="009D6744">
        <w:rPr>
          <w:rFonts w:ascii="Times New Roman" w:eastAsia="Times New Roman" w:hAnsi="Times New Roman" w:cs="Times New Roman"/>
          <w:sz w:val="24"/>
          <w:szCs w:val="24"/>
        </w:rPr>
        <w:fldChar w:fldCharType="separate"/>
      </w:r>
      <w:r w:rsidRPr="009D6744">
        <w:rPr>
          <w:rFonts w:ascii="Times New Roman" w:eastAsia="Times New Roman" w:hAnsi="Times New Roman" w:cs="Times New Roman"/>
          <w:color w:val="0000FF"/>
          <w:sz w:val="24"/>
          <w:szCs w:val="24"/>
          <w:u w:val="single"/>
        </w:rPr>
        <w:t xml:space="preserve">Jay Quade </w:t>
      </w:r>
      <w:r w:rsidRPr="009D6744">
        <w:rPr>
          <w:rFonts w:ascii="Times New Roman" w:eastAsia="Times New Roman" w:hAnsi="Times New Roman" w:cs="Times New Roman"/>
          <w:color w:val="0000FF"/>
          <w:sz w:val="24"/>
          <w:szCs w:val="24"/>
          <w:u w:val="single"/>
          <w:vertAlign w:val="superscript"/>
        </w:rPr>
        <w:t>1</w:t>
      </w:r>
      <w:r w:rsidRPr="009D6744">
        <w:rPr>
          <w:rFonts w:ascii="Times New Roman" w:eastAsia="Times New Roman" w:hAnsi="Times New Roman" w:cs="Times New Roman"/>
          <w:color w:val="0000FF"/>
          <w:sz w:val="24"/>
          <w:szCs w:val="24"/>
          <w:u w:val="single"/>
        </w:rPr>
        <w:t xml:space="preserve"> </w:t>
      </w:r>
      <w:r w:rsidRPr="009D6744">
        <w:rPr>
          <w:rFonts w:ascii="Times New Roman" w:eastAsia="Times New Roman" w:hAnsi="Times New Roman" w:cs="Times New Roman"/>
          <w:color w:val="0000FF"/>
          <w:sz w:val="24"/>
          <w:szCs w:val="24"/>
          <w:u w:val="single"/>
          <w:vertAlign w:val="superscript"/>
        </w:rPr>
        <w:t>2</w:t>
      </w:r>
      <w:r w:rsidRPr="009D6744">
        <w:rPr>
          <w:rFonts w:ascii="Times New Roman" w:eastAsia="Times New Roman" w:hAnsi="Times New Roman" w:cs="Times New Roman"/>
          <w:sz w:val="24"/>
          <w:szCs w:val="24"/>
        </w:rPr>
        <w:fldChar w:fldCharType="end"/>
      </w:r>
      <w:bookmarkEnd w:id="0"/>
    </w:p>
    <w:p w:rsidR="009D6744" w:rsidRPr="009D6744" w:rsidRDefault="009D6744" w:rsidP="009D674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D6744">
          <w:rPr>
            <w:rFonts w:ascii="Times New Roman" w:eastAsia="Times New Roman" w:hAnsi="Times New Roman" w:cs="Times New Roman"/>
            <w:color w:val="0000FF"/>
            <w:sz w:val="24"/>
            <w:szCs w:val="24"/>
            <w:u w:val="single"/>
          </w:rPr>
          <w:t>https://doi.org/10.1016/j.gca.2005.03.049</w:t>
        </w:r>
      </w:hyperlink>
      <w:bookmarkStart w:id="1" w:name="_GoBack"/>
      <w:bookmarkEnd w:id="1"/>
      <w:r w:rsidRPr="009D6744">
        <w:rPr>
          <w:rFonts w:ascii="Times New Roman" w:eastAsia="Times New Roman" w:hAnsi="Times New Roman" w:cs="Times New Roman"/>
          <w:sz w:val="24"/>
          <w:szCs w:val="24"/>
        </w:rPr>
        <w:t xml:space="preserve"> </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Abstract</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We conducted a year-long, intensive monitoring program of live aquatic gastropods (</w:t>
      </w:r>
      <w:proofErr w:type="spellStart"/>
      <w:r w:rsidRPr="009D6744">
        <w:rPr>
          <w:rFonts w:ascii="Times New Roman" w:eastAsia="Times New Roman" w:hAnsi="Times New Roman" w:cs="Times New Roman"/>
          <w:i/>
          <w:iCs/>
          <w:sz w:val="24"/>
          <w:szCs w:val="24"/>
        </w:rPr>
        <w:t>Helisoma</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duryi</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Melanoides</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tuberculata</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Physa</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virgata</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Pyrgulopsis</w:t>
      </w:r>
      <w:proofErr w:type="spellEnd"/>
      <w:r w:rsidRPr="009D6744">
        <w:rPr>
          <w:rFonts w:ascii="Times New Roman" w:eastAsia="Times New Roman" w:hAnsi="Times New Roman" w:cs="Times New Roman"/>
          <w:sz w:val="24"/>
          <w:szCs w:val="24"/>
        </w:rPr>
        <w:t xml:space="preserve"> sp., and </w:t>
      </w:r>
      <w:proofErr w:type="spellStart"/>
      <w:r w:rsidRPr="009D6744">
        <w:rPr>
          <w:rFonts w:ascii="Times New Roman" w:eastAsia="Times New Roman" w:hAnsi="Times New Roman" w:cs="Times New Roman"/>
          <w:i/>
          <w:iCs/>
          <w:sz w:val="24"/>
          <w:szCs w:val="24"/>
        </w:rPr>
        <w:t>Tyronia</w:t>
      </w:r>
      <w:proofErr w:type="spellEnd"/>
      <w:r w:rsidRPr="009D6744">
        <w:rPr>
          <w:rFonts w:ascii="Times New Roman" w:eastAsia="Times New Roman" w:hAnsi="Times New Roman" w:cs="Times New Roman"/>
          <w:sz w:val="24"/>
          <w:szCs w:val="24"/>
        </w:rPr>
        <w:t xml:space="preserve"> sp.) and their host springs in the Ash Meadows National Wildlife Refuge of southern Nevada. Our purpose was to constrain the degree of natural variation in the isotopic values of shell </w:t>
      </w:r>
      <w:hyperlink r:id="rId5" w:tooltip="Learn more about aragonite from ScienceDirect's AI-generated Topic Pages" w:history="1">
        <w:r w:rsidRPr="009D6744">
          <w:rPr>
            <w:rFonts w:ascii="Times New Roman" w:eastAsia="Times New Roman" w:hAnsi="Times New Roman" w:cs="Times New Roman"/>
            <w:color w:val="0000FF"/>
            <w:sz w:val="24"/>
            <w:szCs w:val="24"/>
            <w:u w:val="single"/>
          </w:rPr>
          <w:t>aragonite</w:t>
        </w:r>
      </w:hyperlink>
      <w:r w:rsidRPr="009D6744">
        <w:rPr>
          <w:rFonts w:ascii="Times New Roman" w:eastAsia="Times New Roman" w:hAnsi="Times New Roman" w:cs="Times New Roman"/>
          <w:sz w:val="24"/>
          <w:szCs w:val="24"/>
        </w:rPr>
        <w:t xml:space="preserve"> for gastropods living in near-constant conditions. Inter- and intraspecies variations, as well as within-shell variations, of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 and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 xml:space="preserve">C values for all taxa were larger than predicted based on variations in environmental conditions alone. This result suggests that different organisms growing in identical or nearly identical environmental conditions may not produce shells with equilibrium </w:t>
      </w:r>
      <w:hyperlink r:id="rId6" w:tooltip="Learn more about isotopic compositions from ScienceDirect's AI-generated Topic Pages" w:history="1">
        <w:r w:rsidRPr="009D6744">
          <w:rPr>
            <w:rFonts w:ascii="Times New Roman" w:eastAsia="Times New Roman" w:hAnsi="Times New Roman" w:cs="Times New Roman"/>
            <w:color w:val="0000FF"/>
            <w:sz w:val="24"/>
            <w:szCs w:val="24"/>
            <w:u w:val="single"/>
          </w:rPr>
          <w:t>isotopic compositions</w:t>
        </w:r>
      </w:hyperlink>
      <w:r w:rsidRPr="009D6744">
        <w:rPr>
          <w:rFonts w:ascii="Times New Roman" w:eastAsia="Times New Roman" w:hAnsi="Times New Roman" w:cs="Times New Roman"/>
          <w:sz w:val="24"/>
          <w:szCs w:val="24"/>
        </w:rPr>
        <w:t xml:space="preserve"> and that these offsets from equilibrium may differ by small, but statistically significant amounts. For the gill-breathing, fully aquatic gastropods </w:t>
      </w:r>
      <w:r w:rsidRPr="009D6744">
        <w:rPr>
          <w:rFonts w:ascii="Times New Roman" w:eastAsia="Times New Roman" w:hAnsi="Times New Roman" w:cs="Times New Roman"/>
          <w:i/>
          <w:iCs/>
          <w:sz w:val="24"/>
          <w:szCs w:val="24"/>
        </w:rPr>
        <w:t xml:space="preserve">M. </w:t>
      </w:r>
      <w:proofErr w:type="spellStart"/>
      <w:r w:rsidRPr="009D6744">
        <w:rPr>
          <w:rFonts w:ascii="Times New Roman" w:eastAsia="Times New Roman" w:hAnsi="Times New Roman" w:cs="Times New Roman"/>
          <w:i/>
          <w:iCs/>
          <w:sz w:val="24"/>
          <w:szCs w:val="24"/>
        </w:rPr>
        <w:t>tuberculata</w:t>
      </w:r>
      <w:proofErr w:type="spellEnd"/>
      <w:r w:rsidRPr="009D6744">
        <w:rPr>
          <w:rFonts w:ascii="Times New Roman" w:eastAsia="Times New Roman" w:hAnsi="Times New Roman" w:cs="Times New Roman"/>
          <w:i/>
          <w:iCs/>
          <w:sz w:val="24"/>
          <w:szCs w:val="24"/>
        </w:rPr>
        <w:t xml:space="preserve">, </w:t>
      </w:r>
      <w:proofErr w:type="spellStart"/>
      <w:r w:rsidRPr="009D6744">
        <w:rPr>
          <w:rFonts w:ascii="Times New Roman" w:eastAsia="Times New Roman" w:hAnsi="Times New Roman" w:cs="Times New Roman"/>
          <w:i/>
          <w:iCs/>
          <w:sz w:val="24"/>
          <w:szCs w:val="24"/>
        </w:rPr>
        <w:t>Pyrgulopsis</w:t>
      </w:r>
      <w:proofErr w:type="spellEnd"/>
      <w:r w:rsidRPr="009D6744">
        <w:rPr>
          <w:rFonts w:ascii="Times New Roman" w:eastAsia="Times New Roman" w:hAnsi="Times New Roman" w:cs="Times New Roman"/>
          <w:sz w:val="24"/>
          <w:szCs w:val="24"/>
        </w:rPr>
        <w:t xml:space="preserve"> sp., and </w:t>
      </w:r>
      <w:proofErr w:type="spellStart"/>
      <w:r w:rsidRPr="009D6744">
        <w:rPr>
          <w:rFonts w:ascii="Times New Roman" w:eastAsia="Times New Roman" w:hAnsi="Times New Roman" w:cs="Times New Roman"/>
          <w:i/>
          <w:iCs/>
          <w:sz w:val="24"/>
          <w:szCs w:val="24"/>
        </w:rPr>
        <w:t>Tyronia</w:t>
      </w:r>
      <w:proofErr w:type="spellEnd"/>
      <w:r w:rsidRPr="009D6744">
        <w:rPr>
          <w:rFonts w:ascii="Times New Roman" w:eastAsia="Times New Roman" w:hAnsi="Times New Roman" w:cs="Times New Roman"/>
          <w:sz w:val="24"/>
          <w:szCs w:val="24"/>
        </w:rPr>
        <w:t xml:space="preserve"> sp., the deviation of measured isotopic values compared to predicted values based on average environmental conditions were consistent with differences between taxa in the seasonal timing of shell growth. Measured values for the lung-breathing gastropods </w:t>
      </w:r>
      <w:r w:rsidRPr="009D6744">
        <w:rPr>
          <w:rFonts w:ascii="Times New Roman" w:eastAsia="Times New Roman" w:hAnsi="Times New Roman" w:cs="Times New Roman"/>
          <w:i/>
          <w:iCs/>
          <w:sz w:val="24"/>
          <w:szCs w:val="24"/>
        </w:rPr>
        <w:t xml:space="preserve">H. </w:t>
      </w:r>
      <w:proofErr w:type="spellStart"/>
      <w:r w:rsidRPr="009D6744">
        <w:rPr>
          <w:rFonts w:ascii="Times New Roman" w:eastAsia="Times New Roman" w:hAnsi="Times New Roman" w:cs="Times New Roman"/>
          <w:i/>
          <w:iCs/>
          <w:sz w:val="24"/>
          <w:szCs w:val="24"/>
        </w:rPr>
        <w:t>duryi</w:t>
      </w:r>
      <w:proofErr w:type="spellEnd"/>
      <w:r w:rsidRPr="009D6744">
        <w:rPr>
          <w:rFonts w:ascii="Times New Roman" w:eastAsia="Times New Roman" w:hAnsi="Times New Roman" w:cs="Times New Roman"/>
          <w:sz w:val="24"/>
          <w:szCs w:val="24"/>
        </w:rPr>
        <w:t xml:space="preserve"> and </w:t>
      </w:r>
      <w:r w:rsidRPr="009D6744">
        <w:rPr>
          <w:rFonts w:ascii="Times New Roman" w:eastAsia="Times New Roman" w:hAnsi="Times New Roman" w:cs="Times New Roman"/>
          <w:i/>
          <w:iCs/>
          <w:sz w:val="24"/>
          <w:szCs w:val="24"/>
        </w:rPr>
        <w:t xml:space="preserve">P. </w:t>
      </w:r>
      <w:proofErr w:type="spellStart"/>
      <w:r w:rsidRPr="009D6744">
        <w:rPr>
          <w:rFonts w:ascii="Times New Roman" w:eastAsia="Times New Roman" w:hAnsi="Times New Roman" w:cs="Times New Roman"/>
          <w:i/>
          <w:iCs/>
          <w:sz w:val="24"/>
          <w:szCs w:val="24"/>
        </w:rPr>
        <w:t>virgata</w:t>
      </w:r>
      <w:proofErr w:type="spellEnd"/>
      <w:r w:rsidRPr="009D6744">
        <w:rPr>
          <w:rFonts w:ascii="Times New Roman" w:eastAsia="Times New Roman" w:hAnsi="Times New Roman" w:cs="Times New Roman"/>
          <w:sz w:val="24"/>
          <w:szCs w:val="24"/>
        </w:rPr>
        <w:t xml:space="preserve"> were higher for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 and lower for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 xml:space="preserve">C than predicted at isotopic equilibrium, even when accounting for </w:t>
      </w:r>
      <w:hyperlink r:id="rId7" w:tooltip="Learn more about seasonality from ScienceDirect's AI-generated Topic Pages" w:history="1">
        <w:r w:rsidRPr="009D6744">
          <w:rPr>
            <w:rFonts w:ascii="Times New Roman" w:eastAsia="Times New Roman" w:hAnsi="Times New Roman" w:cs="Times New Roman"/>
            <w:color w:val="0000FF"/>
            <w:sz w:val="24"/>
            <w:szCs w:val="24"/>
            <w:u w:val="single"/>
          </w:rPr>
          <w:t>seasonality</w:t>
        </w:r>
      </w:hyperlink>
      <w:r w:rsidRPr="009D6744">
        <w:rPr>
          <w:rFonts w:ascii="Times New Roman" w:eastAsia="Times New Roman" w:hAnsi="Times New Roman" w:cs="Times New Roman"/>
          <w:sz w:val="24"/>
          <w:szCs w:val="24"/>
        </w:rPr>
        <w:t xml:space="preserve"> effects. We suggest that explaining the differences between the shell isotopic composition of lung- and gill-breathing snails requires a combination of both behavioral and physiologic factors. Our results illustrate the potential complexities of interpreting stable isotopic data from fossil gastropod shells even when environmental conditions are nearly constant, and place limitations on the paleoenvironmental deductions that can be made from the isotopic measurements on fossil gastropods.</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Introduction</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Stable isotopic analysis of </w:t>
      </w:r>
      <w:proofErr w:type="spellStart"/>
      <w:r w:rsidRPr="009D6744">
        <w:rPr>
          <w:rFonts w:ascii="Times New Roman" w:eastAsia="Times New Roman" w:hAnsi="Times New Roman" w:cs="Times New Roman"/>
          <w:sz w:val="24"/>
          <w:szCs w:val="24"/>
        </w:rPr>
        <w:t>microsampled</w:t>
      </w:r>
      <w:proofErr w:type="spellEnd"/>
      <w:r w:rsidRPr="009D6744">
        <w:rPr>
          <w:rFonts w:ascii="Times New Roman" w:eastAsia="Times New Roman" w:hAnsi="Times New Roman" w:cs="Times New Roman"/>
          <w:sz w:val="24"/>
          <w:szCs w:val="24"/>
        </w:rPr>
        <w:t xml:space="preserve"> biogenic carbonate, such as from corals, mollusks, and otoliths, has become an important tool for reconstructing past environmental and climatic conditions (e.g., </w:t>
      </w:r>
      <w:proofErr w:type="spellStart"/>
      <w:r w:rsidRPr="009D6744">
        <w:rPr>
          <w:rFonts w:ascii="Times New Roman" w:eastAsia="Times New Roman" w:hAnsi="Times New Roman" w:cs="Times New Roman"/>
          <w:sz w:val="24"/>
          <w:szCs w:val="24"/>
        </w:rPr>
        <w:t>Aharon</w:t>
      </w:r>
      <w:proofErr w:type="spellEnd"/>
      <w:r w:rsidRPr="009D6744">
        <w:rPr>
          <w:rFonts w:ascii="Times New Roman" w:eastAsia="Times New Roman" w:hAnsi="Times New Roman" w:cs="Times New Roman"/>
          <w:sz w:val="24"/>
          <w:szCs w:val="24"/>
        </w:rPr>
        <w:t xml:space="preserve"> and Chappell 1983, Patterson et al 1993, Boehm et al 2000, Cole et al 2000, </w:t>
      </w:r>
      <w:proofErr w:type="spellStart"/>
      <w:r w:rsidRPr="009D6744">
        <w:rPr>
          <w:rFonts w:ascii="Times New Roman" w:eastAsia="Times New Roman" w:hAnsi="Times New Roman" w:cs="Times New Roman"/>
          <w:sz w:val="24"/>
          <w:szCs w:val="24"/>
        </w:rPr>
        <w:t>Guilderson</w:t>
      </w:r>
      <w:proofErr w:type="spellEnd"/>
      <w:r w:rsidRPr="009D6744">
        <w:rPr>
          <w:rFonts w:ascii="Times New Roman" w:eastAsia="Times New Roman" w:hAnsi="Times New Roman" w:cs="Times New Roman"/>
          <w:sz w:val="24"/>
          <w:szCs w:val="24"/>
        </w:rPr>
        <w:t xml:space="preserve"> et al 2001, Wurster and Patterson 2001, </w:t>
      </w:r>
      <w:proofErr w:type="spellStart"/>
      <w:r w:rsidRPr="009D6744">
        <w:rPr>
          <w:rFonts w:ascii="Times New Roman" w:eastAsia="Times New Roman" w:hAnsi="Times New Roman" w:cs="Times New Roman"/>
          <w:sz w:val="24"/>
          <w:szCs w:val="24"/>
        </w:rPr>
        <w:t>Gasse</w:t>
      </w:r>
      <w:proofErr w:type="spellEnd"/>
      <w:r w:rsidRPr="009D6744">
        <w:rPr>
          <w:rFonts w:ascii="Times New Roman" w:eastAsia="Times New Roman" w:hAnsi="Times New Roman" w:cs="Times New Roman"/>
          <w:sz w:val="24"/>
          <w:szCs w:val="24"/>
        </w:rPr>
        <w:t xml:space="preserve"> 2002, Brand et al 2003). These biologic archives are particularly appealing because shell or skeletal aragonite is often deposited continually over the lifetime of the organisms, and isotopic and/or chemical compositions recorded in the carbonate can potentially be used to reconstruct past conditions at high resolution. Moreover, biogenic carbonates can survive thousands to millions of years of burial, and therefore data can be obtained for a variety of temporal and spatial scales (e.g., </w:t>
      </w:r>
      <w:proofErr w:type="spellStart"/>
      <w:r w:rsidRPr="009D6744">
        <w:rPr>
          <w:rFonts w:ascii="Times New Roman" w:eastAsia="Times New Roman" w:hAnsi="Times New Roman" w:cs="Times New Roman"/>
          <w:sz w:val="24"/>
          <w:szCs w:val="24"/>
        </w:rPr>
        <w:t>Dettman</w:t>
      </w:r>
      <w:proofErr w:type="spellEnd"/>
      <w:r w:rsidRPr="009D6744">
        <w:rPr>
          <w:rFonts w:ascii="Times New Roman" w:eastAsia="Times New Roman" w:hAnsi="Times New Roman" w:cs="Times New Roman"/>
          <w:sz w:val="24"/>
          <w:szCs w:val="24"/>
        </w:rPr>
        <w:t xml:space="preserve"> and Lohmann, 2000). The </w:t>
      </w:r>
      <w:r w:rsidRPr="009D6744">
        <w:rPr>
          <w:rFonts w:ascii="Times New Roman" w:eastAsia="Times New Roman" w:hAnsi="Times New Roman" w:cs="Times New Roman"/>
          <w:sz w:val="24"/>
          <w:szCs w:val="24"/>
        </w:rPr>
        <w:lastRenderedPageBreak/>
        <w:t>development of high-resolution proxy records is essential for understanding how climate has changed on annual to decadal timescales in the recent past.</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Aquatic mollusks (marine and freshwater) are a potentially important source of paleoenvironmental information, but interpretation of their stable isotope composition requires an understanding of the impact of environmental variables on isotopic fractionation. For oxygen isotopes, the relationship between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w:t>
      </w:r>
      <w:r w:rsidRPr="009D6744">
        <w:rPr>
          <w:rFonts w:ascii="Times New Roman" w:eastAsia="Times New Roman" w:hAnsi="Times New Roman" w:cs="Times New Roman"/>
          <w:sz w:val="24"/>
          <w:szCs w:val="24"/>
          <w:vertAlign w:val="subscript"/>
        </w:rPr>
        <w:t>water</w:t>
      </w:r>
      <w:r w:rsidRPr="009D6744">
        <w:rPr>
          <w:rFonts w:ascii="Times New Roman" w:eastAsia="Times New Roman" w:hAnsi="Times New Roman" w:cs="Times New Roman"/>
          <w:sz w:val="24"/>
          <w:szCs w:val="24"/>
        </w:rPr>
        <w:t>,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w:t>
      </w:r>
      <w:r w:rsidRPr="009D6744">
        <w:rPr>
          <w:rFonts w:ascii="Times New Roman" w:eastAsia="Times New Roman" w:hAnsi="Times New Roman" w:cs="Times New Roman"/>
          <w:sz w:val="24"/>
          <w:szCs w:val="24"/>
          <w:vertAlign w:val="subscript"/>
        </w:rPr>
        <w:t>shell</w:t>
      </w:r>
      <w:r w:rsidRPr="009D6744">
        <w:rPr>
          <w:rFonts w:ascii="Times New Roman" w:eastAsia="Times New Roman" w:hAnsi="Times New Roman" w:cs="Times New Roman"/>
          <w:sz w:val="24"/>
          <w:szCs w:val="24"/>
        </w:rPr>
        <w:t>, and the temperature of carbonate precipitation must be well constrained. Similarly, the relationship between the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C</w:t>
      </w:r>
      <w:r w:rsidRPr="009D6744">
        <w:rPr>
          <w:rFonts w:ascii="Times New Roman" w:eastAsia="Times New Roman" w:hAnsi="Times New Roman" w:cs="Times New Roman"/>
          <w:sz w:val="24"/>
          <w:szCs w:val="24"/>
          <w:vertAlign w:val="subscript"/>
        </w:rPr>
        <w:t>shell</w:t>
      </w:r>
      <w:r w:rsidRPr="009D6744">
        <w:rPr>
          <w:rFonts w:ascii="Times New Roman" w:eastAsia="Times New Roman" w:hAnsi="Times New Roman" w:cs="Times New Roman"/>
          <w:sz w:val="24"/>
          <w:szCs w:val="24"/>
        </w:rPr>
        <w:t xml:space="preserve"> and the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C</w:t>
      </w:r>
      <w:r w:rsidRPr="009D6744">
        <w:rPr>
          <w:rFonts w:ascii="Times New Roman" w:eastAsia="Times New Roman" w:hAnsi="Times New Roman" w:cs="Times New Roman"/>
          <w:sz w:val="24"/>
          <w:szCs w:val="24"/>
          <w:vertAlign w:val="subscript"/>
        </w:rPr>
        <w:t>DIC</w:t>
      </w:r>
      <w:r w:rsidRPr="009D6744">
        <w:rPr>
          <w:rFonts w:ascii="Times New Roman" w:eastAsia="Times New Roman" w:hAnsi="Times New Roman" w:cs="Times New Roman"/>
          <w:sz w:val="24"/>
          <w:szCs w:val="24"/>
        </w:rPr>
        <w:t xml:space="preserve"> values of ambient waters must be known to use biogenic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 xml:space="preserve">C values as indicators of </w:t>
      </w:r>
      <w:proofErr w:type="spellStart"/>
      <w:r w:rsidRPr="009D6744">
        <w:rPr>
          <w:rFonts w:ascii="Times New Roman" w:eastAsia="Times New Roman" w:hAnsi="Times New Roman" w:cs="Times New Roman"/>
          <w:sz w:val="24"/>
          <w:szCs w:val="24"/>
        </w:rPr>
        <w:t>paleoproductivity</w:t>
      </w:r>
      <w:proofErr w:type="spellEnd"/>
      <w:r w:rsidRPr="009D6744">
        <w:rPr>
          <w:rFonts w:ascii="Times New Roman" w:eastAsia="Times New Roman" w:hAnsi="Times New Roman" w:cs="Times New Roman"/>
          <w:sz w:val="24"/>
          <w:szCs w:val="24"/>
        </w:rPr>
        <w:t>, paleo-pCO</w:t>
      </w:r>
      <w:r w:rsidRPr="009D6744">
        <w:rPr>
          <w:rFonts w:ascii="Times New Roman" w:eastAsia="Times New Roman" w:hAnsi="Times New Roman" w:cs="Times New Roman"/>
          <w:sz w:val="24"/>
          <w:szCs w:val="24"/>
          <w:vertAlign w:val="subscript"/>
        </w:rPr>
        <w:t>2</w:t>
      </w:r>
      <w:r w:rsidRPr="009D6744">
        <w:rPr>
          <w:rFonts w:ascii="Times New Roman" w:eastAsia="Times New Roman" w:hAnsi="Times New Roman" w:cs="Times New Roman"/>
          <w:sz w:val="24"/>
          <w:szCs w:val="24"/>
        </w:rPr>
        <w:t>, or paleoecology. A number of previous researchers have attempted to quantify these relationships using both inorganically and biologically precipitated carbonates (Table 1). There remain, however, large discrepancies between estimates, and it is unclear which, if any, are applicable to aquatic mollusks. Furthermore, these organisms typically live in environments with highly variable environmental conditions, and it is uncertain how well this variability is recorded in the isotopic composition of their shells.</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This study investigates the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 and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C values of biogenic aragonite for five species of freshwater gastropods collected live from two extant springs with nearly constant water temperature and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w:t>
      </w:r>
      <w:r w:rsidRPr="009D6744">
        <w:rPr>
          <w:rFonts w:ascii="Times New Roman" w:eastAsia="Times New Roman" w:hAnsi="Times New Roman" w:cs="Times New Roman"/>
          <w:sz w:val="24"/>
          <w:szCs w:val="24"/>
          <w:vertAlign w:val="subscript"/>
        </w:rPr>
        <w:t>water</w:t>
      </w:r>
      <w:r w:rsidRPr="009D6744">
        <w:rPr>
          <w:rFonts w:ascii="Times New Roman" w:eastAsia="Times New Roman" w:hAnsi="Times New Roman" w:cs="Times New Roman"/>
          <w:sz w:val="24"/>
          <w:szCs w:val="24"/>
        </w:rPr>
        <w:t xml:space="preserve"> values. Measured isotopic values are compared with predicted isotopic equilibrium values using the empiric fractionation relationships for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 in Table 1, and with the inorganic equilibrium relationship of Romanek et al., (1992) for δ</w:t>
      </w:r>
      <w:r w:rsidRPr="009D6744">
        <w:rPr>
          <w:rFonts w:ascii="Times New Roman" w:eastAsia="Times New Roman" w:hAnsi="Times New Roman" w:cs="Times New Roman"/>
          <w:sz w:val="24"/>
          <w:szCs w:val="24"/>
          <w:vertAlign w:val="superscript"/>
        </w:rPr>
        <w:t>13</w:t>
      </w:r>
      <w:r w:rsidRPr="009D6744">
        <w:rPr>
          <w:rFonts w:ascii="Times New Roman" w:eastAsia="Times New Roman" w:hAnsi="Times New Roman" w:cs="Times New Roman"/>
          <w:sz w:val="24"/>
          <w:szCs w:val="24"/>
        </w:rPr>
        <w:t>C. The results provide new insights into the magnitude of isotopic variation between and within mollusk species and their relationship to predicted equilibrium values. They yield constraints on the future use and interpretation of isotopic data from mollusks for reconstruction of past environmental conditions.</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Section snippets</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Mechanisms of Shell Construction in Gastropods</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Before discussing the isotopic character of biologically precipitated carbonate, it is useful to review how they are formed. Shell carbonate is formed in the mantle tissue, a thin organ lining the inside of the shell (Wilbur and </w:t>
      </w:r>
      <w:proofErr w:type="spellStart"/>
      <w:r w:rsidRPr="009D6744">
        <w:rPr>
          <w:rFonts w:ascii="Times New Roman" w:eastAsia="Times New Roman" w:hAnsi="Times New Roman" w:cs="Times New Roman"/>
          <w:sz w:val="24"/>
          <w:szCs w:val="24"/>
        </w:rPr>
        <w:t>Saleuddin</w:t>
      </w:r>
      <w:proofErr w:type="spellEnd"/>
      <w:r w:rsidRPr="009D6744">
        <w:rPr>
          <w:rFonts w:ascii="Times New Roman" w:eastAsia="Times New Roman" w:hAnsi="Times New Roman" w:cs="Times New Roman"/>
          <w:sz w:val="24"/>
          <w:szCs w:val="24"/>
        </w:rPr>
        <w:t>, 1983). Carbonate precipitation and crystalline formation occur within a thin zone of fluid located between the mantle and existing shell called the extrapallial fluid (EPF), which is isolated from the surrounding environment by the outer epithelium. Ca and</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Ash Meadows</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Aquatic gastropods were collected from two active springs in the Ash Meadows National Wildlife Refuge (AMNWR) near the southern margin of the Amargosa Desert Hydrographic Area (ADHA). Groundwater recharge for the ADHA occurs over an area of </w:t>
      </w:r>
      <w:r w:rsidRPr="009D6744">
        <w:rPr>
          <w:rFonts w:ascii="Cambria Math" w:eastAsia="Times New Roman" w:hAnsi="Cambria Math" w:cs="Cambria Math"/>
          <w:sz w:val="24"/>
          <w:szCs w:val="24"/>
        </w:rPr>
        <w:t>∼</w:t>
      </w:r>
      <w:r w:rsidRPr="009D6744">
        <w:rPr>
          <w:rFonts w:ascii="Times New Roman" w:eastAsia="Times New Roman" w:hAnsi="Times New Roman" w:cs="Times New Roman"/>
          <w:sz w:val="24"/>
          <w:szCs w:val="24"/>
        </w:rPr>
        <w:t>12,000 km</w:t>
      </w:r>
      <w:r w:rsidRPr="009D6744">
        <w:rPr>
          <w:rFonts w:ascii="Times New Roman" w:eastAsia="Times New Roman" w:hAnsi="Times New Roman" w:cs="Times New Roman"/>
          <w:sz w:val="24"/>
          <w:szCs w:val="24"/>
          <w:vertAlign w:val="superscript"/>
        </w:rPr>
        <w:t>2</w:t>
      </w:r>
      <w:r w:rsidRPr="009D6744">
        <w:rPr>
          <w:rFonts w:ascii="Times New Roman" w:eastAsia="Times New Roman" w:hAnsi="Times New Roman" w:cs="Times New Roman"/>
          <w:sz w:val="24"/>
          <w:szCs w:val="24"/>
        </w:rPr>
        <w:t xml:space="preserve"> in southern Nevada, including several mountain ranges and large tracts of the Mohave Desert (Winograd and </w:t>
      </w:r>
      <w:proofErr w:type="spellStart"/>
      <w:r w:rsidRPr="009D6744">
        <w:rPr>
          <w:rFonts w:ascii="Times New Roman" w:eastAsia="Times New Roman" w:hAnsi="Times New Roman" w:cs="Times New Roman"/>
          <w:sz w:val="24"/>
          <w:szCs w:val="24"/>
        </w:rPr>
        <w:t>Thordarson</w:t>
      </w:r>
      <w:proofErr w:type="spellEnd"/>
      <w:r w:rsidRPr="009D6744">
        <w:rPr>
          <w:rFonts w:ascii="Times New Roman" w:eastAsia="Times New Roman" w:hAnsi="Times New Roman" w:cs="Times New Roman"/>
          <w:sz w:val="24"/>
          <w:szCs w:val="24"/>
        </w:rPr>
        <w:t>, 1975).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O values from spring waters indicate that most recharge occurs via winter snowfall in the Spring Mountains and Sheep</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Water Temperature and δ</w:t>
      </w:r>
      <w:r w:rsidRPr="009D6744">
        <w:rPr>
          <w:rFonts w:ascii="Times New Roman" w:eastAsia="Times New Roman" w:hAnsi="Times New Roman" w:cs="Times New Roman"/>
          <w:b/>
          <w:bCs/>
          <w:sz w:val="36"/>
          <w:szCs w:val="36"/>
          <w:vertAlign w:val="superscript"/>
        </w:rPr>
        <w:t>18</w:t>
      </w:r>
      <w:r w:rsidRPr="009D6744">
        <w:rPr>
          <w:rFonts w:ascii="Times New Roman" w:eastAsia="Times New Roman" w:hAnsi="Times New Roman" w:cs="Times New Roman"/>
          <w:b/>
          <w:bCs/>
          <w:sz w:val="36"/>
          <w:szCs w:val="36"/>
        </w:rPr>
        <w:t>O</w:t>
      </w:r>
      <w:r w:rsidRPr="009D6744">
        <w:rPr>
          <w:rFonts w:ascii="Times New Roman" w:eastAsia="Times New Roman" w:hAnsi="Times New Roman" w:cs="Times New Roman"/>
          <w:b/>
          <w:bCs/>
          <w:sz w:val="36"/>
          <w:szCs w:val="36"/>
          <w:vertAlign w:val="subscript"/>
        </w:rPr>
        <w:t>water</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lastRenderedPageBreak/>
        <w:t>In agreement with prior studies, temperature and oxygen isotopic composition vary only slightly in CP and POR over the course of the year, despite large variations in air temperature and evapotranspiration (Fig. 2). At CP, the average water temperature was 30.5 ± 0.5°C (recorded temperature variations were smaller than the reported instrument uncertainty). At POR, the average water temperature was 31.8 ± 0.5°C. The error-weighted mean δ</w:t>
      </w:r>
      <w:r w:rsidRPr="009D6744">
        <w:rPr>
          <w:rFonts w:ascii="Times New Roman" w:eastAsia="Times New Roman" w:hAnsi="Times New Roman" w:cs="Times New Roman"/>
          <w:sz w:val="24"/>
          <w:szCs w:val="24"/>
          <w:vertAlign w:val="superscript"/>
        </w:rPr>
        <w:t>18</w:t>
      </w:r>
      <w:r w:rsidRPr="009D6744">
        <w:rPr>
          <w:rFonts w:ascii="Times New Roman" w:eastAsia="Times New Roman" w:hAnsi="Times New Roman" w:cs="Times New Roman"/>
          <w:sz w:val="24"/>
          <w:szCs w:val="24"/>
        </w:rPr>
        <w:t xml:space="preserve">O (VSMOW) values of the spring water over the measurement </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Sources of Isotopic Variability Within Shells and Within Species</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There are several potential sources that may contribute to the observed isotopic variability in the gastropods shell carbonate, including laboratory procedures and measurement error, environmental conditions, and biologic influences. We examine each of these potential sources in detail below.</w:t>
      </w:r>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Summary</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 xml:space="preserve">The results of this study suggest that there can be substantial variations in the isotopic composition of gastropod shell carbonate even in environments with nearly constant temperature and isotopic composition. Gastropod shells collected from geological deposits, where species are likely to have been subject to much more environmental variability, both spatially and temporally (seasonally and annually), should record even larger variations. In addition, bioturbation and </w:t>
      </w:r>
      <w:proofErr w:type="spellStart"/>
      <w:r w:rsidRPr="009D6744">
        <w:rPr>
          <w:rFonts w:ascii="Times New Roman" w:eastAsia="Times New Roman" w:hAnsi="Times New Roman" w:cs="Times New Roman"/>
          <w:sz w:val="24"/>
          <w:szCs w:val="24"/>
        </w:rPr>
        <w:t>postdepositional</w:t>
      </w:r>
      <w:proofErr w:type="spellEnd"/>
    </w:p>
    <w:p w:rsidR="009D6744" w:rsidRPr="009D6744" w:rsidRDefault="009D6744" w:rsidP="009D6744">
      <w:pPr>
        <w:spacing w:before="100" w:beforeAutospacing="1" w:after="100" w:afterAutospacing="1" w:line="240" w:lineRule="auto"/>
        <w:outlineLvl w:val="1"/>
        <w:rPr>
          <w:rFonts w:ascii="Times New Roman" w:eastAsia="Times New Roman" w:hAnsi="Times New Roman" w:cs="Times New Roman"/>
          <w:b/>
          <w:bCs/>
          <w:sz w:val="36"/>
          <w:szCs w:val="36"/>
        </w:rPr>
      </w:pPr>
      <w:r w:rsidRPr="009D6744">
        <w:rPr>
          <w:rFonts w:ascii="Times New Roman" w:eastAsia="Times New Roman" w:hAnsi="Times New Roman" w:cs="Times New Roman"/>
          <w:b/>
          <w:bCs/>
          <w:sz w:val="36"/>
          <w:szCs w:val="36"/>
        </w:rPr>
        <w:t>Acknowledgments</w:t>
      </w:r>
    </w:p>
    <w:p w:rsidR="009D6744" w:rsidRPr="009D6744" w:rsidRDefault="009D6744" w:rsidP="009D6744">
      <w:pPr>
        <w:spacing w:before="100" w:beforeAutospacing="1" w:after="100" w:afterAutospacing="1" w:line="240" w:lineRule="auto"/>
        <w:rPr>
          <w:rFonts w:ascii="Times New Roman" w:eastAsia="Times New Roman" w:hAnsi="Times New Roman" w:cs="Times New Roman"/>
          <w:sz w:val="24"/>
          <w:szCs w:val="24"/>
        </w:rPr>
      </w:pPr>
      <w:r w:rsidRPr="009D6744">
        <w:rPr>
          <w:rFonts w:ascii="Times New Roman" w:eastAsia="Times New Roman" w:hAnsi="Times New Roman" w:cs="Times New Roman"/>
          <w:sz w:val="24"/>
          <w:szCs w:val="24"/>
        </w:rPr>
        <w:t>Special thanks to Eric Hopson and other AMNWR personnel for helping us to obtain the necessary permits and for collecting water samples from the springs. Gastropod identifications were confirmed by Will Pratt at the Marjorie Barrick Museum of Natural History, University of Nevada Las Vegas. Thanks also to N. English for measuring the isotopic values of the carbonate samples. This research was funded by a Geological Society of America Summer Research Grant to TMS and a Chevron Summer Research</w:t>
      </w:r>
    </w:p>
    <w:p w:rsidR="00926A82" w:rsidRDefault="00926A82"/>
    <w:sectPr w:rsidR="00926A8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744"/>
    <w:rsid w:val="00926A82"/>
    <w:rsid w:val="009D67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2F6E5"/>
  <w15:chartTrackingRefBased/>
  <w15:docId w15:val="{682F9E6E-3B1C-4348-A603-D559CB481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0456742">
      <w:bodyDiv w:val="1"/>
      <w:marLeft w:val="0"/>
      <w:marRight w:val="0"/>
      <w:marTop w:val="0"/>
      <w:marBottom w:val="0"/>
      <w:divBdr>
        <w:top w:val="none" w:sz="0" w:space="0" w:color="auto"/>
        <w:left w:val="none" w:sz="0" w:space="0" w:color="auto"/>
        <w:bottom w:val="none" w:sz="0" w:space="0" w:color="auto"/>
        <w:right w:val="none" w:sz="0" w:space="0" w:color="auto"/>
      </w:divBdr>
      <w:divsChild>
        <w:div w:id="513612090">
          <w:marLeft w:val="0"/>
          <w:marRight w:val="0"/>
          <w:marTop w:val="0"/>
          <w:marBottom w:val="0"/>
          <w:divBdr>
            <w:top w:val="none" w:sz="0" w:space="0" w:color="auto"/>
            <w:left w:val="none" w:sz="0" w:space="0" w:color="auto"/>
            <w:bottom w:val="none" w:sz="0" w:space="0" w:color="auto"/>
            <w:right w:val="none" w:sz="0" w:space="0" w:color="auto"/>
          </w:divBdr>
          <w:divsChild>
            <w:div w:id="1420906329">
              <w:marLeft w:val="0"/>
              <w:marRight w:val="0"/>
              <w:marTop w:val="0"/>
              <w:marBottom w:val="0"/>
              <w:divBdr>
                <w:top w:val="none" w:sz="0" w:space="0" w:color="auto"/>
                <w:left w:val="none" w:sz="0" w:space="0" w:color="auto"/>
                <w:bottom w:val="none" w:sz="0" w:space="0" w:color="auto"/>
                <w:right w:val="none" w:sz="0" w:space="0" w:color="auto"/>
              </w:divBdr>
              <w:divsChild>
                <w:div w:id="306008108">
                  <w:marLeft w:val="0"/>
                  <w:marRight w:val="0"/>
                  <w:marTop w:val="0"/>
                  <w:marBottom w:val="0"/>
                  <w:divBdr>
                    <w:top w:val="none" w:sz="0" w:space="0" w:color="auto"/>
                    <w:left w:val="none" w:sz="0" w:space="0" w:color="auto"/>
                    <w:bottom w:val="none" w:sz="0" w:space="0" w:color="auto"/>
                    <w:right w:val="none" w:sz="0" w:space="0" w:color="auto"/>
                  </w:divBdr>
                  <w:divsChild>
                    <w:div w:id="174714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435751">
          <w:marLeft w:val="0"/>
          <w:marRight w:val="0"/>
          <w:marTop w:val="0"/>
          <w:marBottom w:val="0"/>
          <w:divBdr>
            <w:top w:val="none" w:sz="0" w:space="0" w:color="auto"/>
            <w:left w:val="none" w:sz="0" w:space="0" w:color="auto"/>
            <w:bottom w:val="none" w:sz="0" w:space="0" w:color="auto"/>
            <w:right w:val="none" w:sz="0" w:space="0" w:color="auto"/>
          </w:divBdr>
          <w:divsChild>
            <w:div w:id="964391368">
              <w:marLeft w:val="0"/>
              <w:marRight w:val="0"/>
              <w:marTop w:val="0"/>
              <w:marBottom w:val="0"/>
              <w:divBdr>
                <w:top w:val="none" w:sz="0" w:space="0" w:color="auto"/>
                <w:left w:val="none" w:sz="0" w:space="0" w:color="auto"/>
                <w:bottom w:val="none" w:sz="0" w:space="0" w:color="auto"/>
                <w:right w:val="none" w:sz="0" w:space="0" w:color="auto"/>
              </w:divBdr>
              <w:divsChild>
                <w:div w:id="131518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183498">
          <w:marLeft w:val="0"/>
          <w:marRight w:val="0"/>
          <w:marTop w:val="0"/>
          <w:marBottom w:val="0"/>
          <w:divBdr>
            <w:top w:val="none" w:sz="0" w:space="0" w:color="auto"/>
            <w:left w:val="none" w:sz="0" w:space="0" w:color="auto"/>
            <w:bottom w:val="none" w:sz="0" w:space="0" w:color="auto"/>
            <w:right w:val="none" w:sz="0" w:space="0" w:color="auto"/>
          </w:divBdr>
          <w:divsChild>
            <w:div w:id="198471165">
              <w:marLeft w:val="0"/>
              <w:marRight w:val="0"/>
              <w:marTop w:val="0"/>
              <w:marBottom w:val="0"/>
              <w:divBdr>
                <w:top w:val="none" w:sz="0" w:space="0" w:color="auto"/>
                <w:left w:val="none" w:sz="0" w:space="0" w:color="auto"/>
                <w:bottom w:val="none" w:sz="0" w:space="0" w:color="auto"/>
                <w:right w:val="none" w:sz="0" w:space="0" w:color="auto"/>
              </w:divBdr>
              <w:divsChild>
                <w:div w:id="105276920">
                  <w:marLeft w:val="0"/>
                  <w:marRight w:val="0"/>
                  <w:marTop w:val="0"/>
                  <w:marBottom w:val="0"/>
                  <w:divBdr>
                    <w:top w:val="none" w:sz="0" w:space="0" w:color="auto"/>
                    <w:left w:val="none" w:sz="0" w:space="0" w:color="auto"/>
                    <w:bottom w:val="none" w:sz="0" w:space="0" w:color="auto"/>
                    <w:right w:val="none" w:sz="0" w:space="0" w:color="auto"/>
                  </w:divBdr>
                  <w:divsChild>
                    <w:div w:id="133353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5266">
          <w:marLeft w:val="0"/>
          <w:marRight w:val="0"/>
          <w:marTop w:val="0"/>
          <w:marBottom w:val="0"/>
          <w:divBdr>
            <w:top w:val="none" w:sz="0" w:space="0" w:color="auto"/>
            <w:left w:val="none" w:sz="0" w:space="0" w:color="auto"/>
            <w:bottom w:val="none" w:sz="0" w:space="0" w:color="auto"/>
            <w:right w:val="none" w:sz="0" w:space="0" w:color="auto"/>
          </w:divBdr>
          <w:divsChild>
            <w:div w:id="1833137884">
              <w:marLeft w:val="0"/>
              <w:marRight w:val="0"/>
              <w:marTop w:val="0"/>
              <w:marBottom w:val="0"/>
              <w:divBdr>
                <w:top w:val="none" w:sz="0" w:space="0" w:color="auto"/>
                <w:left w:val="none" w:sz="0" w:space="0" w:color="auto"/>
                <w:bottom w:val="none" w:sz="0" w:space="0" w:color="auto"/>
                <w:right w:val="none" w:sz="0" w:space="0" w:color="auto"/>
              </w:divBdr>
            </w:div>
          </w:divsChild>
        </w:div>
        <w:div w:id="1091437863">
          <w:marLeft w:val="0"/>
          <w:marRight w:val="0"/>
          <w:marTop w:val="0"/>
          <w:marBottom w:val="0"/>
          <w:divBdr>
            <w:top w:val="none" w:sz="0" w:space="0" w:color="auto"/>
            <w:left w:val="none" w:sz="0" w:space="0" w:color="auto"/>
            <w:bottom w:val="none" w:sz="0" w:space="0" w:color="auto"/>
            <w:right w:val="none" w:sz="0" w:space="0" w:color="auto"/>
          </w:divBdr>
          <w:divsChild>
            <w:div w:id="18571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seasonalit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sotopic-composition" TargetMode="External"/><Relationship Id="rId5" Type="http://schemas.openxmlformats.org/officeDocument/2006/relationships/hyperlink" Target="https://www.sciencedirect.com/topics/earth-and-planetary-sciences/aragonite" TargetMode="External"/><Relationship Id="rId4" Type="http://schemas.openxmlformats.org/officeDocument/2006/relationships/hyperlink" Target="https://doi.org/10.1016/j.gca.2005.03.049"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1300</Words>
  <Characters>7410</Characters>
  <Application>Microsoft Office Word</Application>
  <DocSecurity>0</DocSecurity>
  <Lines>61</Lines>
  <Paragraphs>17</Paragraphs>
  <ScaleCrop>false</ScaleCrop>
  <Company/>
  <LinksUpToDate>false</LinksUpToDate>
  <CharactersWithSpaces>8693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2023-11-18T04:00:00Z</dcterms:created>
  <dcterms:modified xsi:type="dcterms:W3CDTF">2023-11-18T04:01:00Z</dcterms:modified>
</cp:coreProperties>
</file>