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64C99" w:rsidRPr="00C64C99" w:rsidRDefault="00C64C99" w:rsidP="00C64C99">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C64C99">
        <w:rPr>
          <w:rFonts w:ascii="Times New Roman" w:eastAsia="Times New Roman" w:hAnsi="Times New Roman" w:cs="Times New Roman"/>
          <w:b/>
          <w:bCs/>
          <w:kern w:val="36"/>
          <w:sz w:val="48"/>
          <w:szCs w:val="48"/>
        </w:rPr>
        <w:t xml:space="preserve">Model evaporation of </w:t>
      </w:r>
      <w:proofErr w:type="spellStart"/>
      <w:r w:rsidRPr="00C64C99">
        <w:rPr>
          <w:rFonts w:ascii="Times New Roman" w:eastAsia="Times New Roman" w:hAnsi="Times New Roman" w:cs="Times New Roman"/>
          <w:b/>
          <w:bCs/>
          <w:kern w:val="36"/>
          <w:sz w:val="48"/>
          <w:szCs w:val="48"/>
        </w:rPr>
        <w:t>FeO</w:t>
      </w:r>
      <w:proofErr w:type="spellEnd"/>
      <w:r w:rsidRPr="00C64C99">
        <w:rPr>
          <w:rFonts w:ascii="Times New Roman" w:eastAsia="Times New Roman" w:hAnsi="Times New Roman" w:cs="Times New Roman"/>
          <w:b/>
          <w:bCs/>
          <w:kern w:val="36"/>
          <w:sz w:val="48"/>
          <w:szCs w:val="48"/>
        </w:rPr>
        <w:t>-bearing liquids: Application to chondrules</w:t>
      </w:r>
    </w:p>
    <w:p w:rsidR="00C64C99" w:rsidRPr="00C64C99" w:rsidRDefault="00C64C99" w:rsidP="00C64C99">
      <w:pPr>
        <w:spacing w:after="0"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t>Author links open overlay panel</w:t>
      </w:r>
    </w:p>
    <w:p w:rsidR="00C64C99" w:rsidRPr="00C64C99" w:rsidRDefault="00C64C99" w:rsidP="00C64C99">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C64C99">
          <w:rPr>
            <w:rFonts w:ascii="Times New Roman" w:eastAsia="Times New Roman" w:hAnsi="Times New Roman" w:cs="Times New Roman"/>
            <w:color w:val="0000FF"/>
            <w:sz w:val="24"/>
            <w:szCs w:val="24"/>
            <w:u w:val="single"/>
          </w:rPr>
          <w:t>https://doi.org/10.1016/j.gca.2005.02.008</w:t>
        </w:r>
      </w:hyperlink>
      <w:bookmarkStart w:id="0" w:name="_GoBack"/>
      <w:bookmarkEnd w:id="0"/>
      <w:r w:rsidRPr="00C64C99">
        <w:rPr>
          <w:rFonts w:ascii="Times New Roman" w:eastAsia="Times New Roman" w:hAnsi="Times New Roman" w:cs="Times New Roman"/>
          <w:sz w:val="24"/>
          <w:szCs w:val="24"/>
        </w:rPr>
        <w:t xml:space="preserve"> </w:t>
      </w:r>
    </w:p>
    <w:p w:rsidR="00C64C99" w:rsidRPr="00C64C99" w:rsidRDefault="00C64C99" w:rsidP="00C64C99">
      <w:pPr>
        <w:spacing w:before="100" w:beforeAutospacing="1" w:after="100" w:afterAutospacing="1" w:line="240" w:lineRule="auto"/>
        <w:outlineLvl w:val="1"/>
        <w:rPr>
          <w:rFonts w:ascii="Times New Roman" w:eastAsia="Times New Roman" w:hAnsi="Times New Roman" w:cs="Times New Roman"/>
          <w:b/>
          <w:bCs/>
          <w:sz w:val="36"/>
          <w:szCs w:val="36"/>
        </w:rPr>
      </w:pPr>
      <w:r w:rsidRPr="00C64C99">
        <w:rPr>
          <w:rFonts w:ascii="Times New Roman" w:eastAsia="Times New Roman" w:hAnsi="Times New Roman" w:cs="Times New Roman"/>
          <w:b/>
          <w:bCs/>
          <w:sz w:val="36"/>
          <w:szCs w:val="36"/>
        </w:rPr>
        <w:t>Abstract</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t xml:space="preserve">Models for thermodynamic behavior of </w:t>
      </w:r>
      <w:proofErr w:type="spellStart"/>
      <w:r w:rsidRPr="00C64C99">
        <w:rPr>
          <w:rFonts w:ascii="Times New Roman" w:eastAsia="Times New Roman" w:hAnsi="Times New Roman" w:cs="Times New Roman"/>
          <w:sz w:val="24"/>
          <w:szCs w:val="24"/>
        </w:rPr>
        <w:t>FeO</w:t>
      </w:r>
      <w:proofErr w:type="spellEnd"/>
      <w:r w:rsidRPr="00C64C99">
        <w:rPr>
          <w:rFonts w:ascii="Times New Roman" w:eastAsia="Times New Roman" w:hAnsi="Times New Roman" w:cs="Times New Roman"/>
          <w:sz w:val="24"/>
          <w:szCs w:val="24"/>
        </w:rPr>
        <w:t xml:space="preserve">-bearing liquids are required for understanding the separate roles of evaporation, condensation and crystallization in the formation of free-floating silicate liquid droplets in the early </w:t>
      </w:r>
      <w:hyperlink r:id="rId5" w:tooltip="Learn more about solar nebula from ScienceDirect's AI-generated Topic Pages" w:history="1">
        <w:r w:rsidRPr="00C64C99">
          <w:rPr>
            <w:rFonts w:ascii="Times New Roman" w:eastAsia="Times New Roman" w:hAnsi="Times New Roman" w:cs="Times New Roman"/>
            <w:color w:val="0000FF"/>
            <w:sz w:val="24"/>
            <w:szCs w:val="24"/>
            <w:u w:val="single"/>
          </w:rPr>
          <w:t>solar nebula</w:t>
        </w:r>
      </w:hyperlink>
      <w:r w:rsidRPr="00C64C99">
        <w:rPr>
          <w:rFonts w:ascii="Times New Roman" w:eastAsia="Times New Roman" w:hAnsi="Times New Roman" w:cs="Times New Roman"/>
          <w:sz w:val="24"/>
          <w:szCs w:val="24"/>
        </w:rPr>
        <w:t xml:space="preserve">. These droplets, frozen as </w:t>
      </w:r>
      <w:hyperlink r:id="rId6" w:tooltip="Learn more about chondrules from ScienceDirect's AI-generated Topic Pages" w:history="1">
        <w:r w:rsidRPr="00C64C99">
          <w:rPr>
            <w:rFonts w:ascii="Times New Roman" w:eastAsia="Times New Roman" w:hAnsi="Times New Roman" w:cs="Times New Roman"/>
            <w:color w:val="0000FF"/>
            <w:sz w:val="24"/>
            <w:szCs w:val="24"/>
            <w:u w:val="single"/>
          </w:rPr>
          <w:t>chondrules</w:t>
        </w:r>
      </w:hyperlink>
      <w:r w:rsidRPr="00C64C99">
        <w:rPr>
          <w:rFonts w:ascii="Times New Roman" w:eastAsia="Times New Roman" w:hAnsi="Times New Roman" w:cs="Times New Roman"/>
          <w:sz w:val="24"/>
          <w:szCs w:val="24"/>
        </w:rPr>
        <w:t xml:space="preserve">, are common in chondritic meteorites. Evaporation coefficients for Fe and </w:t>
      </w:r>
      <w:proofErr w:type="spellStart"/>
      <w:r w:rsidRPr="00C64C99">
        <w:rPr>
          <w:rFonts w:ascii="Times New Roman" w:eastAsia="Times New Roman" w:hAnsi="Times New Roman" w:cs="Times New Roman"/>
          <w:sz w:val="24"/>
          <w:szCs w:val="24"/>
        </w:rPr>
        <w:t>FeO</w:t>
      </w:r>
      <w:proofErr w:type="spellEnd"/>
      <w:r w:rsidRPr="00C64C99">
        <w:rPr>
          <w:rFonts w:ascii="Times New Roman" w:eastAsia="Times New Roman" w:hAnsi="Times New Roman" w:cs="Times New Roman"/>
          <w:sz w:val="24"/>
          <w:szCs w:val="24"/>
        </w:rPr>
        <w:t xml:space="preserve"> of </w:t>
      </w:r>
      <w:r w:rsidRPr="00C64C99">
        <w:rPr>
          <w:rFonts w:ascii="Cambria Math" w:eastAsia="Times New Roman" w:hAnsi="Cambria Math" w:cs="Cambria Math"/>
          <w:sz w:val="24"/>
          <w:szCs w:val="24"/>
        </w:rPr>
        <w:t>∼</w:t>
      </w:r>
      <w:r w:rsidRPr="00C64C99">
        <w:rPr>
          <w:rFonts w:ascii="Times New Roman" w:eastAsia="Times New Roman" w:hAnsi="Times New Roman" w:cs="Times New Roman"/>
          <w:sz w:val="24"/>
          <w:szCs w:val="24"/>
        </w:rPr>
        <w:t xml:space="preserve">0.2 are calculated here from existing data using silicate liquid activity models. These models, used to describe gas-liquid-solid equilibria and to constrain kinetic processes, are compared and found similar, and the effects of liquid non-ideality are assessed. A general approach is presented for predicting the evaporation behavior of </w:t>
      </w:r>
      <w:proofErr w:type="spellStart"/>
      <w:r w:rsidRPr="00C64C99">
        <w:rPr>
          <w:rFonts w:ascii="Times New Roman" w:eastAsia="Times New Roman" w:hAnsi="Times New Roman" w:cs="Times New Roman"/>
          <w:sz w:val="24"/>
          <w:szCs w:val="24"/>
        </w:rPr>
        <w:t>FeO</w:t>
      </w:r>
      <w:proofErr w:type="spellEnd"/>
      <w:r w:rsidRPr="00C64C99">
        <w:rPr>
          <w:rFonts w:ascii="Times New Roman" w:eastAsia="Times New Roman" w:hAnsi="Times New Roman" w:cs="Times New Roman"/>
          <w:sz w:val="24"/>
          <w:szCs w:val="24"/>
        </w:rPr>
        <w:t>-bearing Al</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O</w:t>
      </w:r>
      <w:r w:rsidRPr="00C64C99">
        <w:rPr>
          <w:rFonts w:ascii="Times New Roman" w:eastAsia="Times New Roman" w:hAnsi="Times New Roman" w:cs="Times New Roman"/>
          <w:sz w:val="24"/>
          <w:szCs w:val="24"/>
          <w:vertAlign w:val="subscript"/>
        </w:rPr>
        <w:t>3</w:t>
      </w:r>
      <w:r w:rsidRPr="00C64C99">
        <w:rPr>
          <w:rFonts w:ascii="Times New Roman" w:eastAsia="Times New Roman" w:hAnsi="Times New Roman" w:cs="Times New Roman"/>
          <w:sz w:val="24"/>
          <w:szCs w:val="24"/>
        </w:rPr>
        <w:t>-CaO-SiO</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-MgO liquids in H</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 xml:space="preserve">-rich gas above 1400 K at low total pressure. Results are vapor pressure curves for Fe, </w:t>
      </w:r>
      <w:proofErr w:type="spellStart"/>
      <w:r w:rsidRPr="00C64C99">
        <w:rPr>
          <w:rFonts w:ascii="Times New Roman" w:eastAsia="Times New Roman" w:hAnsi="Times New Roman" w:cs="Times New Roman"/>
          <w:sz w:val="24"/>
          <w:szCs w:val="24"/>
        </w:rPr>
        <w:t>FeO</w:t>
      </w:r>
      <w:proofErr w:type="spellEnd"/>
      <w:r w:rsidRPr="00C64C99">
        <w:rPr>
          <w:rFonts w:ascii="Times New Roman" w:eastAsia="Times New Roman" w:hAnsi="Times New Roman" w:cs="Times New Roman"/>
          <w:sz w:val="24"/>
          <w:szCs w:val="24"/>
        </w:rPr>
        <w:t xml:space="preserve"> and other gas species above typical chondrule liquids, suitable for predicting compositional trajectories of residual liquids evaporating in a hydrogen-dominated vapor. These predictions are consistent with chondrule formation in the protoplanetary disk in heating events of short duration, such as those expected from shock wave or current sheet models.</w:t>
      </w:r>
    </w:p>
    <w:p w:rsidR="00C64C99" w:rsidRPr="00C64C99" w:rsidRDefault="00C64C99" w:rsidP="00C64C99">
      <w:pPr>
        <w:spacing w:before="100" w:beforeAutospacing="1" w:after="100" w:afterAutospacing="1" w:line="240" w:lineRule="auto"/>
        <w:outlineLvl w:val="1"/>
        <w:rPr>
          <w:rFonts w:ascii="Times New Roman" w:eastAsia="Times New Roman" w:hAnsi="Times New Roman" w:cs="Times New Roman"/>
          <w:b/>
          <w:bCs/>
          <w:sz w:val="36"/>
          <w:szCs w:val="36"/>
        </w:rPr>
      </w:pPr>
      <w:r w:rsidRPr="00C64C99">
        <w:rPr>
          <w:rFonts w:ascii="Times New Roman" w:eastAsia="Times New Roman" w:hAnsi="Times New Roman" w:cs="Times New Roman"/>
          <w:b/>
          <w:bCs/>
          <w:sz w:val="36"/>
          <w:szCs w:val="36"/>
        </w:rPr>
        <w:t>Introduction</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t xml:space="preserve">Of the Ca-, Al-rich inclusions (CAIs) and chondrules found in carbonaceous and ordinary chondrites, only a subset of the CAIs exhibits enrichment in the heavy isotopes of Si and Mg (Clayton et al., 1988). Other elements, such as K (Humayun and Clayton 1995, Alexander et al 2000), Fe (Alexander and Wang 2001, Zhu et al 2001, </w:t>
      </w:r>
      <w:proofErr w:type="spellStart"/>
      <w:r w:rsidRPr="00C64C99">
        <w:rPr>
          <w:rFonts w:ascii="Times New Roman" w:eastAsia="Times New Roman" w:hAnsi="Times New Roman" w:cs="Times New Roman"/>
          <w:sz w:val="24"/>
          <w:szCs w:val="24"/>
        </w:rPr>
        <w:t>Kehm</w:t>
      </w:r>
      <w:proofErr w:type="spellEnd"/>
      <w:r w:rsidRPr="00C64C99">
        <w:rPr>
          <w:rFonts w:ascii="Times New Roman" w:eastAsia="Times New Roman" w:hAnsi="Times New Roman" w:cs="Times New Roman"/>
          <w:sz w:val="24"/>
          <w:szCs w:val="24"/>
        </w:rPr>
        <w:t xml:space="preserve"> et al 2003, Mullane et al 2003), Mg (</w:t>
      </w:r>
      <w:proofErr w:type="spellStart"/>
      <w:r w:rsidRPr="00C64C99">
        <w:rPr>
          <w:rFonts w:ascii="Times New Roman" w:eastAsia="Times New Roman" w:hAnsi="Times New Roman" w:cs="Times New Roman"/>
          <w:sz w:val="24"/>
          <w:szCs w:val="24"/>
        </w:rPr>
        <w:t>Galy</w:t>
      </w:r>
      <w:proofErr w:type="spellEnd"/>
      <w:r w:rsidRPr="00C64C99">
        <w:rPr>
          <w:rFonts w:ascii="Times New Roman" w:eastAsia="Times New Roman" w:hAnsi="Times New Roman" w:cs="Times New Roman"/>
          <w:sz w:val="24"/>
          <w:szCs w:val="24"/>
        </w:rPr>
        <w:t xml:space="preserve"> et al 2000, Nguyen et al 2000), and Si (Clayton et al., 1991) show no such enrichment in chondrules. There have been many attempts to address this evidence by modeling the evaporation of presumed molten chondrule and CAI precursors (e.g., Nagahara and Ozawa 2000, Alexander 2001, Grossman et al 2000, Grossman et al 2002). Here, a method is presented to address </w:t>
      </w:r>
      <w:proofErr w:type="spellStart"/>
      <w:r w:rsidRPr="00C64C99">
        <w:rPr>
          <w:rFonts w:ascii="Times New Roman" w:eastAsia="Times New Roman" w:hAnsi="Times New Roman" w:cs="Times New Roman"/>
          <w:sz w:val="24"/>
          <w:szCs w:val="24"/>
        </w:rPr>
        <w:t>FeO</w:t>
      </w:r>
      <w:proofErr w:type="spellEnd"/>
      <w:r w:rsidRPr="00C64C99">
        <w:rPr>
          <w:rFonts w:ascii="Times New Roman" w:eastAsia="Times New Roman" w:hAnsi="Times New Roman" w:cs="Times New Roman"/>
          <w:sz w:val="24"/>
          <w:szCs w:val="24"/>
        </w:rPr>
        <w:t>-bearing liquids, which is consistent with the classical formalism and with the parameterization of Richter et al. (2002), extended to larger chemical systems.</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t>At present, there exist exactly two well-tested models describing the thermodynamic activities of oxide components in silicate liquids, suitable for modeling crystal-liquid equilibria in magmatic systems. Both use a classical non-ideal thermodynamic formalism to describe the chemical potential energy of silicate liquids, and are calibrated against internally consistent data sets describing the thermodynamic behavior of coexisting mineral phases. One, the Berman (1983) model for CaO-MgO-Al</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O</w:t>
      </w:r>
      <w:r w:rsidRPr="00C64C99">
        <w:rPr>
          <w:rFonts w:ascii="Times New Roman" w:eastAsia="Times New Roman" w:hAnsi="Times New Roman" w:cs="Times New Roman"/>
          <w:sz w:val="24"/>
          <w:szCs w:val="24"/>
          <w:vertAlign w:val="subscript"/>
        </w:rPr>
        <w:t>3</w:t>
      </w:r>
      <w:r w:rsidRPr="00C64C99">
        <w:rPr>
          <w:rFonts w:ascii="Times New Roman" w:eastAsia="Times New Roman" w:hAnsi="Times New Roman" w:cs="Times New Roman"/>
          <w:sz w:val="24"/>
          <w:szCs w:val="24"/>
        </w:rPr>
        <w:t>-SiO</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 xml:space="preserve"> (CMAS) liquids, does not address TiO</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 xml:space="preserve"> or </w:t>
      </w:r>
      <w:proofErr w:type="spellStart"/>
      <w:r w:rsidRPr="00C64C99">
        <w:rPr>
          <w:rFonts w:ascii="Times New Roman" w:eastAsia="Times New Roman" w:hAnsi="Times New Roman" w:cs="Times New Roman"/>
          <w:sz w:val="24"/>
          <w:szCs w:val="24"/>
        </w:rPr>
        <w:t>FeO</w:t>
      </w:r>
      <w:proofErr w:type="spellEnd"/>
      <w:r w:rsidRPr="00C64C99">
        <w:rPr>
          <w:rFonts w:ascii="Times New Roman" w:eastAsia="Times New Roman" w:hAnsi="Times New Roman" w:cs="Times New Roman"/>
          <w:sz w:val="24"/>
          <w:szCs w:val="24"/>
        </w:rPr>
        <w:t xml:space="preserve">. The other, the MELTS model of </w:t>
      </w:r>
      <w:proofErr w:type="spellStart"/>
      <w:r w:rsidRPr="00C64C99">
        <w:rPr>
          <w:rFonts w:ascii="Times New Roman" w:eastAsia="Times New Roman" w:hAnsi="Times New Roman" w:cs="Times New Roman"/>
          <w:sz w:val="24"/>
          <w:szCs w:val="24"/>
        </w:rPr>
        <w:t>Ghiorso</w:t>
      </w:r>
      <w:proofErr w:type="spellEnd"/>
      <w:r w:rsidRPr="00C64C99">
        <w:rPr>
          <w:rFonts w:ascii="Times New Roman" w:eastAsia="Times New Roman" w:hAnsi="Times New Roman" w:cs="Times New Roman"/>
          <w:sz w:val="24"/>
          <w:szCs w:val="24"/>
        </w:rPr>
        <w:t xml:space="preserve"> and Sack (1995), includes components containing these simple oxides, but because of the choice of stoichiometric end-member components, it cannot address </w:t>
      </w:r>
      <w:proofErr w:type="spellStart"/>
      <w:r w:rsidRPr="00C64C99">
        <w:rPr>
          <w:rFonts w:ascii="Times New Roman" w:eastAsia="Times New Roman" w:hAnsi="Times New Roman" w:cs="Times New Roman"/>
          <w:sz w:val="24"/>
          <w:szCs w:val="24"/>
        </w:rPr>
        <w:t>CMAS+FeO</w:t>
      </w:r>
      <w:proofErr w:type="spellEnd"/>
      <w:r w:rsidRPr="00C64C99">
        <w:rPr>
          <w:rFonts w:ascii="Times New Roman" w:eastAsia="Times New Roman" w:hAnsi="Times New Roman" w:cs="Times New Roman"/>
          <w:sz w:val="24"/>
          <w:szCs w:val="24"/>
        </w:rPr>
        <w:t xml:space="preserve"> liquids where molar SiO</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 xml:space="preserve"> is less than (½ MgO + ½ </w:t>
      </w:r>
      <w:proofErr w:type="spellStart"/>
      <w:r w:rsidRPr="00C64C99">
        <w:rPr>
          <w:rFonts w:ascii="Times New Roman" w:eastAsia="Times New Roman" w:hAnsi="Times New Roman" w:cs="Times New Roman"/>
          <w:sz w:val="24"/>
          <w:szCs w:val="24"/>
        </w:rPr>
        <w:t>FeO</w:t>
      </w:r>
      <w:proofErr w:type="spellEnd"/>
      <w:r w:rsidRPr="00C64C99">
        <w:rPr>
          <w:rFonts w:ascii="Times New Roman" w:eastAsia="Times New Roman" w:hAnsi="Times New Roman" w:cs="Times New Roman"/>
          <w:sz w:val="24"/>
          <w:szCs w:val="24"/>
        </w:rPr>
        <w:t xml:space="preserve"> + </w:t>
      </w:r>
      <w:proofErr w:type="spellStart"/>
      <w:r w:rsidRPr="00C64C99">
        <w:rPr>
          <w:rFonts w:ascii="Times New Roman" w:eastAsia="Times New Roman" w:hAnsi="Times New Roman" w:cs="Times New Roman"/>
          <w:sz w:val="24"/>
          <w:szCs w:val="24"/>
        </w:rPr>
        <w:t>CaO</w:t>
      </w:r>
      <w:proofErr w:type="spellEnd"/>
      <w:r w:rsidRPr="00C64C99">
        <w:rPr>
          <w:rFonts w:ascii="Times New Roman" w:eastAsia="Times New Roman" w:hAnsi="Times New Roman" w:cs="Times New Roman"/>
          <w:sz w:val="24"/>
          <w:szCs w:val="24"/>
        </w:rPr>
        <w:t>). In the absence of a universal, tested liquid model, one must use either one model or the other, depending upon the composition region of interest.</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lastRenderedPageBreak/>
        <w:t xml:space="preserve">The outcomes of equilibrium gas-liquid condensation, or kinetic evaporation of liquids can be predicted using the MELTS or CMAS liquid model, however, these processes differ in their sensitivity to activity models. Here, the two models and the effects of non-ideal parameters are compared, and a method is presented for calculating saturation vapor pressures above liquids for which the MELTS model is more suitable, such as </w:t>
      </w:r>
      <w:proofErr w:type="spellStart"/>
      <w:r w:rsidRPr="00C64C99">
        <w:rPr>
          <w:rFonts w:ascii="Times New Roman" w:eastAsia="Times New Roman" w:hAnsi="Times New Roman" w:cs="Times New Roman"/>
          <w:sz w:val="24"/>
          <w:szCs w:val="24"/>
        </w:rPr>
        <w:t>FeO</w:t>
      </w:r>
      <w:proofErr w:type="spellEnd"/>
      <w:r w:rsidRPr="00C64C99">
        <w:rPr>
          <w:rFonts w:ascii="Times New Roman" w:eastAsia="Times New Roman" w:hAnsi="Times New Roman" w:cs="Times New Roman"/>
          <w:sz w:val="24"/>
          <w:szCs w:val="24"/>
        </w:rPr>
        <w:t>-rich type II chondrule liquids. The results of evaporation from MELTS model liquids are compared with results obtained using the method (</w:t>
      </w:r>
      <w:proofErr w:type="spellStart"/>
      <w:r w:rsidRPr="00C64C99">
        <w:rPr>
          <w:rFonts w:ascii="Times New Roman" w:eastAsia="Times New Roman" w:hAnsi="Times New Roman" w:cs="Times New Roman"/>
          <w:sz w:val="24"/>
          <w:szCs w:val="24"/>
        </w:rPr>
        <w:t>Ebel</w:t>
      </w:r>
      <w:proofErr w:type="spellEnd"/>
      <w:r w:rsidRPr="00C64C99">
        <w:rPr>
          <w:rFonts w:ascii="Times New Roman" w:eastAsia="Times New Roman" w:hAnsi="Times New Roman" w:cs="Times New Roman"/>
          <w:sz w:val="24"/>
          <w:szCs w:val="24"/>
        </w:rPr>
        <w:t xml:space="preserve"> et al., 2000a) and the parameters (Richter et al., 2002) used previously to calculate evaporative flux from CMAS liquids using the Berman (1983) model (Grossman et al., 2000). Evaporation coefficients for Fe evaporation are derived from the sparse data available. Equilibrium partial pressures of CMAS and Fe-bearing gaseous species above various chondrule liquids in pure H</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 xml:space="preserve"> are calculated using the MELTS model, for ranges of P(H</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 and temperature. These partial pressures must be used with caution in considering evaporation phenomena, due to the poor constraints on evaporation coefficients, which should stimulate vigorous experimental work in the near future.</w:t>
      </w:r>
    </w:p>
    <w:p w:rsidR="00C64C99" w:rsidRPr="00C64C99" w:rsidRDefault="00C64C99" w:rsidP="00C64C99">
      <w:pPr>
        <w:spacing w:before="100" w:beforeAutospacing="1" w:after="100" w:afterAutospacing="1" w:line="240" w:lineRule="auto"/>
        <w:outlineLvl w:val="1"/>
        <w:rPr>
          <w:rFonts w:ascii="Times New Roman" w:eastAsia="Times New Roman" w:hAnsi="Times New Roman" w:cs="Times New Roman"/>
          <w:b/>
          <w:bCs/>
          <w:sz w:val="36"/>
          <w:szCs w:val="36"/>
        </w:rPr>
      </w:pPr>
      <w:r w:rsidRPr="00C64C99">
        <w:rPr>
          <w:rFonts w:ascii="Times New Roman" w:eastAsia="Times New Roman" w:hAnsi="Times New Roman" w:cs="Times New Roman"/>
          <w:b/>
          <w:bCs/>
          <w:sz w:val="36"/>
          <w:szCs w:val="36"/>
        </w:rPr>
        <w:t>Section snippets</w:t>
      </w:r>
    </w:p>
    <w:p w:rsidR="00C64C99" w:rsidRPr="00C64C99" w:rsidRDefault="00C64C99" w:rsidP="00C64C99">
      <w:pPr>
        <w:spacing w:before="100" w:beforeAutospacing="1" w:after="100" w:afterAutospacing="1" w:line="240" w:lineRule="auto"/>
        <w:outlineLvl w:val="1"/>
        <w:rPr>
          <w:rFonts w:ascii="Times New Roman" w:eastAsia="Times New Roman" w:hAnsi="Times New Roman" w:cs="Times New Roman"/>
          <w:b/>
          <w:bCs/>
          <w:sz w:val="36"/>
          <w:szCs w:val="36"/>
        </w:rPr>
      </w:pPr>
      <w:r w:rsidRPr="00C64C99">
        <w:rPr>
          <w:rFonts w:ascii="Times New Roman" w:eastAsia="Times New Roman" w:hAnsi="Times New Roman" w:cs="Times New Roman"/>
          <w:b/>
          <w:bCs/>
          <w:sz w:val="36"/>
          <w:szCs w:val="36"/>
        </w:rPr>
        <w:t>Evaporation calculation</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t xml:space="preserve">The instantaneous evaporative flux of element </w:t>
      </w:r>
      <w:proofErr w:type="spellStart"/>
      <w:r w:rsidRPr="00C64C99">
        <w:rPr>
          <w:rFonts w:ascii="Times New Roman" w:eastAsia="Times New Roman" w:hAnsi="Times New Roman" w:cs="Times New Roman"/>
          <w:i/>
          <w:iCs/>
          <w:sz w:val="24"/>
          <w:szCs w:val="24"/>
        </w:rPr>
        <w:t>i</w:t>
      </w:r>
      <w:proofErr w:type="spellEnd"/>
      <w:r w:rsidRPr="00C64C99">
        <w:rPr>
          <w:rFonts w:ascii="Times New Roman" w:eastAsia="Times New Roman" w:hAnsi="Times New Roman" w:cs="Times New Roman"/>
          <w:sz w:val="24"/>
          <w:szCs w:val="24"/>
        </w:rPr>
        <w:t xml:space="preserve"> from a molten liquid surface (</w:t>
      </w:r>
      <w:r w:rsidRPr="00C64C99">
        <w:rPr>
          <w:rFonts w:ascii="Times New Roman" w:eastAsia="Times New Roman" w:hAnsi="Times New Roman" w:cs="Times New Roman"/>
          <w:i/>
          <w:iCs/>
          <w:sz w:val="24"/>
          <w:szCs w:val="24"/>
        </w:rPr>
        <w:t>J</w:t>
      </w:r>
      <w:r w:rsidRPr="00C64C99">
        <w:rPr>
          <w:rFonts w:ascii="Times New Roman" w:eastAsia="Times New Roman" w:hAnsi="Times New Roman" w:cs="Times New Roman"/>
          <w:i/>
          <w:iCs/>
          <w:sz w:val="24"/>
          <w:szCs w:val="24"/>
          <w:vertAlign w:val="subscript"/>
        </w:rPr>
        <w:t>i</w:t>
      </w:r>
      <w:r w:rsidRPr="00C64C99">
        <w:rPr>
          <w:rFonts w:ascii="Times New Roman" w:eastAsia="Times New Roman" w:hAnsi="Times New Roman" w:cs="Times New Roman"/>
          <w:sz w:val="24"/>
          <w:szCs w:val="24"/>
        </w:rPr>
        <w:t>, mol cm</w:t>
      </w:r>
      <w:r w:rsidRPr="00C64C99">
        <w:rPr>
          <w:rFonts w:ascii="Times New Roman" w:eastAsia="Times New Roman" w:hAnsi="Times New Roman" w:cs="Times New Roman"/>
          <w:sz w:val="24"/>
          <w:szCs w:val="24"/>
          <w:vertAlign w:val="superscript"/>
        </w:rPr>
        <w:t>−2</w:t>
      </w:r>
      <w:r w:rsidRPr="00C64C99">
        <w:rPr>
          <w:rFonts w:ascii="Times New Roman" w:eastAsia="Times New Roman" w:hAnsi="Times New Roman" w:cs="Times New Roman"/>
          <w:sz w:val="24"/>
          <w:szCs w:val="24"/>
        </w:rPr>
        <w:t xml:space="preserve"> sec</w:t>
      </w:r>
      <w:r w:rsidRPr="00C64C99">
        <w:rPr>
          <w:rFonts w:ascii="Times New Roman" w:eastAsia="Times New Roman" w:hAnsi="Times New Roman" w:cs="Times New Roman"/>
          <w:sz w:val="24"/>
          <w:szCs w:val="24"/>
          <w:vertAlign w:val="superscript"/>
        </w:rPr>
        <w:t>−1</w:t>
      </w:r>
      <w:r w:rsidRPr="00C64C99">
        <w:rPr>
          <w:rFonts w:ascii="Times New Roman" w:eastAsia="Times New Roman" w:hAnsi="Times New Roman" w:cs="Times New Roman"/>
          <w:sz w:val="24"/>
          <w:szCs w:val="24"/>
        </w:rPr>
        <w:t>) can be expressed using the Hertz-Knudsen equation in SI units (</w:t>
      </w:r>
      <w:proofErr w:type="spellStart"/>
      <w:r w:rsidRPr="00C64C99">
        <w:rPr>
          <w:rFonts w:ascii="Times New Roman" w:eastAsia="Times New Roman" w:hAnsi="Times New Roman" w:cs="Times New Roman"/>
          <w:sz w:val="24"/>
          <w:szCs w:val="24"/>
        </w:rPr>
        <w:t>Hirth</w:t>
      </w:r>
      <w:proofErr w:type="spellEnd"/>
      <w:r w:rsidRPr="00C64C99">
        <w:rPr>
          <w:rFonts w:ascii="Times New Roman" w:eastAsia="Times New Roman" w:hAnsi="Times New Roman" w:cs="Times New Roman"/>
          <w:sz w:val="24"/>
          <w:szCs w:val="24"/>
        </w:rPr>
        <w:t xml:space="preserve"> and Pound, 1963) </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t xml:space="preserve">as the summation over </w:t>
      </w:r>
      <w:r w:rsidRPr="00C64C99">
        <w:rPr>
          <w:rFonts w:ascii="Times New Roman" w:eastAsia="Times New Roman" w:hAnsi="Times New Roman" w:cs="Times New Roman"/>
          <w:i/>
          <w:iCs/>
          <w:sz w:val="24"/>
          <w:szCs w:val="24"/>
        </w:rPr>
        <w:t>n</w:t>
      </w:r>
      <w:r w:rsidRPr="00C64C99">
        <w:rPr>
          <w:rFonts w:ascii="Times New Roman" w:eastAsia="Times New Roman" w:hAnsi="Times New Roman" w:cs="Times New Roman"/>
          <w:sz w:val="24"/>
          <w:szCs w:val="24"/>
        </w:rPr>
        <w:t xml:space="preserve"> gaseous species </w:t>
      </w:r>
      <w:r w:rsidRPr="00C64C99">
        <w:rPr>
          <w:rFonts w:ascii="Times New Roman" w:eastAsia="Times New Roman" w:hAnsi="Times New Roman" w:cs="Times New Roman"/>
          <w:i/>
          <w:iCs/>
          <w:sz w:val="24"/>
          <w:szCs w:val="24"/>
        </w:rPr>
        <w:t>j</w:t>
      </w:r>
      <w:r w:rsidRPr="00C64C99">
        <w:rPr>
          <w:rFonts w:ascii="Times New Roman" w:eastAsia="Times New Roman" w:hAnsi="Times New Roman" w:cs="Times New Roman"/>
          <w:sz w:val="24"/>
          <w:szCs w:val="24"/>
        </w:rPr>
        <w:t xml:space="preserve"> of molecular weight </w:t>
      </w:r>
      <w:proofErr w:type="spellStart"/>
      <w:r w:rsidRPr="00C64C99">
        <w:rPr>
          <w:rFonts w:ascii="Times New Roman" w:eastAsia="Times New Roman" w:hAnsi="Times New Roman" w:cs="Times New Roman"/>
          <w:sz w:val="24"/>
          <w:szCs w:val="24"/>
        </w:rPr>
        <w:t>m</w:t>
      </w:r>
      <w:r w:rsidRPr="00C64C99">
        <w:rPr>
          <w:rFonts w:ascii="Times New Roman" w:eastAsia="Times New Roman" w:hAnsi="Times New Roman" w:cs="Times New Roman"/>
          <w:i/>
          <w:iCs/>
          <w:sz w:val="24"/>
          <w:szCs w:val="24"/>
          <w:vertAlign w:val="subscript"/>
        </w:rPr>
        <w:t>j</w:t>
      </w:r>
      <w:proofErr w:type="spellEnd"/>
      <w:r w:rsidRPr="00C64C99">
        <w:rPr>
          <w:rFonts w:ascii="Times New Roman" w:eastAsia="Times New Roman" w:hAnsi="Times New Roman" w:cs="Times New Roman"/>
          <w:sz w:val="24"/>
          <w:szCs w:val="24"/>
        </w:rPr>
        <w:t xml:space="preserve"> (g/mol), containing </w:t>
      </w:r>
      <w:proofErr w:type="spellStart"/>
      <w:r w:rsidRPr="00C64C99">
        <w:rPr>
          <w:rFonts w:ascii="Times New Roman" w:eastAsia="Times New Roman" w:hAnsi="Times New Roman" w:cs="Times New Roman"/>
          <w:i/>
          <w:iCs/>
          <w:sz w:val="24"/>
          <w:szCs w:val="24"/>
        </w:rPr>
        <w:t>v</w:t>
      </w:r>
      <w:r w:rsidRPr="00C64C99">
        <w:rPr>
          <w:rFonts w:ascii="Times New Roman" w:eastAsia="Times New Roman" w:hAnsi="Times New Roman" w:cs="Times New Roman"/>
          <w:i/>
          <w:iCs/>
          <w:sz w:val="24"/>
          <w:szCs w:val="24"/>
          <w:vertAlign w:val="subscript"/>
        </w:rPr>
        <w:t>ij</w:t>
      </w:r>
      <w:proofErr w:type="spellEnd"/>
      <w:r w:rsidRPr="00C64C99">
        <w:rPr>
          <w:rFonts w:ascii="Times New Roman" w:eastAsia="Times New Roman" w:hAnsi="Times New Roman" w:cs="Times New Roman"/>
          <w:sz w:val="24"/>
          <w:szCs w:val="24"/>
        </w:rPr>
        <w:t xml:space="preserve"> mols </w:t>
      </w:r>
      <w:proofErr w:type="spellStart"/>
      <w:r w:rsidRPr="00C64C99">
        <w:rPr>
          <w:rFonts w:ascii="Times New Roman" w:eastAsia="Times New Roman" w:hAnsi="Times New Roman" w:cs="Times New Roman"/>
          <w:i/>
          <w:iCs/>
          <w:sz w:val="24"/>
          <w:szCs w:val="24"/>
        </w:rPr>
        <w:t>i</w:t>
      </w:r>
      <w:proofErr w:type="spellEnd"/>
      <w:r w:rsidRPr="00C64C99">
        <w:rPr>
          <w:rFonts w:ascii="Times New Roman" w:eastAsia="Times New Roman" w:hAnsi="Times New Roman" w:cs="Times New Roman"/>
          <w:sz w:val="24"/>
          <w:szCs w:val="24"/>
        </w:rPr>
        <w:t xml:space="preserve"> per mol of </w:t>
      </w:r>
      <w:r w:rsidRPr="00C64C99">
        <w:rPr>
          <w:rFonts w:ascii="Times New Roman" w:eastAsia="Times New Roman" w:hAnsi="Times New Roman" w:cs="Times New Roman"/>
          <w:i/>
          <w:iCs/>
          <w:sz w:val="24"/>
          <w:szCs w:val="24"/>
        </w:rPr>
        <w:t>j</w:t>
      </w:r>
      <w:r w:rsidRPr="00C64C99">
        <w:rPr>
          <w:rFonts w:ascii="Times New Roman" w:eastAsia="Times New Roman" w:hAnsi="Times New Roman" w:cs="Times New Roman"/>
          <w:sz w:val="24"/>
          <w:szCs w:val="24"/>
        </w:rPr>
        <w:t xml:space="preserve">, with partial pressures </w:t>
      </w:r>
      <w:proofErr w:type="spellStart"/>
      <w:r w:rsidRPr="00C64C99">
        <w:rPr>
          <w:rFonts w:ascii="Times New Roman" w:eastAsia="Times New Roman" w:hAnsi="Times New Roman" w:cs="Times New Roman"/>
          <w:i/>
          <w:iCs/>
          <w:sz w:val="24"/>
          <w:szCs w:val="24"/>
        </w:rPr>
        <w:t>P</w:t>
      </w:r>
      <w:r w:rsidRPr="00C64C99">
        <w:rPr>
          <w:rFonts w:ascii="Times New Roman" w:eastAsia="Times New Roman" w:hAnsi="Times New Roman" w:cs="Times New Roman"/>
          <w:i/>
          <w:iCs/>
          <w:sz w:val="24"/>
          <w:szCs w:val="24"/>
          <w:vertAlign w:val="subscript"/>
        </w:rPr>
        <w:t>j</w:t>
      </w:r>
      <w:r w:rsidRPr="00C64C99">
        <w:rPr>
          <w:rFonts w:ascii="Times New Roman" w:eastAsia="Times New Roman" w:hAnsi="Times New Roman" w:cs="Times New Roman"/>
          <w:sz w:val="24"/>
          <w:szCs w:val="24"/>
          <w:vertAlign w:val="subscript"/>
        </w:rPr>
        <w:t>,sat</w:t>
      </w:r>
      <w:proofErr w:type="spellEnd"/>
      <w:r w:rsidRPr="00C64C99">
        <w:rPr>
          <w:rFonts w:ascii="Times New Roman" w:eastAsia="Times New Roman" w:hAnsi="Times New Roman" w:cs="Times New Roman"/>
          <w:sz w:val="24"/>
          <w:szCs w:val="24"/>
        </w:rPr>
        <w:t xml:space="preserve"> (bar) at saturation, where α</w:t>
      </w:r>
      <w:r w:rsidRPr="00C64C99">
        <w:rPr>
          <w:rFonts w:ascii="Times New Roman" w:eastAsia="Times New Roman" w:hAnsi="Times New Roman" w:cs="Times New Roman"/>
          <w:i/>
          <w:iCs/>
          <w:sz w:val="24"/>
          <w:szCs w:val="24"/>
          <w:vertAlign w:val="subscript"/>
        </w:rPr>
        <w:t>j</w:t>
      </w:r>
      <w:r w:rsidRPr="00C64C99">
        <w:rPr>
          <w:rFonts w:ascii="Times New Roman" w:eastAsia="Times New Roman" w:hAnsi="Times New Roman" w:cs="Times New Roman"/>
          <w:sz w:val="24"/>
          <w:szCs w:val="24"/>
        </w:rPr>
        <w:t xml:space="preserve"> is the evaporation coefficient of species </w:t>
      </w:r>
      <w:r w:rsidRPr="00C64C99">
        <w:rPr>
          <w:rFonts w:ascii="Times New Roman" w:eastAsia="Times New Roman" w:hAnsi="Times New Roman" w:cs="Times New Roman"/>
          <w:i/>
          <w:iCs/>
          <w:sz w:val="24"/>
          <w:szCs w:val="24"/>
        </w:rPr>
        <w:t>j</w:t>
      </w:r>
      <w:r w:rsidRPr="00C64C99">
        <w:rPr>
          <w:rFonts w:ascii="Times New Roman" w:eastAsia="Times New Roman" w:hAnsi="Times New Roman" w:cs="Times New Roman"/>
          <w:sz w:val="24"/>
          <w:szCs w:val="24"/>
        </w:rPr>
        <w:t xml:space="preserve">, </w:t>
      </w:r>
      <w:r w:rsidRPr="00C64C99">
        <w:rPr>
          <w:rFonts w:ascii="Times New Roman" w:eastAsia="Times New Roman" w:hAnsi="Times New Roman" w:cs="Times New Roman"/>
          <w:i/>
          <w:iCs/>
          <w:sz w:val="24"/>
          <w:szCs w:val="24"/>
        </w:rPr>
        <w:t>R</w:t>
      </w:r>
      <w:r w:rsidRPr="00C64C99">
        <w:rPr>
          <w:rFonts w:ascii="Times New Roman" w:eastAsia="Times New Roman" w:hAnsi="Times New Roman" w:cs="Times New Roman"/>
          <w:sz w:val="24"/>
          <w:szCs w:val="24"/>
        </w:rPr>
        <w:t xml:space="preserve"> is the gas constant (8.314 Jmol</w:t>
      </w:r>
      <w:r w:rsidRPr="00C64C99">
        <w:rPr>
          <w:rFonts w:ascii="Times New Roman" w:eastAsia="Times New Roman" w:hAnsi="Times New Roman" w:cs="Times New Roman"/>
          <w:sz w:val="24"/>
          <w:szCs w:val="24"/>
          <w:vertAlign w:val="superscript"/>
        </w:rPr>
        <w:t>−1</w:t>
      </w:r>
      <w:r w:rsidRPr="00C64C99">
        <w:rPr>
          <w:rFonts w:ascii="Times New Roman" w:eastAsia="Times New Roman" w:hAnsi="Times New Roman" w:cs="Times New Roman"/>
          <w:sz w:val="24"/>
          <w:szCs w:val="24"/>
        </w:rPr>
        <w:t>K</w:t>
      </w:r>
      <w:r w:rsidRPr="00C64C99">
        <w:rPr>
          <w:rFonts w:ascii="Times New Roman" w:eastAsia="Times New Roman" w:hAnsi="Times New Roman" w:cs="Times New Roman"/>
          <w:sz w:val="24"/>
          <w:szCs w:val="24"/>
          <w:vertAlign w:val="superscript"/>
        </w:rPr>
        <w:t>−1</w:t>
      </w:r>
      <w:r w:rsidRPr="00C64C99">
        <w:rPr>
          <w:rFonts w:ascii="Times New Roman" w:eastAsia="Times New Roman" w:hAnsi="Times New Roman" w:cs="Times New Roman"/>
          <w:sz w:val="24"/>
          <w:szCs w:val="24"/>
        </w:rPr>
        <w:t>), and T the absolute</w:t>
      </w:r>
    </w:p>
    <w:p w:rsidR="00C64C99" w:rsidRPr="00C64C99" w:rsidRDefault="00C64C99" w:rsidP="00C64C99">
      <w:pPr>
        <w:spacing w:before="100" w:beforeAutospacing="1" w:after="100" w:afterAutospacing="1" w:line="240" w:lineRule="auto"/>
        <w:outlineLvl w:val="1"/>
        <w:rPr>
          <w:rFonts w:ascii="Times New Roman" w:eastAsia="Times New Roman" w:hAnsi="Times New Roman" w:cs="Times New Roman"/>
          <w:b/>
          <w:bCs/>
          <w:sz w:val="36"/>
          <w:szCs w:val="36"/>
        </w:rPr>
      </w:pPr>
      <w:r w:rsidRPr="00C64C99">
        <w:rPr>
          <w:rFonts w:ascii="Times New Roman" w:eastAsia="Times New Roman" w:hAnsi="Times New Roman" w:cs="Times New Roman"/>
          <w:b/>
          <w:bCs/>
          <w:sz w:val="36"/>
          <w:szCs w:val="36"/>
        </w:rPr>
        <w:t>CMAS Components in the MELTS Liquid Model</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t>Grossman et al. (2000) and Richter et al. (2002) calculated evaporation coefficients suitable for modeling the sequential compositional changes of residual CMAS liquids produced by evaporation at high temperature. The latter observed that without the use of the solution model of Berman (1983), “all the deficiencies of the activity-composition relationships will complicate the dependence of the evaporation coefficients on composition.” A striking example of this model’s effectiveness is</w:t>
      </w:r>
    </w:p>
    <w:p w:rsidR="00C64C99" w:rsidRPr="00C64C99" w:rsidRDefault="00C64C99" w:rsidP="00C64C99">
      <w:pPr>
        <w:spacing w:before="100" w:beforeAutospacing="1" w:after="100" w:afterAutospacing="1" w:line="240" w:lineRule="auto"/>
        <w:outlineLvl w:val="1"/>
        <w:rPr>
          <w:rFonts w:ascii="Times New Roman" w:eastAsia="Times New Roman" w:hAnsi="Times New Roman" w:cs="Times New Roman"/>
          <w:b/>
          <w:bCs/>
          <w:sz w:val="36"/>
          <w:szCs w:val="36"/>
        </w:rPr>
      </w:pPr>
      <w:r w:rsidRPr="00C64C99">
        <w:rPr>
          <w:rFonts w:ascii="Times New Roman" w:eastAsia="Times New Roman" w:hAnsi="Times New Roman" w:cs="Times New Roman"/>
          <w:b/>
          <w:bCs/>
          <w:sz w:val="36"/>
          <w:szCs w:val="36"/>
        </w:rPr>
        <w:t>Equilibrium Condensation vs. Evaporation</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t xml:space="preserve">To first order, the temperatures at which elements condense in equilibrium from the gas phase as either solid assemblages or liquid-solid mixtures depend on the standard Gibbs free energies of formation of the solid and liquid components, relative to the gas. Second order effects in condensation are due to variations in the Gibbs free energy of the ensemble, introduced by the activity models used to describe non-ideal mixing of endmembers in solid and liquid solutions. Models describing kinetic </w:t>
      </w:r>
    </w:p>
    <w:p w:rsidR="00C64C99" w:rsidRPr="00C64C99" w:rsidRDefault="00C64C99" w:rsidP="00C64C99">
      <w:pPr>
        <w:spacing w:before="100" w:beforeAutospacing="1" w:after="100" w:afterAutospacing="1" w:line="240" w:lineRule="auto"/>
        <w:outlineLvl w:val="1"/>
        <w:rPr>
          <w:rFonts w:ascii="Times New Roman" w:eastAsia="Times New Roman" w:hAnsi="Times New Roman" w:cs="Times New Roman"/>
          <w:b/>
          <w:bCs/>
          <w:sz w:val="36"/>
          <w:szCs w:val="36"/>
        </w:rPr>
      </w:pPr>
      <w:r w:rsidRPr="00C64C99">
        <w:rPr>
          <w:rFonts w:ascii="Times New Roman" w:eastAsia="Times New Roman" w:hAnsi="Times New Roman" w:cs="Times New Roman"/>
          <w:b/>
          <w:bCs/>
          <w:sz w:val="36"/>
          <w:szCs w:val="36"/>
        </w:rPr>
        <w:t>Conclusions</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lastRenderedPageBreak/>
        <w:t xml:space="preserve">In the absence of a liquid model calibrated against all the available experimental data, and addressing all the composition space spanned by the simple oxides, a combination of the Berman (1983) CMAS model with the MELTS model of </w:t>
      </w:r>
      <w:proofErr w:type="spellStart"/>
      <w:r w:rsidRPr="00C64C99">
        <w:rPr>
          <w:rFonts w:ascii="Times New Roman" w:eastAsia="Times New Roman" w:hAnsi="Times New Roman" w:cs="Times New Roman"/>
          <w:sz w:val="24"/>
          <w:szCs w:val="24"/>
        </w:rPr>
        <w:t>Ghiorso</w:t>
      </w:r>
      <w:proofErr w:type="spellEnd"/>
      <w:r w:rsidRPr="00C64C99">
        <w:rPr>
          <w:rFonts w:ascii="Times New Roman" w:eastAsia="Times New Roman" w:hAnsi="Times New Roman" w:cs="Times New Roman"/>
          <w:sz w:val="24"/>
          <w:szCs w:val="24"/>
        </w:rPr>
        <w:t xml:space="preserve"> and Sack (1995) is sufficient to describe both equilibrium condensation of, and saturation vapor pressures over silicate liquids. Both liquid models give similar results when the melt has &lt;5% non-CMAS components, and </w:t>
      </w:r>
      <w:r w:rsidRPr="00C64C99">
        <w:rPr>
          <w:rFonts w:ascii="Cambria Math" w:eastAsia="Times New Roman" w:hAnsi="Cambria Math" w:cs="Cambria Math"/>
          <w:sz w:val="24"/>
          <w:szCs w:val="24"/>
        </w:rPr>
        <w:t>∼</w:t>
      </w:r>
      <w:r w:rsidRPr="00C64C99">
        <w:rPr>
          <w:rFonts w:ascii="Times New Roman" w:eastAsia="Times New Roman" w:hAnsi="Times New Roman" w:cs="Times New Roman"/>
          <w:sz w:val="24"/>
          <w:szCs w:val="24"/>
        </w:rPr>
        <w:t>5% more SiO</w:t>
      </w:r>
      <w:r w:rsidRPr="00C64C99">
        <w:rPr>
          <w:rFonts w:ascii="Times New Roman" w:eastAsia="Times New Roman" w:hAnsi="Times New Roman" w:cs="Times New Roman"/>
          <w:sz w:val="24"/>
          <w:szCs w:val="24"/>
          <w:vertAlign w:val="subscript"/>
        </w:rPr>
        <w:t>2</w:t>
      </w:r>
      <w:r w:rsidRPr="00C64C99">
        <w:rPr>
          <w:rFonts w:ascii="Times New Roman" w:eastAsia="Times New Roman" w:hAnsi="Times New Roman" w:cs="Times New Roman"/>
          <w:sz w:val="24"/>
          <w:szCs w:val="24"/>
        </w:rPr>
        <w:t xml:space="preserve"> than is necessary for the</w:t>
      </w:r>
    </w:p>
    <w:p w:rsidR="00C64C99" w:rsidRPr="00C64C99" w:rsidRDefault="00C64C99" w:rsidP="00C64C99">
      <w:pPr>
        <w:spacing w:before="100" w:beforeAutospacing="1" w:after="100" w:afterAutospacing="1" w:line="240" w:lineRule="auto"/>
        <w:outlineLvl w:val="1"/>
        <w:rPr>
          <w:rFonts w:ascii="Times New Roman" w:eastAsia="Times New Roman" w:hAnsi="Times New Roman" w:cs="Times New Roman"/>
          <w:b/>
          <w:bCs/>
          <w:sz w:val="36"/>
          <w:szCs w:val="36"/>
        </w:rPr>
      </w:pPr>
      <w:r w:rsidRPr="00C64C99">
        <w:rPr>
          <w:rFonts w:ascii="Times New Roman" w:eastAsia="Times New Roman" w:hAnsi="Times New Roman" w:cs="Times New Roman"/>
          <w:b/>
          <w:bCs/>
          <w:sz w:val="36"/>
          <w:szCs w:val="36"/>
        </w:rPr>
        <w:t>Acknowledgments</w:t>
      </w:r>
    </w:p>
    <w:p w:rsidR="00C64C99" w:rsidRPr="00C64C99" w:rsidRDefault="00C64C99" w:rsidP="00C64C99">
      <w:pPr>
        <w:spacing w:before="100" w:beforeAutospacing="1" w:after="100" w:afterAutospacing="1" w:line="240" w:lineRule="auto"/>
        <w:rPr>
          <w:rFonts w:ascii="Times New Roman" w:eastAsia="Times New Roman" w:hAnsi="Times New Roman" w:cs="Times New Roman"/>
          <w:sz w:val="24"/>
          <w:szCs w:val="24"/>
        </w:rPr>
      </w:pPr>
      <w:r w:rsidRPr="00C64C99">
        <w:rPr>
          <w:rFonts w:ascii="Times New Roman" w:eastAsia="Times New Roman" w:hAnsi="Times New Roman" w:cs="Times New Roman"/>
          <w:sz w:val="24"/>
          <w:szCs w:val="24"/>
        </w:rPr>
        <w:t>This research has made use of NASA’s Astrophysics Data System Bibliographic Services. Work was supported by NASA Cosmochemistry grant NAG5-12855. I thank C. Alexander, A. Campbell, H. Nagahara, and N. Kita for very careful reviews and editorial care that significantly improved this work.</w:t>
      </w:r>
    </w:p>
    <w:p w:rsidR="00116A6A" w:rsidRDefault="00116A6A"/>
    <w:sectPr w:rsidR="00116A6A">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4C99"/>
    <w:rsid w:val="00116A6A"/>
    <w:rsid w:val="00C64C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0F7A8"/>
  <w15:chartTrackingRefBased/>
  <w15:docId w15:val="{A5BF91DA-733B-497A-B002-B1D34B63E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5960326">
      <w:bodyDiv w:val="1"/>
      <w:marLeft w:val="0"/>
      <w:marRight w:val="0"/>
      <w:marTop w:val="0"/>
      <w:marBottom w:val="0"/>
      <w:divBdr>
        <w:top w:val="none" w:sz="0" w:space="0" w:color="auto"/>
        <w:left w:val="none" w:sz="0" w:space="0" w:color="auto"/>
        <w:bottom w:val="none" w:sz="0" w:space="0" w:color="auto"/>
        <w:right w:val="none" w:sz="0" w:space="0" w:color="auto"/>
      </w:divBdr>
      <w:divsChild>
        <w:div w:id="1889107947">
          <w:marLeft w:val="0"/>
          <w:marRight w:val="0"/>
          <w:marTop w:val="0"/>
          <w:marBottom w:val="0"/>
          <w:divBdr>
            <w:top w:val="none" w:sz="0" w:space="0" w:color="auto"/>
            <w:left w:val="none" w:sz="0" w:space="0" w:color="auto"/>
            <w:bottom w:val="none" w:sz="0" w:space="0" w:color="auto"/>
            <w:right w:val="none" w:sz="0" w:space="0" w:color="auto"/>
          </w:divBdr>
          <w:divsChild>
            <w:div w:id="1335575883">
              <w:marLeft w:val="0"/>
              <w:marRight w:val="0"/>
              <w:marTop w:val="0"/>
              <w:marBottom w:val="0"/>
              <w:divBdr>
                <w:top w:val="none" w:sz="0" w:space="0" w:color="auto"/>
                <w:left w:val="none" w:sz="0" w:space="0" w:color="auto"/>
                <w:bottom w:val="none" w:sz="0" w:space="0" w:color="auto"/>
                <w:right w:val="none" w:sz="0" w:space="0" w:color="auto"/>
              </w:divBdr>
              <w:divsChild>
                <w:div w:id="1175001722">
                  <w:marLeft w:val="0"/>
                  <w:marRight w:val="0"/>
                  <w:marTop w:val="0"/>
                  <w:marBottom w:val="0"/>
                  <w:divBdr>
                    <w:top w:val="none" w:sz="0" w:space="0" w:color="auto"/>
                    <w:left w:val="none" w:sz="0" w:space="0" w:color="auto"/>
                    <w:bottom w:val="none" w:sz="0" w:space="0" w:color="auto"/>
                    <w:right w:val="none" w:sz="0" w:space="0" w:color="auto"/>
                  </w:divBdr>
                  <w:divsChild>
                    <w:div w:id="1397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243809">
          <w:marLeft w:val="0"/>
          <w:marRight w:val="0"/>
          <w:marTop w:val="0"/>
          <w:marBottom w:val="0"/>
          <w:divBdr>
            <w:top w:val="none" w:sz="0" w:space="0" w:color="auto"/>
            <w:left w:val="none" w:sz="0" w:space="0" w:color="auto"/>
            <w:bottom w:val="none" w:sz="0" w:space="0" w:color="auto"/>
            <w:right w:val="none" w:sz="0" w:space="0" w:color="auto"/>
          </w:divBdr>
          <w:divsChild>
            <w:div w:id="1822381999">
              <w:marLeft w:val="0"/>
              <w:marRight w:val="0"/>
              <w:marTop w:val="0"/>
              <w:marBottom w:val="0"/>
              <w:divBdr>
                <w:top w:val="none" w:sz="0" w:space="0" w:color="auto"/>
                <w:left w:val="none" w:sz="0" w:space="0" w:color="auto"/>
                <w:bottom w:val="none" w:sz="0" w:space="0" w:color="auto"/>
                <w:right w:val="none" w:sz="0" w:space="0" w:color="auto"/>
              </w:divBdr>
              <w:divsChild>
                <w:div w:id="1422066708">
                  <w:marLeft w:val="0"/>
                  <w:marRight w:val="0"/>
                  <w:marTop w:val="0"/>
                  <w:marBottom w:val="0"/>
                  <w:divBdr>
                    <w:top w:val="none" w:sz="0" w:space="0" w:color="auto"/>
                    <w:left w:val="none" w:sz="0" w:space="0" w:color="auto"/>
                    <w:bottom w:val="none" w:sz="0" w:space="0" w:color="auto"/>
                    <w:right w:val="none" w:sz="0" w:space="0" w:color="auto"/>
                  </w:divBdr>
                  <w:divsChild>
                    <w:div w:id="198314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940972">
          <w:marLeft w:val="0"/>
          <w:marRight w:val="0"/>
          <w:marTop w:val="0"/>
          <w:marBottom w:val="0"/>
          <w:divBdr>
            <w:top w:val="none" w:sz="0" w:space="0" w:color="auto"/>
            <w:left w:val="none" w:sz="0" w:space="0" w:color="auto"/>
            <w:bottom w:val="none" w:sz="0" w:space="0" w:color="auto"/>
            <w:right w:val="none" w:sz="0" w:space="0" w:color="auto"/>
          </w:divBdr>
          <w:divsChild>
            <w:div w:id="1194419215">
              <w:marLeft w:val="0"/>
              <w:marRight w:val="0"/>
              <w:marTop w:val="0"/>
              <w:marBottom w:val="0"/>
              <w:divBdr>
                <w:top w:val="none" w:sz="0" w:space="0" w:color="auto"/>
                <w:left w:val="none" w:sz="0" w:space="0" w:color="auto"/>
                <w:bottom w:val="none" w:sz="0" w:space="0" w:color="auto"/>
                <w:right w:val="none" w:sz="0" w:space="0" w:color="auto"/>
              </w:divBdr>
            </w:div>
          </w:divsChild>
        </w:div>
        <w:div w:id="871383126">
          <w:marLeft w:val="0"/>
          <w:marRight w:val="0"/>
          <w:marTop w:val="0"/>
          <w:marBottom w:val="0"/>
          <w:divBdr>
            <w:top w:val="none" w:sz="0" w:space="0" w:color="auto"/>
            <w:left w:val="none" w:sz="0" w:space="0" w:color="auto"/>
            <w:bottom w:val="none" w:sz="0" w:space="0" w:color="auto"/>
            <w:right w:val="none" w:sz="0" w:space="0" w:color="auto"/>
          </w:divBdr>
          <w:divsChild>
            <w:div w:id="18339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chondrule" TargetMode="External"/><Relationship Id="rId5" Type="http://schemas.openxmlformats.org/officeDocument/2006/relationships/hyperlink" Target="https://www.sciencedirect.com/topics/earth-and-planetary-sciences/solar-nebula" TargetMode="External"/><Relationship Id="rId4" Type="http://schemas.openxmlformats.org/officeDocument/2006/relationships/hyperlink" Target="https://doi.org/10.1016/j.gca.2005.02.00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1090</Words>
  <Characters>6215</Characters>
  <Application>Microsoft Office Word</Application>
  <DocSecurity>0</DocSecurity>
  <Lines>51</Lines>
  <Paragraphs>14</Paragraphs>
  <ScaleCrop>false</ScaleCrop>
  <Company/>
  <LinksUpToDate>false</LinksUpToDate>
  <CharactersWithSpaces>7291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2023-11-18T08:39:00Z</dcterms:created>
  <dcterms:modified xsi:type="dcterms:W3CDTF">2023-11-18T08:40:00Z</dcterms:modified>
</cp:coreProperties>
</file>