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617C5" w:rsidRPr="004617C5" w:rsidRDefault="004617C5" w:rsidP="004617C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617C5">
        <w:rPr>
          <w:rFonts w:ascii="Times New Roman" w:eastAsia="Times New Roman" w:hAnsi="Times New Roman" w:cs="Times New Roman"/>
          <w:b/>
          <w:bCs/>
          <w:kern w:val="36"/>
          <w:sz w:val="48"/>
          <w:szCs w:val="48"/>
        </w:rPr>
        <w:t xml:space="preserve">Experimental and theoretical vibrational spectroscopy studies of acetohydroxamic acid and </w:t>
      </w:r>
      <w:proofErr w:type="spellStart"/>
      <w:r w:rsidRPr="004617C5">
        <w:rPr>
          <w:rFonts w:ascii="Times New Roman" w:eastAsia="Times New Roman" w:hAnsi="Times New Roman" w:cs="Times New Roman"/>
          <w:b/>
          <w:bCs/>
          <w:kern w:val="36"/>
          <w:sz w:val="48"/>
          <w:szCs w:val="48"/>
        </w:rPr>
        <w:t>desferrioxamine</w:t>
      </w:r>
      <w:proofErr w:type="spellEnd"/>
      <w:r w:rsidRPr="004617C5">
        <w:rPr>
          <w:rFonts w:ascii="Times New Roman" w:eastAsia="Times New Roman" w:hAnsi="Times New Roman" w:cs="Times New Roman"/>
          <w:b/>
          <w:bCs/>
          <w:kern w:val="36"/>
          <w:sz w:val="48"/>
          <w:szCs w:val="48"/>
        </w:rPr>
        <w:t xml:space="preserve"> B in aqueous solution: Effects of pH and iron complexation</w:t>
      </w:r>
    </w:p>
    <w:p w:rsidR="004617C5" w:rsidRPr="004617C5" w:rsidRDefault="004617C5" w:rsidP="004617C5">
      <w:pPr>
        <w:spacing w:after="0"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Author links open overlay panel</w:t>
      </w:r>
    </w:p>
    <w:p w:rsidR="004617C5" w:rsidRPr="004617C5" w:rsidRDefault="004617C5" w:rsidP="004617C5">
      <w:pPr>
        <w:spacing w:after="0"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 , , </w:t>
      </w:r>
    </w:p>
    <w:p w:rsidR="004617C5" w:rsidRPr="004617C5" w:rsidRDefault="004617C5" w:rsidP="004617C5">
      <w:pPr>
        <w:spacing w:after="0"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 </w:t>
      </w:r>
      <w:bookmarkStart w:id="0" w:name="baep-author-id14-profile"/>
      <w:r w:rsidRPr="004617C5">
        <w:rPr>
          <w:rFonts w:ascii="Times New Roman" w:eastAsia="Times New Roman" w:hAnsi="Times New Roman" w:cs="Times New Roman"/>
          <w:sz w:val="24"/>
          <w:szCs w:val="24"/>
        </w:rPr>
        <w:fldChar w:fldCharType="begin"/>
      </w:r>
      <w:r w:rsidRPr="004617C5">
        <w:rPr>
          <w:rFonts w:ascii="Times New Roman" w:eastAsia="Times New Roman" w:hAnsi="Times New Roman" w:cs="Times New Roman"/>
          <w:sz w:val="24"/>
          <w:szCs w:val="24"/>
        </w:rPr>
        <w:instrText xml:space="preserve"> HYPERLINK "https://www.sciencedirect.com/author/7003426866/satish-c-b-myneni" </w:instrText>
      </w:r>
      <w:r w:rsidRPr="004617C5">
        <w:rPr>
          <w:rFonts w:ascii="Times New Roman" w:eastAsia="Times New Roman" w:hAnsi="Times New Roman" w:cs="Times New Roman"/>
          <w:sz w:val="24"/>
          <w:szCs w:val="24"/>
        </w:rPr>
        <w:fldChar w:fldCharType="separate"/>
      </w:r>
      <w:r w:rsidRPr="004617C5">
        <w:rPr>
          <w:rFonts w:ascii="Times New Roman" w:eastAsia="Times New Roman" w:hAnsi="Times New Roman" w:cs="Times New Roman"/>
          <w:color w:val="0000FF"/>
          <w:sz w:val="24"/>
          <w:szCs w:val="24"/>
          <w:u w:val="single"/>
        </w:rPr>
        <w:t xml:space="preserve">Satish C.B. Myneni </w:t>
      </w:r>
      <w:r w:rsidRPr="004617C5">
        <w:rPr>
          <w:rFonts w:ascii="Times New Roman" w:eastAsia="Times New Roman" w:hAnsi="Times New Roman" w:cs="Times New Roman"/>
          <w:color w:val="0000FF"/>
          <w:sz w:val="24"/>
          <w:szCs w:val="24"/>
          <w:u w:val="single"/>
          <w:vertAlign w:val="superscript"/>
        </w:rPr>
        <w:t>2</w:t>
      </w:r>
      <w:r w:rsidRPr="004617C5">
        <w:rPr>
          <w:rFonts w:ascii="Times New Roman" w:eastAsia="Times New Roman" w:hAnsi="Times New Roman" w:cs="Times New Roman"/>
          <w:color w:val="0000FF"/>
          <w:sz w:val="24"/>
          <w:szCs w:val="24"/>
          <w:u w:val="single"/>
        </w:rPr>
        <w:t xml:space="preserve"> </w:t>
      </w:r>
      <w:r w:rsidRPr="004617C5">
        <w:rPr>
          <w:rFonts w:ascii="Times New Roman" w:eastAsia="Times New Roman" w:hAnsi="Times New Roman" w:cs="Times New Roman"/>
          <w:color w:val="0000FF"/>
          <w:sz w:val="24"/>
          <w:szCs w:val="24"/>
          <w:u w:val="single"/>
          <w:vertAlign w:val="superscript"/>
        </w:rPr>
        <w:t>3</w:t>
      </w:r>
      <w:r w:rsidRPr="004617C5">
        <w:rPr>
          <w:rFonts w:ascii="Times New Roman" w:eastAsia="Times New Roman" w:hAnsi="Times New Roman" w:cs="Times New Roman"/>
          <w:sz w:val="24"/>
          <w:szCs w:val="24"/>
        </w:rPr>
        <w:fldChar w:fldCharType="end"/>
      </w:r>
      <w:bookmarkEnd w:id="0"/>
    </w:p>
    <w:p w:rsidR="004617C5" w:rsidRPr="004617C5" w:rsidRDefault="004617C5" w:rsidP="004617C5">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4617C5">
          <w:rPr>
            <w:rFonts w:ascii="Times New Roman" w:eastAsia="Times New Roman" w:hAnsi="Times New Roman" w:cs="Times New Roman"/>
            <w:color w:val="0000FF"/>
            <w:sz w:val="24"/>
            <w:szCs w:val="24"/>
            <w:u w:val="single"/>
          </w:rPr>
          <w:t>https://doi.org/10.1016/j.gca.2005.01.030</w:t>
        </w:r>
      </w:hyperlink>
      <w:bookmarkStart w:id="1" w:name="_GoBack"/>
      <w:bookmarkEnd w:id="1"/>
      <w:r w:rsidRPr="004617C5">
        <w:rPr>
          <w:rFonts w:ascii="Times New Roman" w:eastAsia="Times New Roman" w:hAnsi="Times New Roman" w:cs="Times New Roman"/>
          <w:sz w:val="24"/>
          <w:szCs w:val="24"/>
        </w:rPr>
        <w:t xml:space="preserve"> </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Abstract</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The deprotonation and iron complexation of the hydroxamate </w:t>
      </w:r>
      <w:hyperlink r:id="rId6" w:tooltip="Learn more about siderophore from ScienceDirect's AI-generated Topic Pages" w:history="1">
        <w:r w:rsidRPr="004617C5">
          <w:rPr>
            <w:rFonts w:ascii="Times New Roman" w:eastAsia="Times New Roman" w:hAnsi="Times New Roman" w:cs="Times New Roman"/>
            <w:color w:val="0000FF"/>
            <w:sz w:val="24"/>
            <w:szCs w:val="24"/>
            <w:u w:val="single"/>
          </w:rPr>
          <w:t>siderophore</w:t>
        </w:r>
      </w:hyperlink>
      <w:r w:rsidRPr="004617C5">
        <w:rPr>
          <w:rFonts w:ascii="Times New Roman" w:eastAsia="Times New Roman" w:hAnsi="Times New Roman" w:cs="Times New Roman"/>
          <w:sz w:val="24"/>
          <w:szCs w:val="24"/>
        </w:rPr>
        <w:t xml:space="preserve">, </w:t>
      </w:r>
      <w:proofErr w:type="spellStart"/>
      <w:r w:rsidRPr="004617C5">
        <w:rPr>
          <w:rFonts w:ascii="Times New Roman" w:eastAsia="Times New Roman" w:hAnsi="Times New Roman" w:cs="Times New Roman"/>
          <w:sz w:val="24"/>
          <w:szCs w:val="24"/>
        </w:rPr>
        <w:t>desferrioxamine</w:t>
      </w:r>
      <w:proofErr w:type="spellEnd"/>
      <w:r w:rsidRPr="004617C5">
        <w:rPr>
          <w:rFonts w:ascii="Times New Roman" w:eastAsia="Times New Roman" w:hAnsi="Times New Roman" w:cs="Times New Roman"/>
          <w:sz w:val="24"/>
          <w:szCs w:val="24"/>
        </w:rPr>
        <w:t xml:space="preserve"> B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and a model hydroxamate ligand, acetohydroxamic acid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were studied using infrared, resonance Raman and UV-vis </w:t>
      </w:r>
      <w:hyperlink r:id="rId7" w:tooltip="Learn more about spectroscopy from ScienceDirect's AI-generated Topic Pages" w:history="1">
        <w:r w:rsidRPr="004617C5">
          <w:rPr>
            <w:rFonts w:ascii="Times New Roman" w:eastAsia="Times New Roman" w:hAnsi="Times New Roman" w:cs="Times New Roman"/>
            <w:color w:val="0000FF"/>
            <w:sz w:val="24"/>
            <w:szCs w:val="24"/>
            <w:u w:val="single"/>
          </w:rPr>
          <w:t>spectroscopy</w:t>
        </w:r>
      </w:hyperlink>
      <w:r w:rsidRPr="004617C5">
        <w:rPr>
          <w:rFonts w:ascii="Times New Roman" w:eastAsia="Times New Roman" w:hAnsi="Times New Roman" w:cs="Times New Roman"/>
          <w:sz w:val="24"/>
          <w:szCs w:val="24"/>
        </w:rPr>
        <w:t xml:space="preserve">. The experimental spectra were interpreted by a comparison with DFT calculated spectra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(partly hydrated)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(reactive groups of </w:t>
      </w:r>
      <w:proofErr w:type="spellStart"/>
      <w:r w:rsidRPr="004617C5">
        <w:rPr>
          <w:rFonts w:ascii="Times New Roman" w:eastAsia="Times New Roman" w:hAnsi="Times New Roman" w:cs="Times New Roman"/>
          <w:sz w:val="24"/>
          <w:szCs w:val="24"/>
        </w:rPr>
        <w:t>unhydrated</w:t>
      </w:r>
      <w:proofErr w:type="spellEnd"/>
      <w:r w:rsidRPr="004617C5">
        <w:rPr>
          <w:rFonts w:ascii="Times New Roman" w:eastAsia="Times New Roman" w:hAnsi="Times New Roman" w:cs="Times New Roman"/>
          <w:sz w:val="24"/>
          <w:szCs w:val="24"/>
        </w:rPr>
        <w:t xml:space="preserve"> molecule) at the B3LYP/6-31G* level of theory. The ab initio models include three water molecules surrounding the deprotonation site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to account for partial hydration. Experiments and calculations were also conducted in D</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 xml:space="preserve">O to verify spectral assignments. These studies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suggest that the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-keto-</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is the dominant form, and its deprotonation occurs at the oxime oxygen atom in aqueous solutions. The stable form of iron-complexed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is identified as Fe(</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for a wide range of pH conditions. The spectral information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an ab initio model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were used to interpret the chemical state of different functional groups in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t>
      </w:r>
      <w:hyperlink r:id="rId8" w:tooltip="Learn more about Vibrational spectra from ScienceDirect's AI-generated Topic Pages" w:history="1">
        <w:r w:rsidRPr="004617C5">
          <w:rPr>
            <w:rFonts w:ascii="Times New Roman" w:eastAsia="Times New Roman" w:hAnsi="Times New Roman" w:cs="Times New Roman"/>
            <w:color w:val="0000FF"/>
            <w:sz w:val="24"/>
            <w:szCs w:val="24"/>
            <w:u w:val="single"/>
          </w:rPr>
          <w:t>Vibrational spectra</w:t>
        </w:r>
      </w:hyperlink>
      <w:r w:rsidRPr="004617C5">
        <w:rPr>
          <w:rFonts w:ascii="Times New Roman" w:eastAsia="Times New Roman" w:hAnsi="Times New Roman" w:cs="Times New Roman"/>
          <w:sz w:val="24"/>
          <w:szCs w:val="24"/>
        </w:rPr>
        <w:t xml:space="preserve">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indicate that the oxime and amide carbonyl groups can be identified unambiguously. Vibrational spectral analysis of the oxime carbonyl after deprotonation and iron complexation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indicates that the conformational changes between anion and the iron-complexed anion are small. Enhanced electron delocalization in the oxime group of Fe-</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when compared to that of Fe(</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may be responsible for higher stability constant of the former.</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Introduction</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The chemistry of biomacromolecules influences the dissolution of minerals, solubility and redox cycling of metals, and the acquisition of metals by organisms (</w:t>
      </w:r>
      <w:proofErr w:type="spellStart"/>
      <w:r w:rsidRPr="004617C5">
        <w:rPr>
          <w:rFonts w:ascii="Times New Roman" w:eastAsia="Times New Roman" w:hAnsi="Times New Roman" w:cs="Times New Roman"/>
          <w:sz w:val="24"/>
          <w:szCs w:val="24"/>
        </w:rPr>
        <w:t>Neilands</w:t>
      </w:r>
      <w:proofErr w:type="spellEnd"/>
      <w:r w:rsidRPr="004617C5">
        <w:rPr>
          <w:rFonts w:ascii="Times New Roman" w:eastAsia="Times New Roman" w:hAnsi="Times New Roman" w:cs="Times New Roman"/>
          <w:sz w:val="24"/>
          <w:szCs w:val="24"/>
        </w:rPr>
        <w:t xml:space="preserve"> 1981, </w:t>
      </w:r>
      <w:proofErr w:type="spellStart"/>
      <w:r w:rsidRPr="004617C5">
        <w:rPr>
          <w:rFonts w:ascii="Times New Roman" w:eastAsia="Times New Roman" w:hAnsi="Times New Roman" w:cs="Times New Roman"/>
          <w:sz w:val="24"/>
          <w:szCs w:val="24"/>
        </w:rPr>
        <w:t>Hersman</w:t>
      </w:r>
      <w:proofErr w:type="spellEnd"/>
      <w:r w:rsidRPr="004617C5">
        <w:rPr>
          <w:rFonts w:ascii="Times New Roman" w:eastAsia="Times New Roman" w:hAnsi="Times New Roman" w:cs="Times New Roman"/>
          <w:sz w:val="24"/>
          <w:szCs w:val="24"/>
        </w:rPr>
        <w:t xml:space="preserve"> et al 1995, Holmen et al 1997, Barbeau et al 2001). Of the different macromolecules, siderophores are important because of their common occurrence in terrestrial and marine systems, and their high metal complexation characteristics. Bacteria secrete siderophores to obtain iron for metabolic purposes in iron-limiting situations (</w:t>
      </w:r>
      <w:proofErr w:type="spellStart"/>
      <w:r w:rsidRPr="004617C5">
        <w:rPr>
          <w:rFonts w:ascii="Times New Roman" w:eastAsia="Times New Roman" w:hAnsi="Times New Roman" w:cs="Times New Roman"/>
          <w:sz w:val="24"/>
          <w:szCs w:val="24"/>
        </w:rPr>
        <w:t>Neilands</w:t>
      </w:r>
      <w:proofErr w:type="spellEnd"/>
      <w:r w:rsidRPr="004617C5">
        <w:rPr>
          <w:rFonts w:ascii="Times New Roman" w:eastAsia="Times New Roman" w:hAnsi="Times New Roman" w:cs="Times New Roman"/>
          <w:sz w:val="24"/>
          <w:szCs w:val="24"/>
        </w:rPr>
        <w:t xml:space="preserve"> 1981, Bossier et al 1988, </w:t>
      </w:r>
      <w:proofErr w:type="spellStart"/>
      <w:r w:rsidRPr="004617C5">
        <w:rPr>
          <w:rFonts w:ascii="Times New Roman" w:eastAsia="Times New Roman" w:hAnsi="Times New Roman" w:cs="Times New Roman"/>
          <w:sz w:val="24"/>
          <w:szCs w:val="24"/>
        </w:rPr>
        <w:t>Matzanke</w:t>
      </w:r>
      <w:proofErr w:type="spellEnd"/>
      <w:r w:rsidRPr="004617C5">
        <w:rPr>
          <w:rFonts w:ascii="Times New Roman" w:eastAsia="Times New Roman" w:hAnsi="Times New Roman" w:cs="Times New Roman"/>
          <w:sz w:val="24"/>
          <w:szCs w:val="24"/>
        </w:rPr>
        <w:t xml:space="preserve"> et al 1989). Because of their strong binding ability, siderophores can also affect the ligand-promoted dissolution of </w:t>
      </w:r>
      <w:proofErr w:type="gramStart"/>
      <w:r w:rsidRPr="004617C5">
        <w:rPr>
          <w:rFonts w:ascii="Times New Roman" w:eastAsia="Times New Roman" w:hAnsi="Times New Roman" w:cs="Times New Roman"/>
          <w:sz w:val="24"/>
          <w:szCs w:val="24"/>
        </w:rPr>
        <w:t>iron(</w:t>
      </w:r>
      <w:proofErr w:type="gramEnd"/>
      <w:r w:rsidRPr="004617C5">
        <w:rPr>
          <w:rFonts w:ascii="Times New Roman" w:eastAsia="Times New Roman" w:hAnsi="Times New Roman" w:cs="Times New Roman"/>
          <w:sz w:val="24"/>
          <w:szCs w:val="24"/>
        </w:rPr>
        <w:t xml:space="preserve">III) </w:t>
      </w:r>
      <w:proofErr w:type="spellStart"/>
      <w:r w:rsidRPr="004617C5">
        <w:rPr>
          <w:rFonts w:ascii="Times New Roman" w:eastAsia="Times New Roman" w:hAnsi="Times New Roman" w:cs="Times New Roman"/>
          <w:sz w:val="24"/>
          <w:szCs w:val="24"/>
        </w:rPr>
        <w:t>hydr</w:t>
      </w:r>
      <w:proofErr w:type="spellEnd"/>
      <w:r w:rsidRPr="004617C5">
        <w:rPr>
          <w:rFonts w:ascii="Times New Roman" w:eastAsia="Times New Roman" w:hAnsi="Times New Roman" w:cs="Times New Roman"/>
          <w:sz w:val="24"/>
          <w:szCs w:val="24"/>
        </w:rPr>
        <w:t>(oxides) and alter the geochemical cycling of iron in the environment (</w:t>
      </w:r>
      <w:proofErr w:type="spellStart"/>
      <w:r w:rsidRPr="004617C5">
        <w:rPr>
          <w:rFonts w:ascii="Times New Roman" w:eastAsia="Times New Roman" w:hAnsi="Times New Roman" w:cs="Times New Roman"/>
          <w:sz w:val="24"/>
          <w:szCs w:val="24"/>
        </w:rPr>
        <w:t>Stumm</w:t>
      </w:r>
      <w:proofErr w:type="spellEnd"/>
      <w:r w:rsidRPr="004617C5">
        <w:rPr>
          <w:rFonts w:ascii="Times New Roman" w:eastAsia="Times New Roman" w:hAnsi="Times New Roman" w:cs="Times New Roman"/>
          <w:sz w:val="24"/>
          <w:szCs w:val="24"/>
        </w:rPr>
        <w:t xml:space="preserve"> and Sulzberger 1992, </w:t>
      </w:r>
      <w:proofErr w:type="spellStart"/>
      <w:r w:rsidRPr="004617C5">
        <w:rPr>
          <w:rFonts w:ascii="Times New Roman" w:eastAsia="Times New Roman" w:hAnsi="Times New Roman" w:cs="Times New Roman"/>
          <w:sz w:val="24"/>
          <w:szCs w:val="24"/>
        </w:rPr>
        <w:t>Hersman</w:t>
      </w:r>
      <w:proofErr w:type="spellEnd"/>
      <w:r w:rsidRPr="004617C5">
        <w:rPr>
          <w:rFonts w:ascii="Times New Roman" w:eastAsia="Times New Roman" w:hAnsi="Times New Roman" w:cs="Times New Roman"/>
          <w:sz w:val="24"/>
          <w:szCs w:val="24"/>
        </w:rPr>
        <w:t xml:space="preserve"> et al 1995, Holmen et al 1997, Kraemer et al 1999, Kalinowski et al 2000). The high stability constants of siderophore-metal complexes also make them amenable for applications in the extraction, concentration and remediation of metal contaminated soils and sediments at waste repositories (Brainard et al., 1992), and in the treatment of siderosis (Bergeron and </w:t>
      </w:r>
      <w:proofErr w:type="spellStart"/>
      <w:r w:rsidRPr="004617C5">
        <w:rPr>
          <w:rFonts w:ascii="Times New Roman" w:eastAsia="Times New Roman" w:hAnsi="Times New Roman" w:cs="Times New Roman"/>
          <w:sz w:val="24"/>
          <w:szCs w:val="24"/>
        </w:rPr>
        <w:t>Brittenham</w:t>
      </w:r>
      <w:proofErr w:type="spellEnd"/>
      <w:r w:rsidRPr="004617C5">
        <w:rPr>
          <w:rFonts w:ascii="Times New Roman" w:eastAsia="Times New Roman" w:hAnsi="Times New Roman" w:cs="Times New Roman"/>
          <w:sz w:val="24"/>
          <w:szCs w:val="24"/>
        </w:rPr>
        <w:t>, 1994). Information on the coordination environment and the chemical state of Fe-</w:t>
      </w:r>
      <w:r w:rsidRPr="004617C5">
        <w:rPr>
          <w:rFonts w:ascii="Times New Roman" w:eastAsia="Times New Roman" w:hAnsi="Times New Roman" w:cs="Times New Roman"/>
          <w:sz w:val="24"/>
          <w:szCs w:val="24"/>
        </w:rPr>
        <w:lastRenderedPageBreak/>
        <w:t>siderophore complex is central to the evaluation of the role of siderophores in the aforesaid processes. A detailed understanding of the molecular behavior of siderophores in aqueous solutions and at mineral-water interfaces is necessary to assess their role in different biogeochemical processes in the environment. Here we present an experimental and theoretical investigation of the functional group chemistry of a hydroxamate siderophore (</w:t>
      </w:r>
      <w:proofErr w:type="spellStart"/>
      <w:r w:rsidRPr="004617C5">
        <w:rPr>
          <w:rFonts w:ascii="Times New Roman" w:eastAsia="Times New Roman" w:hAnsi="Times New Roman" w:cs="Times New Roman"/>
          <w:sz w:val="24"/>
          <w:szCs w:val="24"/>
        </w:rPr>
        <w:t>desferrioxamine</w:t>
      </w:r>
      <w:proofErr w:type="spellEnd"/>
      <w:r w:rsidRPr="004617C5">
        <w:rPr>
          <w:rFonts w:ascii="Times New Roman" w:eastAsia="Times New Roman" w:hAnsi="Times New Roman" w:cs="Times New Roman"/>
          <w:sz w:val="24"/>
          <w:szCs w:val="24"/>
        </w:rPr>
        <w:t xml:space="preserve"> B,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and its iron complexation behavior in aqueous solutions.</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Characterization of siderophores in conditions representative of natural systems has been difficult due to their low concentration and interference from other organic species. Recently, researchers began isolating siderophores from natural samples and characterizing their crystalline Fe complexes using X-ray crystallography (</w:t>
      </w:r>
      <w:proofErr w:type="spellStart"/>
      <w:r w:rsidRPr="004617C5">
        <w:rPr>
          <w:rFonts w:ascii="Times New Roman" w:eastAsia="Times New Roman" w:hAnsi="Times New Roman" w:cs="Times New Roman"/>
          <w:sz w:val="24"/>
          <w:szCs w:val="24"/>
        </w:rPr>
        <w:t>vanderHelm</w:t>
      </w:r>
      <w:proofErr w:type="spellEnd"/>
      <w:r w:rsidRPr="004617C5">
        <w:rPr>
          <w:rFonts w:ascii="Times New Roman" w:eastAsia="Times New Roman" w:hAnsi="Times New Roman" w:cs="Times New Roman"/>
          <w:sz w:val="24"/>
          <w:szCs w:val="24"/>
        </w:rPr>
        <w:t xml:space="preserve"> and Poling 1976, Hossain et al 1983, Hossain et al 1998, </w:t>
      </w:r>
      <w:proofErr w:type="spellStart"/>
      <w:r w:rsidRPr="004617C5">
        <w:rPr>
          <w:rFonts w:ascii="Times New Roman" w:eastAsia="Times New Roman" w:hAnsi="Times New Roman" w:cs="Times New Roman"/>
          <w:sz w:val="24"/>
          <w:szCs w:val="24"/>
        </w:rPr>
        <w:t>Dhungana</w:t>
      </w:r>
      <w:proofErr w:type="spellEnd"/>
      <w:r w:rsidRPr="004617C5">
        <w:rPr>
          <w:rFonts w:ascii="Times New Roman" w:eastAsia="Times New Roman" w:hAnsi="Times New Roman" w:cs="Times New Roman"/>
          <w:sz w:val="24"/>
          <w:szCs w:val="24"/>
        </w:rPr>
        <w:t xml:space="preserve"> et al 2001). In addition, researchers are using smaller molecules, which contain the same functional groups as siderophores, to understand the behavior of siderophores (Santos et al 1993, Farkas et al 1999). Several studies have also indicated that infrared spectroscopy is an ideal tool to examine the functional group chemistry of organic molecules and their metal complexes (Holmen et al 1997, </w:t>
      </w:r>
      <w:proofErr w:type="spellStart"/>
      <w:r w:rsidRPr="004617C5">
        <w:rPr>
          <w:rFonts w:ascii="Times New Roman" w:eastAsia="Times New Roman" w:hAnsi="Times New Roman" w:cs="Times New Roman"/>
          <w:sz w:val="24"/>
          <w:szCs w:val="24"/>
        </w:rPr>
        <w:t>Boily</w:t>
      </w:r>
      <w:proofErr w:type="spellEnd"/>
      <w:r w:rsidRPr="004617C5">
        <w:rPr>
          <w:rFonts w:ascii="Times New Roman" w:eastAsia="Times New Roman" w:hAnsi="Times New Roman" w:cs="Times New Roman"/>
          <w:sz w:val="24"/>
          <w:szCs w:val="24"/>
        </w:rPr>
        <w:t xml:space="preserve"> et al 2000, Loring et al 2000, Duckworth and Martin 2001, </w:t>
      </w:r>
      <w:proofErr w:type="spellStart"/>
      <w:r w:rsidRPr="004617C5">
        <w:rPr>
          <w:rFonts w:ascii="Times New Roman" w:eastAsia="Times New Roman" w:hAnsi="Times New Roman" w:cs="Times New Roman"/>
          <w:sz w:val="24"/>
          <w:szCs w:val="24"/>
        </w:rPr>
        <w:t>Strathmann</w:t>
      </w:r>
      <w:proofErr w:type="spellEnd"/>
      <w:r w:rsidRPr="004617C5">
        <w:rPr>
          <w:rFonts w:ascii="Times New Roman" w:eastAsia="Times New Roman" w:hAnsi="Times New Roman" w:cs="Times New Roman"/>
          <w:sz w:val="24"/>
          <w:szCs w:val="24"/>
        </w:rPr>
        <w:t xml:space="preserve"> and Myneni 2004). However, the structure of the metal complex is difficult to assess when the complexed ligand has multiple functional groups with overlapping infrared absorption transitions. To overcome this situation, we used resonance Raman spectroscopy, a technique sensitive to the coordination environment around the metal in a metal-siderophore complex.</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Among the different siderophores in the environment,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is particularly interesting because of its ubiquity (Fig. 1). The concentration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varies in natural environments, with concentrations as high as micromolar levels in the soil rhizosphere, and nanomolar concentrations in seawater (Powell et al 1980, Bergeron and Pegram 1988). In aqueous solution,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has four proton dissociation constants (</w:t>
      </w:r>
      <w:proofErr w:type="spellStart"/>
      <w:r w:rsidRPr="004617C5">
        <w:rPr>
          <w:rFonts w:ascii="Times New Roman" w:eastAsia="Times New Roman" w:hAnsi="Times New Roman" w:cs="Times New Roman"/>
          <w:sz w:val="24"/>
          <w:szCs w:val="24"/>
        </w:rPr>
        <w:t>pK</w:t>
      </w:r>
      <w:r w:rsidRPr="004617C5">
        <w:rPr>
          <w:rFonts w:ascii="Times New Roman" w:eastAsia="Times New Roman" w:hAnsi="Times New Roman" w:cs="Times New Roman"/>
          <w:sz w:val="24"/>
          <w:szCs w:val="24"/>
          <w:vertAlign w:val="subscript"/>
        </w:rPr>
        <w:t>a</w:t>
      </w:r>
      <w:proofErr w:type="spellEnd"/>
      <w:r w:rsidRPr="004617C5">
        <w:rPr>
          <w:rFonts w:ascii="Times New Roman" w:eastAsia="Times New Roman" w:hAnsi="Times New Roman" w:cs="Times New Roman"/>
          <w:sz w:val="24"/>
          <w:szCs w:val="24"/>
        </w:rPr>
        <w:t xml:space="preserve">) at 8.3, 9.0, 9.46, and 10.84 (measured in </w:t>
      </w:r>
      <w:proofErr w:type="spellStart"/>
      <w:r w:rsidRPr="004617C5">
        <w:rPr>
          <w:rFonts w:ascii="Times New Roman" w:eastAsia="Times New Roman" w:hAnsi="Times New Roman" w:cs="Times New Roman"/>
          <w:sz w:val="24"/>
          <w:szCs w:val="24"/>
        </w:rPr>
        <w:t>KCl</w:t>
      </w:r>
      <w:proofErr w:type="spellEnd"/>
      <w:r w:rsidRPr="004617C5">
        <w:rPr>
          <w:rFonts w:ascii="Times New Roman" w:eastAsia="Times New Roman" w:hAnsi="Times New Roman" w:cs="Times New Roman"/>
          <w:sz w:val="24"/>
          <w:szCs w:val="24"/>
        </w:rPr>
        <w:t xml:space="preserve"> solutions of ionic strength, 0.1 mol/dm</w:t>
      </w:r>
      <w:r w:rsidRPr="004617C5">
        <w:rPr>
          <w:rFonts w:ascii="Times New Roman" w:eastAsia="Times New Roman" w:hAnsi="Times New Roman" w:cs="Times New Roman"/>
          <w:sz w:val="24"/>
          <w:szCs w:val="24"/>
          <w:vertAlign w:val="superscript"/>
        </w:rPr>
        <w:t>3</w:t>
      </w:r>
      <w:r w:rsidRPr="004617C5">
        <w:rPr>
          <w:rFonts w:ascii="Times New Roman" w:eastAsia="Times New Roman" w:hAnsi="Times New Roman" w:cs="Times New Roman"/>
          <w:sz w:val="24"/>
          <w:szCs w:val="24"/>
        </w:rPr>
        <w:t>), which correspond to successive deprotonation of the 3-hydroxamate groups (NOH), and the amine group (NH</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vertAlign w:val="superscript"/>
        </w:rPr>
        <w:t>+</w:t>
      </w:r>
      <w:r w:rsidRPr="004617C5">
        <w:rPr>
          <w:rFonts w:ascii="Times New Roman" w:eastAsia="Times New Roman" w:hAnsi="Times New Roman" w:cs="Times New Roman"/>
          <w:sz w:val="24"/>
          <w:szCs w:val="24"/>
        </w:rPr>
        <w:t xml:space="preserve">) (Farkas et al., 1999), respectively. The interactions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with </w:t>
      </w:r>
      <w:proofErr w:type="gramStart"/>
      <w:r w:rsidRPr="004617C5">
        <w:rPr>
          <w:rFonts w:ascii="Times New Roman" w:eastAsia="Times New Roman" w:hAnsi="Times New Roman" w:cs="Times New Roman"/>
          <w:sz w:val="24"/>
          <w:szCs w:val="24"/>
        </w:rPr>
        <w:t>Fe(</w:t>
      </w:r>
      <w:proofErr w:type="gramEnd"/>
      <w:r w:rsidRPr="004617C5">
        <w:rPr>
          <w:rFonts w:ascii="Times New Roman" w:eastAsia="Times New Roman" w:hAnsi="Times New Roman" w:cs="Times New Roman"/>
          <w:sz w:val="24"/>
          <w:szCs w:val="24"/>
        </w:rPr>
        <w:t>III) in solution and at particle interfaces are poorly understood in the environmental pH range of 3 to 9.</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A small hydroxamate siderophore analog, acetohydroxamic acid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is also used to elucidate the molecular structure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in aqueous solutions. Acetohydroxamic acid is an oxime that exists in either an enol or keto form and has a </w:t>
      </w:r>
      <w:proofErr w:type="spellStart"/>
      <w:r w:rsidRPr="004617C5">
        <w:rPr>
          <w:rFonts w:ascii="Times New Roman" w:eastAsia="Times New Roman" w:hAnsi="Times New Roman" w:cs="Times New Roman"/>
          <w:sz w:val="24"/>
          <w:szCs w:val="24"/>
        </w:rPr>
        <w:t>pK</w:t>
      </w:r>
      <w:r w:rsidRPr="004617C5">
        <w:rPr>
          <w:rFonts w:ascii="Times New Roman" w:eastAsia="Times New Roman" w:hAnsi="Times New Roman" w:cs="Times New Roman"/>
          <w:sz w:val="24"/>
          <w:szCs w:val="24"/>
          <w:vertAlign w:val="subscript"/>
        </w:rPr>
        <w:t>a</w:t>
      </w:r>
      <w:proofErr w:type="spellEnd"/>
      <w:r w:rsidRPr="004617C5">
        <w:rPr>
          <w:rFonts w:ascii="Times New Roman" w:eastAsia="Times New Roman" w:hAnsi="Times New Roman" w:cs="Times New Roman"/>
          <w:sz w:val="24"/>
          <w:szCs w:val="24"/>
        </w:rPr>
        <w:t xml:space="preserve"> of 9.37 (</w:t>
      </w:r>
      <w:proofErr w:type="spellStart"/>
      <w:r w:rsidRPr="004617C5">
        <w:rPr>
          <w:rFonts w:ascii="Times New Roman" w:eastAsia="Times New Roman" w:hAnsi="Times New Roman" w:cs="Times New Roman"/>
          <w:sz w:val="24"/>
          <w:szCs w:val="24"/>
        </w:rPr>
        <w:t>Schwarzenbach</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Schwarzenbach</w:t>
      </w:r>
      <w:proofErr w:type="spellEnd"/>
      <w:r w:rsidRPr="004617C5">
        <w:rPr>
          <w:rFonts w:ascii="Times New Roman" w:eastAsia="Times New Roman" w:hAnsi="Times New Roman" w:cs="Times New Roman"/>
          <w:sz w:val="24"/>
          <w:szCs w:val="24"/>
        </w:rPr>
        <w:t xml:space="preserve">, 1963; Fig. 1). Theoretical studies indicate that the keto-form is dominant in aqueous solution with the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 xml:space="preserve"> conformation being more stable than the </w:t>
      </w:r>
      <w:r w:rsidRPr="004617C5">
        <w:rPr>
          <w:rFonts w:ascii="Times New Roman" w:eastAsia="Times New Roman" w:hAnsi="Times New Roman" w:cs="Times New Roman"/>
          <w:i/>
          <w:iCs/>
          <w:sz w:val="24"/>
          <w:szCs w:val="24"/>
        </w:rPr>
        <w:t>trans</w:t>
      </w:r>
      <w:r w:rsidRPr="004617C5">
        <w:rPr>
          <w:rFonts w:ascii="Times New Roman" w:eastAsia="Times New Roman" w:hAnsi="Times New Roman" w:cs="Times New Roman"/>
          <w:sz w:val="24"/>
          <w:szCs w:val="24"/>
        </w:rPr>
        <w:t xml:space="preserve"> conformation (</w:t>
      </w:r>
      <w:proofErr w:type="spellStart"/>
      <w:r w:rsidRPr="004617C5">
        <w:rPr>
          <w:rFonts w:ascii="Times New Roman" w:eastAsia="Times New Roman" w:hAnsi="Times New Roman" w:cs="Times New Roman"/>
          <w:sz w:val="24"/>
          <w:szCs w:val="24"/>
        </w:rPr>
        <w:t>Hadzi</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Prevorsek</w:t>
      </w:r>
      <w:proofErr w:type="spellEnd"/>
      <w:r w:rsidRPr="004617C5">
        <w:rPr>
          <w:rFonts w:ascii="Times New Roman" w:eastAsia="Times New Roman" w:hAnsi="Times New Roman" w:cs="Times New Roman"/>
          <w:sz w:val="24"/>
          <w:szCs w:val="24"/>
        </w:rPr>
        <w:t xml:space="preserve"> 1957, </w:t>
      </w:r>
      <w:proofErr w:type="spellStart"/>
      <w:r w:rsidRPr="004617C5">
        <w:rPr>
          <w:rFonts w:ascii="Times New Roman" w:eastAsia="Times New Roman" w:hAnsi="Times New Roman" w:cs="Times New Roman"/>
          <w:sz w:val="24"/>
          <w:szCs w:val="24"/>
        </w:rPr>
        <w:t>Bagno</w:t>
      </w:r>
      <w:proofErr w:type="spellEnd"/>
      <w:r w:rsidRPr="004617C5">
        <w:rPr>
          <w:rFonts w:ascii="Times New Roman" w:eastAsia="Times New Roman" w:hAnsi="Times New Roman" w:cs="Times New Roman"/>
          <w:sz w:val="24"/>
          <w:szCs w:val="24"/>
        </w:rPr>
        <w:t xml:space="preserve"> et al 1994). However, the deprotonation site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in aqueous solutions is debated because of its two acidic protons (N-H, NO-H), and discrepancies that exist between the NMR predicted and theoretically derived structures (Fitzpatrick and </w:t>
      </w:r>
      <w:proofErr w:type="spellStart"/>
      <w:r w:rsidRPr="004617C5">
        <w:rPr>
          <w:rFonts w:ascii="Times New Roman" w:eastAsia="Times New Roman" w:hAnsi="Times New Roman" w:cs="Times New Roman"/>
          <w:sz w:val="24"/>
          <w:szCs w:val="24"/>
        </w:rPr>
        <w:t>Mageswaran</w:t>
      </w:r>
      <w:proofErr w:type="spellEnd"/>
      <w:r w:rsidRPr="004617C5">
        <w:rPr>
          <w:rFonts w:ascii="Times New Roman" w:eastAsia="Times New Roman" w:hAnsi="Times New Roman" w:cs="Times New Roman"/>
          <w:sz w:val="24"/>
          <w:szCs w:val="24"/>
        </w:rPr>
        <w:t xml:space="preserve"> 1989, Ventura et al 1993, </w:t>
      </w:r>
      <w:proofErr w:type="spellStart"/>
      <w:r w:rsidRPr="004617C5">
        <w:rPr>
          <w:rFonts w:ascii="Times New Roman" w:eastAsia="Times New Roman" w:hAnsi="Times New Roman" w:cs="Times New Roman"/>
          <w:sz w:val="24"/>
          <w:szCs w:val="24"/>
        </w:rPr>
        <w:t>Bagno</w:t>
      </w:r>
      <w:proofErr w:type="spellEnd"/>
      <w:r w:rsidRPr="004617C5">
        <w:rPr>
          <w:rFonts w:ascii="Times New Roman" w:eastAsia="Times New Roman" w:hAnsi="Times New Roman" w:cs="Times New Roman"/>
          <w:sz w:val="24"/>
          <w:szCs w:val="24"/>
        </w:rPr>
        <w:t xml:space="preserve"> et al 1994, </w:t>
      </w:r>
      <w:proofErr w:type="spellStart"/>
      <w:r w:rsidRPr="004617C5">
        <w:rPr>
          <w:rFonts w:ascii="Times New Roman" w:eastAsia="Times New Roman" w:hAnsi="Times New Roman" w:cs="Times New Roman"/>
          <w:sz w:val="24"/>
          <w:szCs w:val="24"/>
        </w:rPr>
        <w:t>Yazal</w:t>
      </w:r>
      <w:proofErr w:type="spellEnd"/>
      <w:r w:rsidRPr="004617C5">
        <w:rPr>
          <w:rFonts w:ascii="Times New Roman" w:eastAsia="Times New Roman" w:hAnsi="Times New Roman" w:cs="Times New Roman"/>
          <w:sz w:val="24"/>
          <w:szCs w:val="24"/>
        </w:rPr>
        <w:t xml:space="preserve"> and Pang 1999). An NMR study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in aqueous solution revealed that NO-H is the primary site of deprotonation (</w:t>
      </w:r>
      <w:proofErr w:type="spellStart"/>
      <w:r w:rsidRPr="004617C5">
        <w:rPr>
          <w:rFonts w:ascii="Times New Roman" w:eastAsia="Times New Roman" w:hAnsi="Times New Roman" w:cs="Times New Roman"/>
          <w:sz w:val="24"/>
          <w:szCs w:val="24"/>
        </w:rPr>
        <w:t>Bagno</w:t>
      </w:r>
      <w:proofErr w:type="spellEnd"/>
      <w:r w:rsidRPr="004617C5">
        <w:rPr>
          <w:rFonts w:ascii="Times New Roman" w:eastAsia="Times New Roman" w:hAnsi="Times New Roman" w:cs="Times New Roman"/>
          <w:sz w:val="24"/>
          <w:szCs w:val="24"/>
        </w:rPr>
        <w:t xml:space="preserve"> et al., 1994), while calculations on anhydrous gas-phase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predicted N-deprotonation (Ventura et al 1993, </w:t>
      </w:r>
      <w:proofErr w:type="spellStart"/>
      <w:r w:rsidRPr="004617C5">
        <w:rPr>
          <w:rFonts w:ascii="Times New Roman" w:eastAsia="Times New Roman" w:hAnsi="Times New Roman" w:cs="Times New Roman"/>
          <w:sz w:val="24"/>
          <w:szCs w:val="24"/>
        </w:rPr>
        <w:t>Bagno</w:t>
      </w:r>
      <w:proofErr w:type="spellEnd"/>
      <w:r w:rsidRPr="004617C5">
        <w:rPr>
          <w:rFonts w:ascii="Times New Roman" w:eastAsia="Times New Roman" w:hAnsi="Times New Roman" w:cs="Times New Roman"/>
          <w:sz w:val="24"/>
          <w:szCs w:val="24"/>
        </w:rPr>
        <w:t xml:space="preserve"> et al 1994, </w:t>
      </w:r>
      <w:proofErr w:type="spellStart"/>
      <w:r w:rsidRPr="004617C5">
        <w:rPr>
          <w:rFonts w:ascii="Times New Roman" w:eastAsia="Times New Roman" w:hAnsi="Times New Roman" w:cs="Times New Roman"/>
          <w:sz w:val="24"/>
          <w:szCs w:val="24"/>
        </w:rPr>
        <w:t>Yazal</w:t>
      </w:r>
      <w:proofErr w:type="spellEnd"/>
      <w:r w:rsidRPr="004617C5">
        <w:rPr>
          <w:rFonts w:ascii="Times New Roman" w:eastAsia="Times New Roman" w:hAnsi="Times New Roman" w:cs="Times New Roman"/>
          <w:sz w:val="24"/>
          <w:szCs w:val="24"/>
        </w:rPr>
        <w:t xml:space="preserve"> and Pang 1999). However, calculations also indicated that the addition of solvated water molecules stabilized O-deprotonated species more than the N-deprotonated species (Ventura et al., 1993). Complexation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with </w:t>
      </w:r>
      <w:proofErr w:type="gramStart"/>
      <w:r w:rsidRPr="004617C5">
        <w:rPr>
          <w:rFonts w:ascii="Times New Roman" w:eastAsia="Times New Roman" w:hAnsi="Times New Roman" w:cs="Times New Roman"/>
          <w:sz w:val="24"/>
          <w:szCs w:val="24"/>
        </w:rPr>
        <w:t>Fe(</w:t>
      </w:r>
      <w:proofErr w:type="gramEnd"/>
      <w:r w:rsidRPr="004617C5">
        <w:rPr>
          <w:rFonts w:ascii="Times New Roman" w:eastAsia="Times New Roman" w:hAnsi="Times New Roman" w:cs="Times New Roman"/>
          <w:sz w:val="24"/>
          <w:szCs w:val="24"/>
        </w:rPr>
        <w:t>III) shows that the Fe(</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is the dominant species in the pH range of 4–10 (Holmen et al 1997, Farkas et al 1998), with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forming three five-membered rings around Fe (</w:t>
      </w:r>
      <w:proofErr w:type="spellStart"/>
      <w:r w:rsidRPr="004617C5">
        <w:rPr>
          <w:rFonts w:ascii="Times New Roman" w:eastAsia="Times New Roman" w:hAnsi="Times New Roman" w:cs="Times New Roman"/>
          <w:sz w:val="24"/>
          <w:szCs w:val="24"/>
        </w:rPr>
        <w:t>Monzyk</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Crumbliss</w:t>
      </w:r>
      <w:proofErr w:type="spellEnd"/>
      <w:r w:rsidRPr="004617C5">
        <w:rPr>
          <w:rFonts w:ascii="Times New Roman" w:eastAsia="Times New Roman" w:hAnsi="Times New Roman" w:cs="Times New Roman"/>
          <w:sz w:val="24"/>
          <w:szCs w:val="24"/>
        </w:rPr>
        <w:t xml:space="preserve"> 1979, Brink and </w:t>
      </w:r>
      <w:proofErr w:type="spellStart"/>
      <w:r w:rsidRPr="004617C5">
        <w:rPr>
          <w:rFonts w:ascii="Times New Roman" w:eastAsia="Times New Roman" w:hAnsi="Times New Roman" w:cs="Times New Roman"/>
          <w:sz w:val="24"/>
          <w:szCs w:val="24"/>
        </w:rPr>
        <w:t>Crumbliss</w:t>
      </w:r>
      <w:proofErr w:type="spellEnd"/>
      <w:r w:rsidRPr="004617C5">
        <w:rPr>
          <w:rFonts w:ascii="Times New Roman" w:eastAsia="Times New Roman" w:hAnsi="Times New Roman" w:cs="Times New Roman"/>
          <w:sz w:val="24"/>
          <w:szCs w:val="24"/>
        </w:rPr>
        <w:t xml:space="preserve"> 1984, </w:t>
      </w:r>
      <w:proofErr w:type="spellStart"/>
      <w:r w:rsidRPr="004617C5">
        <w:rPr>
          <w:rFonts w:ascii="Times New Roman" w:eastAsia="Times New Roman" w:hAnsi="Times New Roman" w:cs="Times New Roman"/>
          <w:sz w:val="24"/>
          <w:szCs w:val="24"/>
        </w:rPr>
        <w:t>Crumbliss</w:t>
      </w:r>
      <w:proofErr w:type="spellEnd"/>
      <w:r w:rsidRPr="004617C5">
        <w:rPr>
          <w:rFonts w:ascii="Times New Roman" w:eastAsia="Times New Roman" w:hAnsi="Times New Roman" w:cs="Times New Roman"/>
          <w:sz w:val="24"/>
          <w:szCs w:val="24"/>
        </w:rPr>
        <w:t xml:space="preserve"> 1990).</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The goal of this research is to evaluate: 1) the stable structures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in aqueous solution, 2) the nature of Fe(III) complexation with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and 3) the influence of Fe(III) </w:t>
      </w:r>
      <w:r w:rsidRPr="004617C5">
        <w:rPr>
          <w:rFonts w:ascii="Times New Roman" w:eastAsia="Times New Roman" w:hAnsi="Times New Roman" w:cs="Times New Roman"/>
          <w:sz w:val="24"/>
          <w:szCs w:val="24"/>
        </w:rPr>
        <w:lastRenderedPageBreak/>
        <w:t xml:space="preserve">complexation on the amine and amide groups of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that are not involved in complex formation. By combining experimental (UV-vis, IR and resonance Raman) and ab initio (DFT) analysis, the functional group chemistry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and the structures of their </w:t>
      </w:r>
      <w:proofErr w:type="gramStart"/>
      <w:r w:rsidRPr="004617C5">
        <w:rPr>
          <w:rFonts w:ascii="Times New Roman" w:eastAsia="Times New Roman" w:hAnsi="Times New Roman" w:cs="Times New Roman"/>
          <w:sz w:val="24"/>
          <w:szCs w:val="24"/>
        </w:rPr>
        <w:t>Fe(</w:t>
      </w:r>
      <w:proofErr w:type="gramEnd"/>
      <w:r w:rsidRPr="004617C5">
        <w:rPr>
          <w:rFonts w:ascii="Times New Roman" w:eastAsia="Times New Roman" w:hAnsi="Times New Roman" w:cs="Times New Roman"/>
          <w:sz w:val="24"/>
          <w:szCs w:val="24"/>
        </w:rPr>
        <w:t>III) complexes are evaluated. This work represents part of a larger effort to characterize molecular interactions between metal ions and organic molecules in aqueous solutions and at mineral-water interfaces, and their role in various biogeochemical reactions.</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Section snippets</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Preparation of Solutions</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Aqueous solutions of acetohydroxamic acid (Aldrich), </w:t>
      </w:r>
      <w:proofErr w:type="spellStart"/>
      <w:r w:rsidRPr="004617C5">
        <w:rPr>
          <w:rFonts w:ascii="Times New Roman" w:eastAsia="Times New Roman" w:hAnsi="Times New Roman" w:cs="Times New Roman"/>
          <w:sz w:val="24"/>
          <w:szCs w:val="24"/>
        </w:rPr>
        <w:t>desferrioxamine</w:t>
      </w:r>
      <w:proofErr w:type="spellEnd"/>
      <w:r w:rsidRPr="004617C5">
        <w:rPr>
          <w:rFonts w:ascii="Times New Roman" w:eastAsia="Times New Roman" w:hAnsi="Times New Roman" w:cs="Times New Roman"/>
          <w:sz w:val="24"/>
          <w:szCs w:val="24"/>
        </w:rPr>
        <w:t xml:space="preserve"> mesylate (Sigma), FeCl</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 6H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 (Fisher Scientific), NaOH (Fisher Scientific), and HCl (Fisher Scientific) were prepared with high purity 18 MW cm</w:t>
      </w:r>
      <w:r w:rsidRPr="004617C5">
        <w:rPr>
          <w:rFonts w:ascii="Times New Roman" w:eastAsia="Times New Roman" w:hAnsi="Times New Roman" w:cs="Times New Roman"/>
          <w:sz w:val="24"/>
          <w:szCs w:val="24"/>
          <w:vertAlign w:val="superscript"/>
        </w:rPr>
        <w:t>−1</w:t>
      </w:r>
      <w:r w:rsidRPr="004617C5">
        <w:rPr>
          <w:rFonts w:ascii="Times New Roman" w:eastAsia="Times New Roman" w:hAnsi="Times New Roman" w:cs="Times New Roman"/>
          <w:sz w:val="24"/>
          <w:szCs w:val="24"/>
        </w:rPr>
        <w:t xml:space="preserve"> water (Milli-Q Plus, Millipore) or 99.99% D</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 (Cambridge Isotope Lab). Aqueous solutions were prepared on a gravimetric basis, and a density of 1.00 gcm</w:t>
      </w:r>
      <w:r w:rsidRPr="004617C5">
        <w:rPr>
          <w:rFonts w:ascii="Times New Roman" w:eastAsia="Times New Roman" w:hAnsi="Times New Roman" w:cs="Times New Roman"/>
          <w:sz w:val="24"/>
          <w:szCs w:val="24"/>
          <w:vertAlign w:val="superscript"/>
        </w:rPr>
        <w:t>−3</w:t>
      </w:r>
      <w:r w:rsidRPr="004617C5">
        <w:rPr>
          <w:rFonts w:ascii="Times New Roman" w:eastAsia="Times New Roman" w:hAnsi="Times New Roman" w:cs="Times New Roman"/>
          <w:sz w:val="24"/>
          <w:szCs w:val="24"/>
        </w:rPr>
        <w:t xml:space="preserve"> was assumed for the solution when converting to a molar scale. The concentrations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were kept constant at 47 (± 2)</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 xml:space="preserve">Theoretical Studies of </w:t>
      </w:r>
      <w:proofErr w:type="spellStart"/>
      <w:r w:rsidRPr="004617C5">
        <w:rPr>
          <w:rFonts w:ascii="Times New Roman" w:eastAsia="Times New Roman" w:hAnsi="Times New Roman" w:cs="Times New Roman"/>
          <w:b/>
          <w:bCs/>
          <w:sz w:val="36"/>
          <w:szCs w:val="36"/>
        </w:rPr>
        <w:t>aHa</w:t>
      </w:r>
      <w:proofErr w:type="spellEnd"/>
      <w:r w:rsidRPr="004617C5">
        <w:rPr>
          <w:rFonts w:ascii="Times New Roman" w:eastAsia="Times New Roman" w:hAnsi="Times New Roman" w:cs="Times New Roman"/>
          <w:b/>
          <w:bCs/>
          <w:sz w:val="36"/>
          <w:szCs w:val="36"/>
        </w:rPr>
        <w:t xml:space="preserve"> and </w:t>
      </w:r>
      <w:proofErr w:type="spellStart"/>
      <w:r w:rsidRPr="004617C5">
        <w:rPr>
          <w:rFonts w:ascii="Times New Roman" w:eastAsia="Times New Roman" w:hAnsi="Times New Roman" w:cs="Times New Roman"/>
          <w:b/>
          <w:bCs/>
          <w:sz w:val="36"/>
          <w:szCs w:val="36"/>
        </w:rPr>
        <w:t>desB</w:t>
      </w:r>
      <w:proofErr w:type="spellEnd"/>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The hydrated species considered in this investigation were: neutral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w:t>
      </w:r>
      <w:proofErr w:type="spellStart"/>
      <w:proofErr w:type="gram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proofErr w:type="gramEnd"/>
      <w:r w:rsidRPr="004617C5">
        <w:rPr>
          <w:rFonts w:ascii="Times New Roman" w:eastAsia="Times New Roman" w:hAnsi="Times New Roman" w:cs="Times New Roman"/>
          <w:sz w:val="24"/>
          <w:szCs w:val="24"/>
        </w:rPr>
        <w:t>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O-deprotonated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O-deprotonated </w:t>
      </w:r>
      <w:r w:rsidRPr="004617C5">
        <w:rPr>
          <w:rFonts w:ascii="Times New Roman" w:eastAsia="Times New Roman" w:hAnsi="Times New Roman" w:cs="Times New Roman"/>
          <w:i/>
          <w:iCs/>
          <w:sz w:val="24"/>
          <w:szCs w:val="24"/>
        </w:rPr>
        <w:t>trans</w:t>
      </w:r>
      <w:r w:rsidRPr="004617C5">
        <w:rPr>
          <w:rFonts w:ascii="Times New Roman" w:eastAsia="Times New Roman" w:hAnsi="Times New Roman" w:cs="Times New Roman"/>
          <w:sz w:val="24"/>
          <w:szCs w:val="24"/>
        </w:rPr>
        <w:t>-</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and N-deprotonated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(Fig. 2). The calculated energies of these hydrated species indicate that O-deprotonated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w:t>
      </w:r>
      <w:proofErr w:type="spellStart"/>
      <w:proofErr w:type="gram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proofErr w:type="gramEnd"/>
      <w:r w:rsidRPr="004617C5">
        <w:rPr>
          <w:rFonts w:ascii="Times New Roman" w:eastAsia="Times New Roman" w:hAnsi="Times New Roman" w:cs="Times New Roman"/>
          <w:sz w:val="24"/>
          <w:szCs w:val="24"/>
        </w:rPr>
        <w:t>H</w:t>
      </w:r>
      <w:r w:rsidRPr="004617C5">
        <w:rPr>
          <w:rFonts w:ascii="Times New Roman" w:eastAsia="Times New Roman" w:hAnsi="Times New Roman" w:cs="Times New Roman"/>
          <w:sz w:val="24"/>
          <w:szCs w:val="24"/>
          <w:vertAlign w:val="subscript"/>
        </w:rPr>
        <w:t>2</w:t>
      </w:r>
      <w:r w:rsidRPr="004617C5">
        <w:rPr>
          <w:rFonts w:ascii="Times New Roman" w:eastAsia="Times New Roman" w:hAnsi="Times New Roman" w:cs="Times New Roman"/>
          <w:sz w:val="24"/>
          <w:szCs w:val="24"/>
        </w:rPr>
        <w:t>O)</w:t>
      </w:r>
      <w:r w:rsidRPr="004617C5">
        <w:rPr>
          <w:rFonts w:ascii="Times New Roman" w:eastAsia="Times New Roman" w:hAnsi="Times New Roman" w:cs="Times New Roman"/>
          <w:sz w:val="24"/>
          <w:szCs w:val="24"/>
          <w:vertAlign w:val="subscript"/>
        </w:rPr>
        <w:t>3</w:t>
      </w:r>
      <w:r w:rsidRPr="004617C5">
        <w:rPr>
          <w:rFonts w:ascii="Times New Roman" w:eastAsia="Times New Roman" w:hAnsi="Times New Roman" w:cs="Times New Roman"/>
          <w:sz w:val="24"/>
          <w:szCs w:val="24"/>
        </w:rPr>
        <w:t xml:space="preserve"> is the most stable anion (Table 1). Although the calculations of Ventura et al. (1993) predict that O-deprotonated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is stabilized more by the addition of water molecules when compared to the N-deprotonated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Discussion</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Ab initio calculations and electronic and vibrational spectroscopy results were useful in the identification of the most likely conformations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variations in the functional group chemistry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as a function of </w:t>
      </w:r>
      <w:proofErr w:type="spellStart"/>
      <w:r w:rsidRPr="004617C5">
        <w:rPr>
          <w:rFonts w:ascii="Times New Roman" w:eastAsia="Times New Roman" w:hAnsi="Times New Roman" w:cs="Times New Roman"/>
          <w:sz w:val="24"/>
          <w:szCs w:val="24"/>
        </w:rPr>
        <w:t>pH.</w:t>
      </w:r>
      <w:proofErr w:type="spellEnd"/>
      <w:r w:rsidRPr="004617C5">
        <w:rPr>
          <w:rFonts w:ascii="Times New Roman" w:eastAsia="Times New Roman" w:hAnsi="Times New Roman" w:cs="Times New Roman"/>
          <w:sz w:val="24"/>
          <w:szCs w:val="24"/>
        </w:rPr>
        <w:t xml:space="preserve"> This spectral information was used in interpreting </w:t>
      </w:r>
      <w:proofErr w:type="gramStart"/>
      <w:r w:rsidRPr="004617C5">
        <w:rPr>
          <w:rFonts w:ascii="Times New Roman" w:eastAsia="Times New Roman" w:hAnsi="Times New Roman" w:cs="Times New Roman"/>
          <w:sz w:val="24"/>
          <w:szCs w:val="24"/>
        </w:rPr>
        <w:t>Fe(</w:t>
      </w:r>
      <w:proofErr w:type="gramEnd"/>
      <w:r w:rsidRPr="004617C5">
        <w:rPr>
          <w:rFonts w:ascii="Times New Roman" w:eastAsia="Times New Roman" w:hAnsi="Times New Roman" w:cs="Times New Roman"/>
          <w:sz w:val="24"/>
          <w:szCs w:val="24"/>
        </w:rPr>
        <w:t xml:space="preserve">III) complexation by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Since the spectral variations are similar for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they are discussed together in the following section.</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Summary and conclusions</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The functional group chemistry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and their </w:t>
      </w:r>
      <w:proofErr w:type="gramStart"/>
      <w:r w:rsidRPr="004617C5">
        <w:rPr>
          <w:rFonts w:ascii="Times New Roman" w:eastAsia="Times New Roman" w:hAnsi="Times New Roman" w:cs="Times New Roman"/>
          <w:sz w:val="24"/>
          <w:szCs w:val="24"/>
        </w:rPr>
        <w:t>Fe(</w:t>
      </w:r>
      <w:proofErr w:type="gramEnd"/>
      <w:r w:rsidRPr="004617C5">
        <w:rPr>
          <w:rFonts w:ascii="Times New Roman" w:eastAsia="Times New Roman" w:hAnsi="Times New Roman" w:cs="Times New Roman"/>
          <w:sz w:val="24"/>
          <w:szCs w:val="24"/>
        </w:rPr>
        <w:t xml:space="preserve">III) complexes were characterized using vibrational (infrared and resonance Raman) and electron (UV-vis) spectroscopy methods. The proposed structures and the deprotonation sites in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metal bonding environments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and </w:t>
      </w:r>
      <w:proofErr w:type="spellStart"/>
      <w:r w:rsidRPr="004617C5">
        <w:rPr>
          <w:rFonts w:ascii="Times New Roman" w:eastAsia="Times New Roman" w:hAnsi="Times New Roman" w:cs="Times New Roman"/>
          <w:sz w:val="24"/>
          <w:szCs w:val="24"/>
        </w:rPr>
        <w:t>desB</w:t>
      </w:r>
      <w:proofErr w:type="spellEnd"/>
      <w:r w:rsidRPr="004617C5">
        <w:rPr>
          <w:rFonts w:ascii="Times New Roman" w:eastAsia="Times New Roman" w:hAnsi="Times New Roman" w:cs="Times New Roman"/>
          <w:sz w:val="24"/>
          <w:szCs w:val="24"/>
        </w:rPr>
        <w:t xml:space="preserve"> were also corroborated with the ab initio calculations. The summary of our observations is as follows, </w:t>
      </w:r>
    </w:p>
    <w:p w:rsidR="004617C5" w:rsidRPr="004617C5" w:rsidRDefault="004617C5" w:rsidP="004617C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1</w:t>
      </w:r>
    </w:p>
    <w:p w:rsidR="004617C5" w:rsidRPr="004617C5" w:rsidRDefault="004617C5" w:rsidP="004617C5">
      <w:pPr>
        <w:spacing w:before="100" w:beforeAutospacing="1" w:after="100" w:afterAutospacing="1" w:line="240" w:lineRule="auto"/>
        <w:ind w:left="720"/>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lastRenderedPageBreak/>
        <w:t xml:space="preserve">The most stable form of </w:t>
      </w:r>
      <w:proofErr w:type="spellStart"/>
      <w:r w:rsidRPr="004617C5">
        <w:rPr>
          <w:rFonts w:ascii="Times New Roman" w:eastAsia="Times New Roman" w:hAnsi="Times New Roman" w:cs="Times New Roman"/>
          <w:sz w:val="24"/>
          <w:szCs w:val="24"/>
        </w:rPr>
        <w:t>aHa</w:t>
      </w:r>
      <w:proofErr w:type="spellEnd"/>
      <w:r w:rsidRPr="004617C5">
        <w:rPr>
          <w:rFonts w:ascii="Times New Roman" w:eastAsia="Times New Roman" w:hAnsi="Times New Roman" w:cs="Times New Roman"/>
          <w:sz w:val="24"/>
          <w:szCs w:val="24"/>
        </w:rPr>
        <w:t xml:space="preserve"> in aqueous solution is the </w:t>
      </w:r>
      <w:r w:rsidRPr="004617C5">
        <w:rPr>
          <w:rFonts w:ascii="Times New Roman" w:eastAsia="Times New Roman" w:hAnsi="Times New Roman" w:cs="Times New Roman"/>
          <w:i/>
          <w:iCs/>
          <w:sz w:val="24"/>
          <w:szCs w:val="24"/>
        </w:rPr>
        <w:t>cis</w:t>
      </w:r>
      <w:r w:rsidRPr="004617C5">
        <w:rPr>
          <w:rFonts w:ascii="Times New Roman" w:eastAsia="Times New Roman" w:hAnsi="Times New Roman" w:cs="Times New Roman"/>
          <w:sz w:val="24"/>
          <w:szCs w:val="24"/>
        </w:rPr>
        <w:t>-keto configuration, and deprotonation</w:t>
      </w:r>
    </w:p>
    <w:p w:rsidR="004617C5" w:rsidRPr="004617C5" w:rsidRDefault="004617C5" w:rsidP="004617C5">
      <w:pPr>
        <w:spacing w:before="100" w:beforeAutospacing="1" w:after="100" w:afterAutospacing="1" w:line="240" w:lineRule="auto"/>
        <w:outlineLvl w:val="1"/>
        <w:rPr>
          <w:rFonts w:ascii="Times New Roman" w:eastAsia="Times New Roman" w:hAnsi="Times New Roman" w:cs="Times New Roman"/>
          <w:b/>
          <w:bCs/>
          <w:sz w:val="36"/>
          <w:szCs w:val="36"/>
        </w:rPr>
      </w:pPr>
      <w:r w:rsidRPr="004617C5">
        <w:rPr>
          <w:rFonts w:ascii="Times New Roman" w:eastAsia="Times New Roman" w:hAnsi="Times New Roman" w:cs="Times New Roman"/>
          <w:b/>
          <w:bCs/>
          <w:sz w:val="36"/>
          <w:szCs w:val="36"/>
        </w:rPr>
        <w:t>Acknowledgments</w:t>
      </w:r>
    </w:p>
    <w:p w:rsidR="004617C5" w:rsidRPr="004617C5" w:rsidRDefault="004617C5" w:rsidP="004617C5">
      <w:pPr>
        <w:spacing w:before="100" w:beforeAutospacing="1" w:after="100" w:afterAutospacing="1" w:line="240" w:lineRule="auto"/>
        <w:rPr>
          <w:rFonts w:ascii="Times New Roman" w:eastAsia="Times New Roman" w:hAnsi="Times New Roman" w:cs="Times New Roman"/>
          <w:sz w:val="24"/>
          <w:szCs w:val="24"/>
        </w:rPr>
      </w:pPr>
      <w:r w:rsidRPr="004617C5">
        <w:rPr>
          <w:rFonts w:ascii="Times New Roman" w:eastAsia="Times New Roman" w:hAnsi="Times New Roman" w:cs="Times New Roman"/>
          <w:sz w:val="24"/>
          <w:szCs w:val="24"/>
        </w:rPr>
        <w:t xml:space="preserve">The research was funded by the EMSP program of the DOE. SBN gratefully acknowledges a postdoctoral fellowship from the Danish Natural Science Research Council (grant no. 21-0101242). The authors would like to thank Drs. J. </w:t>
      </w:r>
      <w:proofErr w:type="spellStart"/>
      <w:r w:rsidRPr="004617C5">
        <w:rPr>
          <w:rFonts w:ascii="Times New Roman" w:eastAsia="Times New Roman" w:hAnsi="Times New Roman" w:cs="Times New Roman"/>
          <w:sz w:val="24"/>
          <w:szCs w:val="24"/>
        </w:rPr>
        <w:t>Majzlan</w:t>
      </w:r>
      <w:proofErr w:type="spellEnd"/>
      <w:r w:rsidRPr="004617C5">
        <w:rPr>
          <w:rFonts w:ascii="Times New Roman" w:eastAsia="Times New Roman" w:hAnsi="Times New Roman" w:cs="Times New Roman"/>
          <w:sz w:val="24"/>
          <w:szCs w:val="24"/>
        </w:rPr>
        <w:t xml:space="preserve"> and S.J. </w:t>
      </w:r>
      <w:proofErr w:type="spellStart"/>
      <w:r w:rsidRPr="004617C5">
        <w:rPr>
          <w:rFonts w:ascii="Times New Roman" w:eastAsia="Times New Roman" w:hAnsi="Times New Roman" w:cs="Times New Roman"/>
          <w:sz w:val="24"/>
          <w:szCs w:val="24"/>
        </w:rPr>
        <w:t>Traina</w:t>
      </w:r>
      <w:proofErr w:type="spellEnd"/>
      <w:r w:rsidRPr="004617C5">
        <w:rPr>
          <w:rFonts w:ascii="Times New Roman" w:eastAsia="Times New Roman" w:hAnsi="Times New Roman" w:cs="Times New Roman"/>
          <w:sz w:val="24"/>
          <w:szCs w:val="24"/>
        </w:rPr>
        <w:t xml:space="preserve"> for reviewing the manuscript and providing critical comments.</w:t>
      </w:r>
    </w:p>
    <w:p w:rsidR="00EB43B9" w:rsidRDefault="00EB43B9"/>
    <w:sectPr w:rsidR="00EB43B9">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AD810B5"/>
    <w:multiLevelType w:val="multilevel"/>
    <w:tmpl w:val="515E0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7C5"/>
    <w:rsid w:val="004617C5"/>
    <w:rsid w:val="00EB43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16255"/>
  <w15:chartTrackingRefBased/>
  <w15:docId w15:val="{D2A4AE08-5B71-4503-933D-F8EACA693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32690557">
      <w:bodyDiv w:val="1"/>
      <w:marLeft w:val="0"/>
      <w:marRight w:val="0"/>
      <w:marTop w:val="0"/>
      <w:marBottom w:val="0"/>
      <w:divBdr>
        <w:top w:val="none" w:sz="0" w:space="0" w:color="auto"/>
        <w:left w:val="none" w:sz="0" w:space="0" w:color="auto"/>
        <w:bottom w:val="none" w:sz="0" w:space="0" w:color="auto"/>
        <w:right w:val="none" w:sz="0" w:space="0" w:color="auto"/>
      </w:divBdr>
      <w:divsChild>
        <w:div w:id="392971183">
          <w:marLeft w:val="0"/>
          <w:marRight w:val="0"/>
          <w:marTop w:val="0"/>
          <w:marBottom w:val="0"/>
          <w:divBdr>
            <w:top w:val="none" w:sz="0" w:space="0" w:color="auto"/>
            <w:left w:val="none" w:sz="0" w:space="0" w:color="auto"/>
            <w:bottom w:val="none" w:sz="0" w:space="0" w:color="auto"/>
            <w:right w:val="none" w:sz="0" w:space="0" w:color="auto"/>
          </w:divBdr>
          <w:divsChild>
            <w:div w:id="609749697">
              <w:marLeft w:val="0"/>
              <w:marRight w:val="0"/>
              <w:marTop w:val="0"/>
              <w:marBottom w:val="0"/>
              <w:divBdr>
                <w:top w:val="none" w:sz="0" w:space="0" w:color="auto"/>
                <w:left w:val="none" w:sz="0" w:space="0" w:color="auto"/>
                <w:bottom w:val="none" w:sz="0" w:space="0" w:color="auto"/>
                <w:right w:val="none" w:sz="0" w:space="0" w:color="auto"/>
              </w:divBdr>
              <w:divsChild>
                <w:div w:id="1905800016">
                  <w:marLeft w:val="0"/>
                  <w:marRight w:val="0"/>
                  <w:marTop w:val="0"/>
                  <w:marBottom w:val="0"/>
                  <w:divBdr>
                    <w:top w:val="none" w:sz="0" w:space="0" w:color="auto"/>
                    <w:left w:val="none" w:sz="0" w:space="0" w:color="auto"/>
                    <w:bottom w:val="none" w:sz="0" w:space="0" w:color="auto"/>
                    <w:right w:val="none" w:sz="0" w:space="0" w:color="auto"/>
                  </w:divBdr>
                  <w:divsChild>
                    <w:div w:id="88043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195221">
          <w:marLeft w:val="0"/>
          <w:marRight w:val="0"/>
          <w:marTop w:val="0"/>
          <w:marBottom w:val="0"/>
          <w:divBdr>
            <w:top w:val="none" w:sz="0" w:space="0" w:color="auto"/>
            <w:left w:val="none" w:sz="0" w:space="0" w:color="auto"/>
            <w:bottom w:val="none" w:sz="0" w:space="0" w:color="auto"/>
            <w:right w:val="none" w:sz="0" w:space="0" w:color="auto"/>
          </w:divBdr>
          <w:divsChild>
            <w:div w:id="1918326311">
              <w:marLeft w:val="0"/>
              <w:marRight w:val="0"/>
              <w:marTop w:val="0"/>
              <w:marBottom w:val="0"/>
              <w:divBdr>
                <w:top w:val="none" w:sz="0" w:space="0" w:color="auto"/>
                <w:left w:val="none" w:sz="0" w:space="0" w:color="auto"/>
                <w:bottom w:val="none" w:sz="0" w:space="0" w:color="auto"/>
                <w:right w:val="none" w:sz="0" w:space="0" w:color="auto"/>
              </w:divBdr>
              <w:divsChild>
                <w:div w:id="103175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69953">
          <w:marLeft w:val="0"/>
          <w:marRight w:val="0"/>
          <w:marTop w:val="0"/>
          <w:marBottom w:val="0"/>
          <w:divBdr>
            <w:top w:val="none" w:sz="0" w:space="0" w:color="auto"/>
            <w:left w:val="none" w:sz="0" w:space="0" w:color="auto"/>
            <w:bottom w:val="none" w:sz="0" w:space="0" w:color="auto"/>
            <w:right w:val="none" w:sz="0" w:space="0" w:color="auto"/>
          </w:divBdr>
          <w:divsChild>
            <w:div w:id="1557007829">
              <w:marLeft w:val="0"/>
              <w:marRight w:val="0"/>
              <w:marTop w:val="0"/>
              <w:marBottom w:val="0"/>
              <w:divBdr>
                <w:top w:val="none" w:sz="0" w:space="0" w:color="auto"/>
                <w:left w:val="none" w:sz="0" w:space="0" w:color="auto"/>
                <w:bottom w:val="none" w:sz="0" w:space="0" w:color="auto"/>
                <w:right w:val="none" w:sz="0" w:space="0" w:color="auto"/>
              </w:divBdr>
              <w:divsChild>
                <w:div w:id="1822230050">
                  <w:marLeft w:val="0"/>
                  <w:marRight w:val="0"/>
                  <w:marTop w:val="0"/>
                  <w:marBottom w:val="0"/>
                  <w:divBdr>
                    <w:top w:val="none" w:sz="0" w:space="0" w:color="auto"/>
                    <w:left w:val="none" w:sz="0" w:space="0" w:color="auto"/>
                    <w:bottom w:val="none" w:sz="0" w:space="0" w:color="auto"/>
                    <w:right w:val="none" w:sz="0" w:space="0" w:color="auto"/>
                  </w:divBdr>
                  <w:divsChild>
                    <w:div w:id="112323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882523">
          <w:marLeft w:val="0"/>
          <w:marRight w:val="0"/>
          <w:marTop w:val="0"/>
          <w:marBottom w:val="0"/>
          <w:divBdr>
            <w:top w:val="none" w:sz="0" w:space="0" w:color="auto"/>
            <w:left w:val="none" w:sz="0" w:space="0" w:color="auto"/>
            <w:bottom w:val="none" w:sz="0" w:space="0" w:color="auto"/>
            <w:right w:val="none" w:sz="0" w:space="0" w:color="auto"/>
          </w:divBdr>
          <w:divsChild>
            <w:div w:id="679115672">
              <w:marLeft w:val="0"/>
              <w:marRight w:val="0"/>
              <w:marTop w:val="0"/>
              <w:marBottom w:val="0"/>
              <w:divBdr>
                <w:top w:val="none" w:sz="0" w:space="0" w:color="auto"/>
                <w:left w:val="none" w:sz="0" w:space="0" w:color="auto"/>
                <w:bottom w:val="none" w:sz="0" w:space="0" w:color="auto"/>
                <w:right w:val="none" w:sz="0" w:space="0" w:color="auto"/>
              </w:divBdr>
            </w:div>
          </w:divsChild>
        </w:div>
        <w:div w:id="1000238463">
          <w:marLeft w:val="0"/>
          <w:marRight w:val="0"/>
          <w:marTop w:val="0"/>
          <w:marBottom w:val="0"/>
          <w:divBdr>
            <w:top w:val="none" w:sz="0" w:space="0" w:color="auto"/>
            <w:left w:val="none" w:sz="0" w:space="0" w:color="auto"/>
            <w:bottom w:val="none" w:sz="0" w:space="0" w:color="auto"/>
            <w:right w:val="none" w:sz="0" w:space="0" w:color="auto"/>
          </w:divBdr>
          <w:divsChild>
            <w:div w:id="3777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vibrational-spectra"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spectroscop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siderophore" TargetMode="External"/><Relationship Id="rId5" Type="http://schemas.openxmlformats.org/officeDocument/2006/relationships/hyperlink" Target="https://doi.org/10.1016/j.gca.2005.01.03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1629</Words>
  <Characters>9291</Characters>
  <Application>Microsoft Office Word</Application>
  <DocSecurity>0</DocSecurity>
  <Lines>77</Lines>
  <Paragraphs>21</Paragraphs>
  <ScaleCrop>false</ScaleCrop>
  <Company/>
  <LinksUpToDate>false</LinksUpToDate>
  <CharactersWithSpaces>10899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2023-11-18T08:23:00Z</dcterms:created>
  <dcterms:modified xsi:type="dcterms:W3CDTF">2023-11-18T08:23:00Z</dcterms:modified>
</cp:coreProperties>
</file>