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0B16A0" w:rsidRPr="000B16A0" w:rsidRDefault="000B16A0" w:rsidP="000B16A0">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0B16A0">
        <w:rPr>
          <w:rFonts w:ascii="Times New Roman" w:eastAsia="Times New Roman" w:hAnsi="Times New Roman" w:cs="Times New Roman"/>
          <w:b/>
          <w:bCs/>
          <w:kern w:val="36"/>
          <w:sz w:val="48"/>
          <w:szCs w:val="48"/>
        </w:rPr>
        <w:t xml:space="preserve">New insight on aliphatic linkages in the macromolecular organic fraction of </w:t>
      </w:r>
      <w:proofErr w:type="spellStart"/>
      <w:r w:rsidRPr="000B16A0">
        <w:rPr>
          <w:rFonts w:ascii="Times New Roman" w:eastAsia="Times New Roman" w:hAnsi="Times New Roman" w:cs="Times New Roman"/>
          <w:b/>
          <w:bCs/>
          <w:kern w:val="36"/>
          <w:sz w:val="48"/>
          <w:szCs w:val="48"/>
        </w:rPr>
        <w:t>Orgueil</w:t>
      </w:r>
      <w:proofErr w:type="spellEnd"/>
      <w:r w:rsidRPr="000B16A0">
        <w:rPr>
          <w:rFonts w:ascii="Times New Roman" w:eastAsia="Times New Roman" w:hAnsi="Times New Roman" w:cs="Times New Roman"/>
          <w:b/>
          <w:bCs/>
          <w:kern w:val="36"/>
          <w:sz w:val="48"/>
          <w:szCs w:val="48"/>
        </w:rPr>
        <w:t xml:space="preserve"> and Murchison meteorites through ruthenium tetroxide oxidation</w:t>
      </w:r>
    </w:p>
    <w:p w:rsidR="000B16A0" w:rsidRPr="000B16A0" w:rsidRDefault="000B16A0" w:rsidP="000B16A0">
      <w:pPr>
        <w:spacing w:after="0" w:line="240" w:lineRule="auto"/>
        <w:rPr>
          <w:rFonts w:ascii="Times New Roman" w:eastAsia="Times New Roman" w:hAnsi="Times New Roman" w:cs="Times New Roman"/>
          <w:sz w:val="24"/>
          <w:szCs w:val="24"/>
        </w:rPr>
      </w:pPr>
      <w:r w:rsidRPr="000B16A0">
        <w:rPr>
          <w:rFonts w:ascii="Times New Roman" w:eastAsia="Times New Roman" w:hAnsi="Times New Roman" w:cs="Times New Roman"/>
          <w:sz w:val="24"/>
          <w:szCs w:val="24"/>
        </w:rPr>
        <w:t>Author links open overlay panel</w:t>
      </w:r>
    </w:p>
    <w:p w:rsidR="000B16A0" w:rsidRPr="000B16A0" w:rsidRDefault="000B16A0" w:rsidP="000B16A0">
      <w:pPr>
        <w:spacing w:after="0" w:line="240" w:lineRule="auto"/>
        <w:rPr>
          <w:rFonts w:ascii="Times New Roman" w:eastAsia="Times New Roman" w:hAnsi="Times New Roman" w:cs="Times New Roman"/>
          <w:sz w:val="24"/>
          <w:szCs w:val="24"/>
        </w:rPr>
      </w:pPr>
      <w:r w:rsidRPr="000B16A0">
        <w:rPr>
          <w:rFonts w:ascii="Times New Roman" w:eastAsia="Times New Roman" w:hAnsi="Times New Roman" w:cs="Times New Roman"/>
          <w:sz w:val="24"/>
          <w:szCs w:val="24"/>
        </w:rPr>
        <w:t xml:space="preserve">, , </w:t>
      </w:r>
    </w:p>
    <w:p w:rsidR="000B16A0" w:rsidRPr="000B16A0" w:rsidRDefault="000B16A0" w:rsidP="000B16A0">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0B16A0">
          <w:rPr>
            <w:rFonts w:ascii="Times New Roman" w:eastAsia="Times New Roman" w:hAnsi="Times New Roman" w:cs="Times New Roman"/>
            <w:color w:val="0000FF"/>
            <w:sz w:val="24"/>
            <w:szCs w:val="24"/>
            <w:u w:val="single"/>
          </w:rPr>
          <w:t>https://doi.org/10.1016/j.gca.2005.05.003</w:t>
        </w:r>
      </w:hyperlink>
      <w:bookmarkStart w:id="0" w:name="_GoBack"/>
      <w:bookmarkEnd w:id="0"/>
      <w:r w:rsidRPr="000B16A0">
        <w:rPr>
          <w:rFonts w:ascii="Times New Roman" w:eastAsia="Times New Roman" w:hAnsi="Times New Roman" w:cs="Times New Roman"/>
          <w:sz w:val="24"/>
          <w:szCs w:val="24"/>
        </w:rPr>
        <w:t xml:space="preserve"> </w:t>
      </w:r>
    </w:p>
    <w:p w:rsidR="000B16A0" w:rsidRPr="000B16A0" w:rsidRDefault="000B16A0" w:rsidP="000B16A0">
      <w:pPr>
        <w:spacing w:before="100" w:beforeAutospacing="1" w:after="100" w:afterAutospacing="1" w:line="240" w:lineRule="auto"/>
        <w:outlineLvl w:val="1"/>
        <w:rPr>
          <w:rFonts w:ascii="Times New Roman" w:eastAsia="Times New Roman" w:hAnsi="Times New Roman" w:cs="Times New Roman"/>
          <w:b/>
          <w:bCs/>
          <w:sz w:val="36"/>
          <w:szCs w:val="36"/>
        </w:rPr>
      </w:pPr>
      <w:r w:rsidRPr="000B16A0">
        <w:rPr>
          <w:rFonts w:ascii="Times New Roman" w:eastAsia="Times New Roman" w:hAnsi="Times New Roman" w:cs="Times New Roman"/>
          <w:b/>
          <w:bCs/>
          <w:sz w:val="36"/>
          <w:szCs w:val="36"/>
        </w:rPr>
        <w:t>Abstract</w:t>
      </w:r>
    </w:p>
    <w:p w:rsidR="000B16A0" w:rsidRPr="000B16A0" w:rsidRDefault="000B16A0" w:rsidP="000B16A0">
      <w:pPr>
        <w:spacing w:before="100" w:beforeAutospacing="1" w:after="100" w:afterAutospacing="1" w:line="240" w:lineRule="auto"/>
        <w:rPr>
          <w:rFonts w:ascii="Times New Roman" w:eastAsia="Times New Roman" w:hAnsi="Times New Roman" w:cs="Times New Roman"/>
          <w:sz w:val="24"/>
          <w:szCs w:val="24"/>
        </w:rPr>
      </w:pPr>
      <w:r w:rsidRPr="000B16A0">
        <w:rPr>
          <w:rFonts w:ascii="Times New Roman" w:eastAsia="Times New Roman" w:hAnsi="Times New Roman" w:cs="Times New Roman"/>
          <w:sz w:val="24"/>
          <w:szCs w:val="24"/>
        </w:rPr>
        <w:t xml:space="preserve">Ruthenium tetroxide oxidation was used to examine the macromolecular insoluble organic matter (IOM) from the </w:t>
      </w:r>
      <w:proofErr w:type="spellStart"/>
      <w:r w:rsidRPr="000B16A0">
        <w:rPr>
          <w:rFonts w:ascii="Times New Roman" w:eastAsia="Times New Roman" w:hAnsi="Times New Roman" w:cs="Times New Roman"/>
          <w:sz w:val="24"/>
          <w:szCs w:val="24"/>
        </w:rPr>
        <w:t>Orgueil</w:t>
      </w:r>
      <w:proofErr w:type="spellEnd"/>
      <w:r w:rsidRPr="000B16A0">
        <w:rPr>
          <w:rFonts w:ascii="Times New Roman" w:eastAsia="Times New Roman" w:hAnsi="Times New Roman" w:cs="Times New Roman"/>
          <w:sz w:val="24"/>
          <w:szCs w:val="24"/>
        </w:rPr>
        <w:t xml:space="preserve"> and Murchison meteorites and </w:t>
      </w:r>
      <w:proofErr w:type="gramStart"/>
      <w:r w:rsidRPr="000B16A0">
        <w:rPr>
          <w:rFonts w:ascii="Times New Roman" w:eastAsia="Times New Roman" w:hAnsi="Times New Roman" w:cs="Times New Roman"/>
          <w:sz w:val="24"/>
          <w:szCs w:val="24"/>
        </w:rPr>
        <w:t>especially</w:t>
      </w:r>
      <w:proofErr w:type="gramEnd"/>
      <w:r w:rsidRPr="000B16A0">
        <w:rPr>
          <w:rFonts w:ascii="Times New Roman" w:eastAsia="Times New Roman" w:hAnsi="Times New Roman" w:cs="Times New Roman"/>
          <w:sz w:val="24"/>
          <w:szCs w:val="24"/>
        </w:rPr>
        <w:t xml:space="preserve"> to characterize the aliphatic linkages. Already applied to various terrestrial samples, ruthenium tetroxide is a selective oxidant which destroys aromatic units, converting them into CO</w:t>
      </w:r>
      <w:r w:rsidRPr="000B16A0">
        <w:rPr>
          <w:rFonts w:ascii="Times New Roman" w:eastAsia="Times New Roman" w:hAnsi="Times New Roman" w:cs="Times New Roman"/>
          <w:sz w:val="24"/>
          <w:szCs w:val="24"/>
          <w:vertAlign w:val="subscript"/>
        </w:rPr>
        <w:t>2</w:t>
      </w:r>
      <w:r w:rsidRPr="000B16A0">
        <w:rPr>
          <w:rFonts w:ascii="Times New Roman" w:eastAsia="Times New Roman" w:hAnsi="Times New Roman" w:cs="Times New Roman"/>
          <w:sz w:val="24"/>
          <w:szCs w:val="24"/>
        </w:rPr>
        <w:t xml:space="preserve">, and yields aliphatic and aromatic acids. In our experiment on chondritic IOM, it produces mainly short aliphatic diacids and </w:t>
      </w:r>
      <w:proofErr w:type="spellStart"/>
      <w:r w:rsidRPr="000B16A0">
        <w:rPr>
          <w:rFonts w:ascii="Times New Roman" w:eastAsia="Times New Roman" w:hAnsi="Times New Roman" w:cs="Times New Roman"/>
          <w:sz w:val="24"/>
          <w:szCs w:val="24"/>
        </w:rPr>
        <w:t>polycarboxylic</w:t>
      </w:r>
      <w:proofErr w:type="spellEnd"/>
      <w:r w:rsidRPr="000B16A0">
        <w:rPr>
          <w:rFonts w:ascii="Times New Roman" w:eastAsia="Times New Roman" w:hAnsi="Times New Roman" w:cs="Times New Roman"/>
          <w:sz w:val="24"/>
          <w:szCs w:val="24"/>
        </w:rPr>
        <w:t xml:space="preserve"> aromatic acids. Some short </w:t>
      </w:r>
      <w:proofErr w:type="spellStart"/>
      <w:r w:rsidRPr="000B16A0">
        <w:rPr>
          <w:rFonts w:ascii="Times New Roman" w:eastAsia="Times New Roman" w:hAnsi="Times New Roman" w:cs="Times New Roman"/>
          <w:sz w:val="24"/>
          <w:szCs w:val="24"/>
        </w:rPr>
        <w:t>hydroxyacids</w:t>
      </w:r>
      <w:proofErr w:type="spellEnd"/>
      <w:r w:rsidRPr="000B16A0">
        <w:rPr>
          <w:rFonts w:ascii="Times New Roman" w:eastAsia="Times New Roman" w:hAnsi="Times New Roman" w:cs="Times New Roman"/>
          <w:sz w:val="24"/>
          <w:szCs w:val="24"/>
        </w:rPr>
        <w:t xml:space="preserve"> are also detected.</w:t>
      </w:r>
    </w:p>
    <w:p w:rsidR="000B16A0" w:rsidRPr="000B16A0" w:rsidRDefault="000B16A0" w:rsidP="000B16A0">
      <w:pPr>
        <w:spacing w:before="100" w:beforeAutospacing="1" w:after="100" w:afterAutospacing="1" w:line="240" w:lineRule="auto"/>
        <w:rPr>
          <w:rFonts w:ascii="Times New Roman" w:eastAsia="Times New Roman" w:hAnsi="Times New Roman" w:cs="Times New Roman"/>
          <w:sz w:val="24"/>
          <w:szCs w:val="24"/>
        </w:rPr>
      </w:pPr>
      <w:r w:rsidRPr="000B16A0">
        <w:rPr>
          <w:rFonts w:ascii="Times New Roman" w:eastAsia="Times New Roman" w:hAnsi="Times New Roman" w:cs="Times New Roman"/>
          <w:sz w:val="24"/>
          <w:szCs w:val="24"/>
        </w:rPr>
        <w:t xml:space="preserve">Aliphatic diacids are interpreted as aliphatic bridges between aromatic units in the chemical structure, and </w:t>
      </w:r>
      <w:proofErr w:type="spellStart"/>
      <w:r w:rsidRPr="000B16A0">
        <w:rPr>
          <w:rFonts w:ascii="Times New Roman" w:eastAsia="Times New Roman" w:hAnsi="Times New Roman" w:cs="Times New Roman"/>
          <w:sz w:val="24"/>
          <w:szCs w:val="24"/>
        </w:rPr>
        <w:t>polycarboxylic</w:t>
      </w:r>
      <w:proofErr w:type="spellEnd"/>
      <w:r w:rsidRPr="000B16A0">
        <w:rPr>
          <w:rFonts w:ascii="Times New Roman" w:eastAsia="Times New Roman" w:hAnsi="Times New Roman" w:cs="Times New Roman"/>
          <w:sz w:val="24"/>
          <w:szCs w:val="24"/>
        </w:rPr>
        <w:t xml:space="preserve"> aromatic acids are the result of the fusion of polyaromatic units. The product distribution shows that aliphatic links are short with numerous substitutions. No indigenous monocarboxylic acid was detected, showing that free aliphatic chains must be very short (less than three carbon atoms). The </w:t>
      </w:r>
      <w:proofErr w:type="spellStart"/>
      <w:r w:rsidRPr="000B16A0">
        <w:rPr>
          <w:rFonts w:ascii="Times New Roman" w:eastAsia="Times New Roman" w:hAnsi="Times New Roman" w:cs="Times New Roman"/>
          <w:sz w:val="24"/>
          <w:szCs w:val="24"/>
        </w:rPr>
        <w:t>hydroxyacids</w:t>
      </w:r>
      <w:proofErr w:type="spellEnd"/>
      <w:r w:rsidRPr="000B16A0">
        <w:rPr>
          <w:rFonts w:ascii="Times New Roman" w:eastAsia="Times New Roman" w:hAnsi="Times New Roman" w:cs="Times New Roman"/>
          <w:sz w:val="24"/>
          <w:szCs w:val="24"/>
        </w:rPr>
        <w:t xml:space="preserve"> are related to the occurrence of ester and ether functional groups within the aliphatic bridges between the aromatic units. This technique thus allows us to characterize in detail the aliphatic linkages of the IOMs, and the derived conclusions are in agreement with spectroscopic, pyrolytic, and degradative results previously reported.</w:t>
      </w:r>
    </w:p>
    <w:p w:rsidR="000B16A0" w:rsidRPr="000B16A0" w:rsidRDefault="000B16A0" w:rsidP="000B16A0">
      <w:pPr>
        <w:spacing w:before="100" w:beforeAutospacing="1" w:after="100" w:afterAutospacing="1" w:line="240" w:lineRule="auto"/>
        <w:rPr>
          <w:rFonts w:ascii="Times New Roman" w:eastAsia="Times New Roman" w:hAnsi="Times New Roman" w:cs="Times New Roman"/>
          <w:sz w:val="24"/>
          <w:szCs w:val="24"/>
        </w:rPr>
      </w:pPr>
      <w:r w:rsidRPr="000B16A0">
        <w:rPr>
          <w:rFonts w:ascii="Times New Roman" w:eastAsia="Times New Roman" w:hAnsi="Times New Roman" w:cs="Times New Roman"/>
          <w:sz w:val="24"/>
          <w:szCs w:val="24"/>
        </w:rPr>
        <w:t xml:space="preserve">Compared to terrestrial samples, the aliphatic part of chondritic IOM is shorter and highly substituted. Aromatic units are smaller and more cross-linked than in coals, as already proposed from NMR data. </w:t>
      </w:r>
      <w:proofErr w:type="spellStart"/>
      <w:r w:rsidRPr="000B16A0">
        <w:rPr>
          <w:rFonts w:ascii="Times New Roman" w:eastAsia="Times New Roman" w:hAnsi="Times New Roman" w:cs="Times New Roman"/>
          <w:sz w:val="24"/>
          <w:szCs w:val="24"/>
        </w:rPr>
        <w:t>Orgueil</w:t>
      </w:r>
      <w:proofErr w:type="spellEnd"/>
      <w:r w:rsidRPr="000B16A0">
        <w:rPr>
          <w:rFonts w:ascii="Times New Roman" w:eastAsia="Times New Roman" w:hAnsi="Times New Roman" w:cs="Times New Roman"/>
          <w:sz w:val="24"/>
          <w:szCs w:val="24"/>
        </w:rPr>
        <w:t xml:space="preserve"> and Murchison IOM exhibit some tiny differences, especially in the length of aliphatic chains.</w:t>
      </w:r>
    </w:p>
    <w:p w:rsidR="000B16A0" w:rsidRPr="000B16A0" w:rsidRDefault="000B16A0" w:rsidP="000B16A0">
      <w:pPr>
        <w:spacing w:before="100" w:beforeAutospacing="1" w:after="100" w:afterAutospacing="1" w:line="240" w:lineRule="auto"/>
        <w:outlineLvl w:val="1"/>
        <w:rPr>
          <w:rFonts w:ascii="Times New Roman" w:eastAsia="Times New Roman" w:hAnsi="Times New Roman" w:cs="Times New Roman"/>
          <w:b/>
          <w:bCs/>
          <w:sz w:val="36"/>
          <w:szCs w:val="36"/>
        </w:rPr>
      </w:pPr>
      <w:r w:rsidRPr="000B16A0">
        <w:rPr>
          <w:rFonts w:ascii="Times New Roman" w:eastAsia="Times New Roman" w:hAnsi="Times New Roman" w:cs="Times New Roman"/>
          <w:b/>
          <w:bCs/>
          <w:sz w:val="36"/>
          <w:szCs w:val="36"/>
        </w:rPr>
        <w:t>Introduction</w:t>
      </w:r>
    </w:p>
    <w:p w:rsidR="000B16A0" w:rsidRPr="000B16A0" w:rsidRDefault="000B16A0" w:rsidP="000B16A0">
      <w:pPr>
        <w:spacing w:before="100" w:beforeAutospacing="1" w:after="100" w:afterAutospacing="1" w:line="240" w:lineRule="auto"/>
        <w:rPr>
          <w:rFonts w:ascii="Times New Roman" w:eastAsia="Times New Roman" w:hAnsi="Times New Roman" w:cs="Times New Roman"/>
          <w:sz w:val="24"/>
          <w:szCs w:val="24"/>
        </w:rPr>
      </w:pPr>
      <w:r w:rsidRPr="000B16A0">
        <w:rPr>
          <w:rFonts w:ascii="Times New Roman" w:eastAsia="Times New Roman" w:hAnsi="Times New Roman" w:cs="Times New Roman"/>
          <w:sz w:val="24"/>
          <w:szCs w:val="24"/>
        </w:rPr>
        <w:t xml:space="preserve">Carbonaceous chondrites are the most primitive objects of the solar system. They exhibit significant carbon contents and most of this carbon occurs as insoluble organic matter (IOM). IOM has been studied for long by various spectroscopic techniques, </w:t>
      </w:r>
      <w:proofErr w:type="spellStart"/>
      <w:r w:rsidRPr="000B16A0">
        <w:rPr>
          <w:rFonts w:ascii="Times New Roman" w:eastAsia="Times New Roman" w:hAnsi="Times New Roman" w:cs="Times New Roman"/>
          <w:sz w:val="24"/>
          <w:szCs w:val="24"/>
        </w:rPr>
        <w:t>pyrolyses</w:t>
      </w:r>
      <w:proofErr w:type="spellEnd"/>
      <w:r w:rsidRPr="000B16A0">
        <w:rPr>
          <w:rFonts w:ascii="Times New Roman" w:eastAsia="Times New Roman" w:hAnsi="Times New Roman" w:cs="Times New Roman"/>
          <w:sz w:val="24"/>
          <w:szCs w:val="24"/>
        </w:rPr>
        <w:t xml:space="preserve">, and chemical degradations (Levy et al 1973, </w:t>
      </w:r>
      <w:proofErr w:type="spellStart"/>
      <w:r w:rsidRPr="000B16A0">
        <w:rPr>
          <w:rFonts w:ascii="Times New Roman" w:eastAsia="Times New Roman" w:hAnsi="Times New Roman" w:cs="Times New Roman"/>
          <w:sz w:val="24"/>
          <w:szCs w:val="24"/>
        </w:rPr>
        <w:t>Bandurski</w:t>
      </w:r>
      <w:proofErr w:type="spellEnd"/>
      <w:r w:rsidRPr="000B16A0">
        <w:rPr>
          <w:rFonts w:ascii="Times New Roman" w:eastAsia="Times New Roman" w:hAnsi="Times New Roman" w:cs="Times New Roman"/>
          <w:sz w:val="24"/>
          <w:szCs w:val="24"/>
        </w:rPr>
        <w:t xml:space="preserve"> and Nagy 1976, </w:t>
      </w:r>
      <w:proofErr w:type="spellStart"/>
      <w:r w:rsidRPr="000B16A0">
        <w:rPr>
          <w:rFonts w:ascii="Times New Roman" w:eastAsia="Times New Roman" w:hAnsi="Times New Roman" w:cs="Times New Roman"/>
          <w:sz w:val="24"/>
          <w:szCs w:val="24"/>
        </w:rPr>
        <w:t>Hayatsu</w:t>
      </w:r>
      <w:proofErr w:type="spellEnd"/>
      <w:r w:rsidRPr="000B16A0">
        <w:rPr>
          <w:rFonts w:ascii="Times New Roman" w:eastAsia="Times New Roman" w:hAnsi="Times New Roman" w:cs="Times New Roman"/>
          <w:sz w:val="24"/>
          <w:szCs w:val="24"/>
        </w:rPr>
        <w:t xml:space="preserve"> et al 1977, </w:t>
      </w:r>
      <w:proofErr w:type="spellStart"/>
      <w:r w:rsidRPr="000B16A0">
        <w:rPr>
          <w:rFonts w:ascii="Times New Roman" w:eastAsia="Times New Roman" w:hAnsi="Times New Roman" w:cs="Times New Roman"/>
          <w:sz w:val="24"/>
          <w:szCs w:val="24"/>
        </w:rPr>
        <w:t>Hayatsu</w:t>
      </w:r>
      <w:proofErr w:type="spellEnd"/>
      <w:r w:rsidRPr="000B16A0">
        <w:rPr>
          <w:rFonts w:ascii="Times New Roman" w:eastAsia="Times New Roman" w:hAnsi="Times New Roman" w:cs="Times New Roman"/>
          <w:sz w:val="24"/>
          <w:szCs w:val="24"/>
        </w:rPr>
        <w:t xml:space="preserve"> et al 1980, </w:t>
      </w:r>
      <w:proofErr w:type="spellStart"/>
      <w:r w:rsidRPr="000B16A0">
        <w:rPr>
          <w:rFonts w:ascii="Times New Roman" w:eastAsia="Times New Roman" w:hAnsi="Times New Roman" w:cs="Times New Roman"/>
          <w:sz w:val="24"/>
          <w:szCs w:val="24"/>
        </w:rPr>
        <w:t>Hayatsu</w:t>
      </w:r>
      <w:proofErr w:type="spellEnd"/>
      <w:r w:rsidRPr="000B16A0">
        <w:rPr>
          <w:rFonts w:ascii="Times New Roman" w:eastAsia="Times New Roman" w:hAnsi="Times New Roman" w:cs="Times New Roman"/>
          <w:sz w:val="24"/>
          <w:szCs w:val="24"/>
        </w:rPr>
        <w:t xml:space="preserve"> and Anders 1981, Cronin et al 1987, Cronin et al 1988). These analyses revealed that the macromolecular network of IOM is mainly based on polyaromatic units cross-linked by aliphatic chains. Recent studies, using solid state </w:t>
      </w:r>
      <w:r w:rsidRPr="000B16A0">
        <w:rPr>
          <w:rFonts w:ascii="Times New Roman" w:eastAsia="Times New Roman" w:hAnsi="Times New Roman" w:cs="Times New Roman"/>
          <w:sz w:val="24"/>
          <w:szCs w:val="24"/>
          <w:vertAlign w:val="superscript"/>
        </w:rPr>
        <w:t>13</w:t>
      </w:r>
      <w:r w:rsidRPr="000B16A0">
        <w:rPr>
          <w:rFonts w:ascii="Times New Roman" w:eastAsia="Times New Roman" w:hAnsi="Times New Roman" w:cs="Times New Roman"/>
          <w:sz w:val="24"/>
          <w:szCs w:val="24"/>
        </w:rPr>
        <w:t>C nuclear magnetic resonance, electron paramagnetic resonance, high resolution transmission electron microscopy, and pyrolysis allowed a better characterization of the aromatic moieties, especially their size and substitution level (</w:t>
      </w:r>
      <w:proofErr w:type="spellStart"/>
      <w:r w:rsidRPr="000B16A0">
        <w:rPr>
          <w:rFonts w:ascii="Times New Roman" w:eastAsia="Times New Roman" w:hAnsi="Times New Roman" w:cs="Times New Roman"/>
          <w:sz w:val="24"/>
          <w:szCs w:val="24"/>
        </w:rPr>
        <w:t>Gardinier</w:t>
      </w:r>
      <w:proofErr w:type="spellEnd"/>
      <w:r w:rsidRPr="000B16A0">
        <w:rPr>
          <w:rFonts w:ascii="Times New Roman" w:eastAsia="Times New Roman" w:hAnsi="Times New Roman" w:cs="Times New Roman"/>
          <w:sz w:val="24"/>
          <w:szCs w:val="24"/>
        </w:rPr>
        <w:t xml:space="preserve"> et al 2000, Binet et al 2002, </w:t>
      </w:r>
      <w:proofErr w:type="spellStart"/>
      <w:r w:rsidRPr="000B16A0">
        <w:rPr>
          <w:rFonts w:ascii="Times New Roman" w:eastAsia="Times New Roman" w:hAnsi="Times New Roman" w:cs="Times New Roman"/>
          <w:sz w:val="24"/>
          <w:szCs w:val="24"/>
        </w:rPr>
        <w:t>Sephton</w:t>
      </w:r>
      <w:proofErr w:type="spellEnd"/>
      <w:r w:rsidRPr="000B16A0">
        <w:rPr>
          <w:rFonts w:ascii="Times New Roman" w:eastAsia="Times New Roman" w:hAnsi="Times New Roman" w:cs="Times New Roman"/>
          <w:sz w:val="24"/>
          <w:szCs w:val="24"/>
        </w:rPr>
        <w:t xml:space="preserve"> et al 2004, Cody and Alexander 2005, </w:t>
      </w:r>
      <w:proofErr w:type="spellStart"/>
      <w:r w:rsidRPr="000B16A0">
        <w:rPr>
          <w:rFonts w:ascii="Times New Roman" w:eastAsia="Times New Roman" w:hAnsi="Times New Roman" w:cs="Times New Roman"/>
          <w:sz w:val="24"/>
          <w:szCs w:val="24"/>
        </w:rPr>
        <w:t>Derenne</w:t>
      </w:r>
      <w:proofErr w:type="spellEnd"/>
      <w:r w:rsidRPr="000B16A0">
        <w:rPr>
          <w:rFonts w:ascii="Times New Roman" w:eastAsia="Times New Roman" w:hAnsi="Times New Roman" w:cs="Times New Roman"/>
          <w:sz w:val="24"/>
          <w:szCs w:val="24"/>
        </w:rPr>
        <w:t xml:space="preserve"> et al 2005, </w:t>
      </w:r>
      <w:proofErr w:type="spellStart"/>
      <w:r w:rsidRPr="000B16A0">
        <w:rPr>
          <w:rFonts w:ascii="Times New Roman" w:eastAsia="Times New Roman" w:hAnsi="Times New Roman" w:cs="Times New Roman"/>
          <w:sz w:val="24"/>
          <w:szCs w:val="24"/>
        </w:rPr>
        <w:t>Remusat</w:t>
      </w:r>
      <w:proofErr w:type="spellEnd"/>
      <w:r w:rsidRPr="000B16A0">
        <w:rPr>
          <w:rFonts w:ascii="Times New Roman" w:eastAsia="Times New Roman" w:hAnsi="Times New Roman" w:cs="Times New Roman"/>
          <w:sz w:val="24"/>
          <w:szCs w:val="24"/>
        </w:rPr>
        <w:t xml:space="preserve"> et al 2005). However, </w:t>
      </w:r>
      <w:r w:rsidRPr="000B16A0">
        <w:rPr>
          <w:rFonts w:ascii="Times New Roman" w:eastAsia="Times New Roman" w:hAnsi="Times New Roman" w:cs="Times New Roman"/>
          <w:sz w:val="24"/>
          <w:szCs w:val="24"/>
        </w:rPr>
        <w:lastRenderedPageBreak/>
        <w:t xml:space="preserve">these techniques provide only limited information on the aliphatic linkages. Moreover, pyrolysis suggested that these chains comprise at most seven carbons because alkanes with less than </w:t>
      </w:r>
      <w:proofErr w:type="spellStart"/>
      <w:r w:rsidRPr="000B16A0">
        <w:rPr>
          <w:rFonts w:ascii="Times New Roman" w:eastAsia="Times New Roman" w:hAnsi="Times New Roman" w:cs="Times New Roman"/>
          <w:sz w:val="24"/>
          <w:szCs w:val="24"/>
        </w:rPr>
        <w:t>eiht</w:t>
      </w:r>
      <w:proofErr w:type="spellEnd"/>
      <w:r w:rsidRPr="000B16A0">
        <w:rPr>
          <w:rFonts w:ascii="Times New Roman" w:eastAsia="Times New Roman" w:hAnsi="Times New Roman" w:cs="Times New Roman"/>
          <w:sz w:val="24"/>
          <w:szCs w:val="24"/>
        </w:rPr>
        <w:t xml:space="preserve"> carbons cannot be detected under the conditions used for pyrolysis and no aliphatic compound was recovered (</w:t>
      </w:r>
      <w:proofErr w:type="spellStart"/>
      <w:r w:rsidRPr="000B16A0">
        <w:rPr>
          <w:rFonts w:ascii="Times New Roman" w:eastAsia="Times New Roman" w:hAnsi="Times New Roman" w:cs="Times New Roman"/>
          <w:sz w:val="24"/>
          <w:szCs w:val="24"/>
        </w:rPr>
        <w:t>Sephton</w:t>
      </w:r>
      <w:proofErr w:type="spellEnd"/>
      <w:r w:rsidRPr="000B16A0">
        <w:rPr>
          <w:rFonts w:ascii="Times New Roman" w:eastAsia="Times New Roman" w:hAnsi="Times New Roman" w:cs="Times New Roman"/>
          <w:sz w:val="24"/>
          <w:szCs w:val="24"/>
        </w:rPr>
        <w:t xml:space="preserve"> et al 1999, </w:t>
      </w:r>
      <w:proofErr w:type="spellStart"/>
      <w:r w:rsidRPr="000B16A0">
        <w:rPr>
          <w:rFonts w:ascii="Times New Roman" w:eastAsia="Times New Roman" w:hAnsi="Times New Roman" w:cs="Times New Roman"/>
          <w:sz w:val="24"/>
          <w:szCs w:val="24"/>
        </w:rPr>
        <w:t>Remusat</w:t>
      </w:r>
      <w:proofErr w:type="spellEnd"/>
      <w:r w:rsidRPr="000B16A0">
        <w:rPr>
          <w:rFonts w:ascii="Times New Roman" w:eastAsia="Times New Roman" w:hAnsi="Times New Roman" w:cs="Times New Roman"/>
          <w:sz w:val="24"/>
          <w:szCs w:val="24"/>
        </w:rPr>
        <w:t xml:space="preserve"> et al 2005). The aim of this work is to determine the chemical features of the aliphatic linkages in the IOM of </w:t>
      </w:r>
      <w:proofErr w:type="spellStart"/>
      <w:r w:rsidRPr="000B16A0">
        <w:rPr>
          <w:rFonts w:ascii="Times New Roman" w:eastAsia="Times New Roman" w:hAnsi="Times New Roman" w:cs="Times New Roman"/>
          <w:sz w:val="24"/>
          <w:szCs w:val="24"/>
        </w:rPr>
        <w:t>Orgueil</w:t>
      </w:r>
      <w:proofErr w:type="spellEnd"/>
      <w:r w:rsidRPr="000B16A0">
        <w:rPr>
          <w:rFonts w:ascii="Times New Roman" w:eastAsia="Times New Roman" w:hAnsi="Times New Roman" w:cs="Times New Roman"/>
          <w:sz w:val="24"/>
          <w:szCs w:val="24"/>
        </w:rPr>
        <w:t xml:space="preserve"> and Murchison meteorites.</w:t>
      </w:r>
    </w:p>
    <w:p w:rsidR="000B16A0" w:rsidRPr="000B16A0" w:rsidRDefault="000B16A0" w:rsidP="000B16A0">
      <w:pPr>
        <w:spacing w:before="100" w:beforeAutospacing="1" w:after="100" w:afterAutospacing="1" w:line="240" w:lineRule="auto"/>
        <w:rPr>
          <w:rFonts w:ascii="Times New Roman" w:eastAsia="Times New Roman" w:hAnsi="Times New Roman" w:cs="Times New Roman"/>
          <w:sz w:val="24"/>
          <w:szCs w:val="24"/>
        </w:rPr>
      </w:pPr>
      <w:r w:rsidRPr="000B16A0">
        <w:rPr>
          <w:rFonts w:ascii="Times New Roman" w:eastAsia="Times New Roman" w:hAnsi="Times New Roman" w:cs="Times New Roman"/>
          <w:sz w:val="24"/>
          <w:szCs w:val="24"/>
        </w:rPr>
        <w:t xml:space="preserve">To this end, a chemical degradation technique, ruthenium tetroxide oxidation, was chosen to investigate the aliphatic chains in the IOM in this study. Chemical degradations were performed on IOM from meteorites as far back as 1966 with the </w:t>
      </w:r>
      <w:proofErr w:type="spellStart"/>
      <w:r w:rsidRPr="000B16A0">
        <w:rPr>
          <w:rFonts w:ascii="Times New Roman" w:eastAsia="Times New Roman" w:hAnsi="Times New Roman" w:cs="Times New Roman"/>
          <w:sz w:val="24"/>
          <w:szCs w:val="24"/>
        </w:rPr>
        <w:t>ozonolysis</w:t>
      </w:r>
      <w:proofErr w:type="spellEnd"/>
      <w:r w:rsidRPr="000B16A0">
        <w:rPr>
          <w:rFonts w:ascii="Times New Roman" w:eastAsia="Times New Roman" w:hAnsi="Times New Roman" w:cs="Times New Roman"/>
          <w:sz w:val="24"/>
          <w:szCs w:val="24"/>
        </w:rPr>
        <w:t xml:space="preserve"> of </w:t>
      </w:r>
      <w:proofErr w:type="spellStart"/>
      <w:r w:rsidRPr="000B16A0">
        <w:rPr>
          <w:rFonts w:ascii="Times New Roman" w:eastAsia="Times New Roman" w:hAnsi="Times New Roman" w:cs="Times New Roman"/>
          <w:sz w:val="24"/>
          <w:szCs w:val="24"/>
        </w:rPr>
        <w:t>Orgueil</w:t>
      </w:r>
      <w:proofErr w:type="spellEnd"/>
      <w:r w:rsidRPr="000B16A0">
        <w:rPr>
          <w:rFonts w:ascii="Times New Roman" w:eastAsia="Times New Roman" w:hAnsi="Times New Roman" w:cs="Times New Roman"/>
          <w:sz w:val="24"/>
          <w:szCs w:val="24"/>
        </w:rPr>
        <w:t xml:space="preserve"> (</w:t>
      </w:r>
      <w:proofErr w:type="spellStart"/>
      <w:r w:rsidRPr="000B16A0">
        <w:rPr>
          <w:rFonts w:ascii="Times New Roman" w:eastAsia="Times New Roman" w:hAnsi="Times New Roman" w:cs="Times New Roman"/>
          <w:sz w:val="24"/>
          <w:szCs w:val="24"/>
        </w:rPr>
        <w:t>Bitz</w:t>
      </w:r>
      <w:proofErr w:type="spellEnd"/>
      <w:r w:rsidRPr="000B16A0">
        <w:rPr>
          <w:rFonts w:ascii="Times New Roman" w:eastAsia="Times New Roman" w:hAnsi="Times New Roman" w:cs="Times New Roman"/>
          <w:sz w:val="24"/>
          <w:szCs w:val="24"/>
        </w:rPr>
        <w:t xml:space="preserve"> and Nagy, 1966). Moreover, following up this pioneer work, a number of other reagents were used in chemical degradations of IOM. They were trifluoroacetic acid, nitric acid, dichromate, copper oxide (</w:t>
      </w:r>
      <w:proofErr w:type="spellStart"/>
      <w:r w:rsidRPr="000B16A0">
        <w:rPr>
          <w:rFonts w:ascii="Times New Roman" w:eastAsia="Times New Roman" w:hAnsi="Times New Roman" w:cs="Times New Roman"/>
          <w:sz w:val="24"/>
          <w:szCs w:val="24"/>
        </w:rPr>
        <w:t>Hayatsu</w:t>
      </w:r>
      <w:proofErr w:type="spellEnd"/>
      <w:r w:rsidRPr="000B16A0">
        <w:rPr>
          <w:rFonts w:ascii="Times New Roman" w:eastAsia="Times New Roman" w:hAnsi="Times New Roman" w:cs="Times New Roman"/>
          <w:sz w:val="24"/>
          <w:szCs w:val="24"/>
        </w:rPr>
        <w:t xml:space="preserve"> et al 1977, </w:t>
      </w:r>
      <w:proofErr w:type="spellStart"/>
      <w:r w:rsidRPr="000B16A0">
        <w:rPr>
          <w:rFonts w:ascii="Times New Roman" w:eastAsia="Times New Roman" w:hAnsi="Times New Roman" w:cs="Times New Roman"/>
          <w:sz w:val="24"/>
          <w:szCs w:val="24"/>
        </w:rPr>
        <w:t>Hayatsu</w:t>
      </w:r>
      <w:proofErr w:type="spellEnd"/>
      <w:r w:rsidRPr="000B16A0">
        <w:rPr>
          <w:rFonts w:ascii="Times New Roman" w:eastAsia="Times New Roman" w:hAnsi="Times New Roman" w:cs="Times New Roman"/>
          <w:sz w:val="24"/>
          <w:szCs w:val="24"/>
        </w:rPr>
        <w:t xml:space="preserve"> et al 1980). However, as far as we are aware, no chemical degradation has been performed on IOM since that time. Moreover, except </w:t>
      </w:r>
      <w:proofErr w:type="spellStart"/>
      <w:r w:rsidRPr="000B16A0">
        <w:rPr>
          <w:rFonts w:ascii="Times New Roman" w:eastAsia="Times New Roman" w:hAnsi="Times New Roman" w:cs="Times New Roman"/>
          <w:sz w:val="24"/>
          <w:szCs w:val="24"/>
        </w:rPr>
        <w:t>depolymerisation</w:t>
      </w:r>
      <w:proofErr w:type="spellEnd"/>
      <w:r w:rsidRPr="000B16A0">
        <w:rPr>
          <w:rFonts w:ascii="Times New Roman" w:eastAsia="Times New Roman" w:hAnsi="Times New Roman" w:cs="Times New Roman"/>
          <w:sz w:val="24"/>
          <w:szCs w:val="24"/>
        </w:rPr>
        <w:t xml:space="preserve"> with trifluoroacetic acid that was reported to yield C2 to C6 alkenes from Murchison IOM, no information on the aliphatic linkages could be derived from these chemical degradations.</w:t>
      </w:r>
    </w:p>
    <w:p w:rsidR="000B16A0" w:rsidRPr="000B16A0" w:rsidRDefault="000B16A0" w:rsidP="000B16A0">
      <w:pPr>
        <w:spacing w:before="100" w:beforeAutospacing="1" w:after="100" w:afterAutospacing="1" w:line="240" w:lineRule="auto"/>
        <w:rPr>
          <w:rFonts w:ascii="Times New Roman" w:eastAsia="Times New Roman" w:hAnsi="Times New Roman" w:cs="Times New Roman"/>
          <w:sz w:val="24"/>
          <w:szCs w:val="24"/>
        </w:rPr>
      </w:pPr>
      <w:r w:rsidRPr="000B16A0">
        <w:rPr>
          <w:rFonts w:ascii="Times New Roman" w:eastAsia="Times New Roman" w:hAnsi="Times New Roman" w:cs="Times New Roman"/>
          <w:sz w:val="24"/>
          <w:szCs w:val="24"/>
        </w:rPr>
        <w:t xml:space="preserve">Ruthenium tetroxide oxidation is a chemical degradation that has been largely used for characterizing the aliphatic and alicyclic portion of coals (Stock and </w:t>
      </w:r>
      <w:proofErr w:type="spellStart"/>
      <w:r w:rsidRPr="000B16A0">
        <w:rPr>
          <w:rFonts w:ascii="Times New Roman" w:eastAsia="Times New Roman" w:hAnsi="Times New Roman" w:cs="Times New Roman"/>
          <w:sz w:val="24"/>
          <w:szCs w:val="24"/>
        </w:rPr>
        <w:t>Tse</w:t>
      </w:r>
      <w:proofErr w:type="spellEnd"/>
      <w:r w:rsidRPr="000B16A0">
        <w:rPr>
          <w:rFonts w:ascii="Times New Roman" w:eastAsia="Times New Roman" w:hAnsi="Times New Roman" w:cs="Times New Roman"/>
          <w:sz w:val="24"/>
          <w:szCs w:val="24"/>
        </w:rPr>
        <w:t xml:space="preserve"> 1983, Stock and Wang 1986, </w:t>
      </w:r>
      <w:proofErr w:type="spellStart"/>
      <w:r w:rsidRPr="000B16A0">
        <w:rPr>
          <w:rFonts w:ascii="Times New Roman" w:eastAsia="Times New Roman" w:hAnsi="Times New Roman" w:cs="Times New Roman"/>
          <w:sz w:val="24"/>
          <w:szCs w:val="24"/>
        </w:rPr>
        <w:t>Kidena</w:t>
      </w:r>
      <w:proofErr w:type="spellEnd"/>
      <w:r w:rsidRPr="000B16A0">
        <w:rPr>
          <w:rFonts w:ascii="Times New Roman" w:eastAsia="Times New Roman" w:hAnsi="Times New Roman" w:cs="Times New Roman"/>
          <w:sz w:val="24"/>
          <w:szCs w:val="24"/>
        </w:rPr>
        <w:t xml:space="preserve"> et al 2004), asphaltenes (</w:t>
      </w:r>
      <w:proofErr w:type="spellStart"/>
      <w:r w:rsidRPr="000B16A0">
        <w:rPr>
          <w:rFonts w:ascii="Times New Roman" w:eastAsia="Times New Roman" w:hAnsi="Times New Roman" w:cs="Times New Roman"/>
          <w:sz w:val="24"/>
          <w:szCs w:val="24"/>
        </w:rPr>
        <w:t>Trifilieff</w:t>
      </w:r>
      <w:proofErr w:type="spellEnd"/>
      <w:r w:rsidRPr="000B16A0">
        <w:rPr>
          <w:rFonts w:ascii="Times New Roman" w:eastAsia="Times New Roman" w:hAnsi="Times New Roman" w:cs="Times New Roman"/>
          <w:sz w:val="24"/>
          <w:szCs w:val="24"/>
        </w:rPr>
        <w:t xml:space="preserve"> et al., 1987), kerogens (Boucher et al 1989, </w:t>
      </w:r>
      <w:proofErr w:type="spellStart"/>
      <w:r w:rsidRPr="000B16A0">
        <w:rPr>
          <w:rFonts w:ascii="Times New Roman" w:eastAsia="Times New Roman" w:hAnsi="Times New Roman" w:cs="Times New Roman"/>
          <w:sz w:val="24"/>
          <w:szCs w:val="24"/>
        </w:rPr>
        <w:t>Kribii</w:t>
      </w:r>
      <w:proofErr w:type="spellEnd"/>
      <w:r w:rsidRPr="000B16A0">
        <w:rPr>
          <w:rFonts w:ascii="Times New Roman" w:eastAsia="Times New Roman" w:hAnsi="Times New Roman" w:cs="Times New Roman"/>
          <w:sz w:val="24"/>
          <w:szCs w:val="24"/>
        </w:rPr>
        <w:t xml:space="preserve"> et al 2001), and </w:t>
      </w:r>
      <w:proofErr w:type="spellStart"/>
      <w:r w:rsidRPr="000B16A0">
        <w:rPr>
          <w:rFonts w:ascii="Times New Roman" w:eastAsia="Times New Roman" w:hAnsi="Times New Roman" w:cs="Times New Roman"/>
          <w:sz w:val="24"/>
          <w:szCs w:val="24"/>
        </w:rPr>
        <w:t>humic</w:t>
      </w:r>
      <w:proofErr w:type="spellEnd"/>
      <w:r w:rsidRPr="000B16A0">
        <w:rPr>
          <w:rFonts w:ascii="Times New Roman" w:eastAsia="Times New Roman" w:hAnsi="Times New Roman" w:cs="Times New Roman"/>
          <w:sz w:val="24"/>
          <w:szCs w:val="24"/>
        </w:rPr>
        <w:t xml:space="preserve"> substances (Gonzales-Vila et al., 1994) during the last 20 years. Ruthenium tetroxide is a mild and selective oxidizing agent that preferentially destroys aromatic rings, converting them into CO</w:t>
      </w:r>
      <w:r w:rsidRPr="000B16A0">
        <w:rPr>
          <w:rFonts w:ascii="Times New Roman" w:eastAsia="Times New Roman" w:hAnsi="Times New Roman" w:cs="Times New Roman"/>
          <w:sz w:val="24"/>
          <w:szCs w:val="24"/>
          <w:vertAlign w:val="subscript"/>
        </w:rPr>
        <w:t>2</w:t>
      </w:r>
      <w:r w:rsidRPr="000B16A0">
        <w:rPr>
          <w:rFonts w:ascii="Times New Roman" w:eastAsia="Times New Roman" w:hAnsi="Times New Roman" w:cs="Times New Roman"/>
          <w:sz w:val="24"/>
          <w:szCs w:val="24"/>
        </w:rPr>
        <w:t>. This conversion is slow, or absent, when efficient electron withdrawing groups are present; it is very quick when aromatic rings are activated by electron-donating groups (</w:t>
      </w:r>
      <w:proofErr w:type="spellStart"/>
      <w:r w:rsidRPr="000B16A0">
        <w:rPr>
          <w:rFonts w:ascii="Times New Roman" w:eastAsia="Times New Roman" w:hAnsi="Times New Roman" w:cs="Times New Roman"/>
          <w:sz w:val="24"/>
          <w:szCs w:val="24"/>
        </w:rPr>
        <w:t>Ilsley</w:t>
      </w:r>
      <w:proofErr w:type="spellEnd"/>
      <w:r w:rsidRPr="000B16A0">
        <w:rPr>
          <w:rFonts w:ascii="Times New Roman" w:eastAsia="Times New Roman" w:hAnsi="Times New Roman" w:cs="Times New Roman"/>
          <w:sz w:val="24"/>
          <w:szCs w:val="24"/>
        </w:rPr>
        <w:t xml:space="preserve"> et al., 1986). It was also shown that it converts, oxidatively, alcohols into ketones or aldehydes, aldehydes into acids, and ethers into esters or lactones (</w:t>
      </w:r>
      <w:proofErr w:type="spellStart"/>
      <w:r w:rsidRPr="000B16A0">
        <w:rPr>
          <w:rFonts w:ascii="Times New Roman" w:eastAsia="Times New Roman" w:hAnsi="Times New Roman" w:cs="Times New Roman"/>
          <w:sz w:val="24"/>
          <w:szCs w:val="24"/>
        </w:rPr>
        <w:t>Mallya</w:t>
      </w:r>
      <w:proofErr w:type="spellEnd"/>
      <w:r w:rsidRPr="000B16A0">
        <w:rPr>
          <w:rFonts w:ascii="Times New Roman" w:eastAsia="Times New Roman" w:hAnsi="Times New Roman" w:cs="Times New Roman"/>
          <w:sz w:val="24"/>
          <w:szCs w:val="24"/>
        </w:rPr>
        <w:t xml:space="preserve"> and Zingaro 1984, </w:t>
      </w:r>
      <w:proofErr w:type="spellStart"/>
      <w:r w:rsidRPr="000B16A0">
        <w:rPr>
          <w:rFonts w:ascii="Times New Roman" w:eastAsia="Times New Roman" w:hAnsi="Times New Roman" w:cs="Times New Roman"/>
          <w:sz w:val="24"/>
          <w:szCs w:val="24"/>
        </w:rPr>
        <w:t>Ilsley</w:t>
      </w:r>
      <w:proofErr w:type="spellEnd"/>
      <w:r w:rsidRPr="000B16A0">
        <w:rPr>
          <w:rFonts w:ascii="Times New Roman" w:eastAsia="Times New Roman" w:hAnsi="Times New Roman" w:cs="Times New Roman"/>
          <w:sz w:val="24"/>
          <w:szCs w:val="24"/>
        </w:rPr>
        <w:t xml:space="preserve"> et al 1986). To sum up, ruthenium tetroxide has an oxidative specificity for aromatic rings and functionalized carbon atoms. The aliphatic and acyclic structures liberated appear as carboxylic acids, the carboxylic functional group marking points of attachment in the kerogen and positions of labile functional groups, such as carbon-carbon double bonds and ether links (Stock and </w:t>
      </w:r>
      <w:proofErr w:type="spellStart"/>
      <w:r w:rsidRPr="000B16A0">
        <w:rPr>
          <w:rFonts w:ascii="Times New Roman" w:eastAsia="Times New Roman" w:hAnsi="Times New Roman" w:cs="Times New Roman"/>
          <w:sz w:val="24"/>
          <w:szCs w:val="24"/>
        </w:rPr>
        <w:t>Tse</w:t>
      </w:r>
      <w:proofErr w:type="spellEnd"/>
      <w:r w:rsidRPr="000B16A0">
        <w:rPr>
          <w:rFonts w:ascii="Times New Roman" w:eastAsia="Times New Roman" w:hAnsi="Times New Roman" w:cs="Times New Roman"/>
          <w:sz w:val="24"/>
          <w:szCs w:val="24"/>
        </w:rPr>
        <w:t xml:space="preserve"> 1983, Stock and Wang 1986). An aliphatic or acyclic moiety linked to an aromatic ring will thus yield a compound with one more carbon (Fig 1) bearing the carboxylic functional group (Stock and </w:t>
      </w:r>
      <w:proofErr w:type="spellStart"/>
      <w:r w:rsidRPr="000B16A0">
        <w:rPr>
          <w:rFonts w:ascii="Times New Roman" w:eastAsia="Times New Roman" w:hAnsi="Times New Roman" w:cs="Times New Roman"/>
          <w:sz w:val="24"/>
          <w:szCs w:val="24"/>
        </w:rPr>
        <w:t>Tse</w:t>
      </w:r>
      <w:proofErr w:type="spellEnd"/>
      <w:r w:rsidRPr="000B16A0">
        <w:rPr>
          <w:rFonts w:ascii="Times New Roman" w:eastAsia="Times New Roman" w:hAnsi="Times New Roman" w:cs="Times New Roman"/>
          <w:sz w:val="24"/>
          <w:szCs w:val="24"/>
        </w:rPr>
        <w:t>, 1983). Ruthenium tetroxide is only required in a catalytic amount because, once reduced by the organic matter, it may be converted back to the active form by sodium periodate (co-oxidant). Previous investigations have shown that the co-oxidant/substrate (c/s) ratio is the major parameter in the efficiency of the reaction (</w:t>
      </w:r>
      <w:proofErr w:type="spellStart"/>
      <w:r w:rsidRPr="000B16A0">
        <w:rPr>
          <w:rFonts w:ascii="Times New Roman" w:eastAsia="Times New Roman" w:hAnsi="Times New Roman" w:cs="Times New Roman"/>
          <w:sz w:val="24"/>
          <w:szCs w:val="24"/>
        </w:rPr>
        <w:t>Ilsley</w:t>
      </w:r>
      <w:proofErr w:type="spellEnd"/>
      <w:r w:rsidRPr="000B16A0">
        <w:rPr>
          <w:rFonts w:ascii="Times New Roman" w:eastAsia="Times New Roman" w:hAnsi="Times New Roman" w:cs="Times New Roman"/>
          <w:sz w:val="24"/>
          <w:szCs w:val="24"/>
        </w:rPr>
        <w:t xml:space="preserve"> et al 1986, </w:t>
      </w:r>
      <w:proofErr w:type="spellStart"/>
      <w:r w:rsidRPr="000B16A0">
        <w:rPr>
          <w:rFonts w:ascii="Times New Roman" w:eastAsia="Times New Roman" w:hAnsi="Times New Roman" w:cs="Times New Roman"/>
          <w:sz w:val="24"/>
          <w:szCs w:val="24"/>
        </w:rPr>
        <w:t>Standen</w:t>
      </w:r>
      <w:proofErr w:type="spellEnd"/>
      <w:r w:rsidRPr="000B16A0">
        <w:rPr>
          <w:rFonts w:ascii="Times New Roman" w:eastAsia="Times New Roman" w:hAnsi="Times New Roman" w:cs="Times New Roman"/>
          <w:sz w:val="24"/>
          <w:szCs w:val="24"/>
        </w:rPr>
        <w:t xml:space="preserve"> et al 1991).</w:t>
      </w:r>
    </w:p>
    <w:p w:rsidR="000B16A0" w:rsidRPr="000B16A0" w:rsidRDefault="000B16A0" w:rsidP="000B16A0">
      <w:pPr>
        <w:spacing w:before="100" w:beforeAutospacing="1" w:after="100" w:afterAutospacing="1" w:line="240" w:lineRule="auto"/>
        <w:rPr>
          <w:rFonts w:ascii="Times New Roman" w:eastAsia="Times New Roman" w:hAnsi="Times New Roman" w:cs="Times New Roman"/>
          <w:sz w:val="24"/>
          <w:szCs w:val="24"/>
        </w:rPr>
      </w:pPr>
      <w:r w:rsidRPr="000B16A0">
        <w:rPr>
          <w:rFonts w:ascii="Times New Roman" w:eastAsia="Times New Roman" w:hAnsi="Times New Roman" w:cs="Times New Roman"/>
          <w:sz w:val="24"/>
          <w:szCs w:val="24"/>
        </w:rPr>
        <w:t xml:space="preserve">This paper thus describes the products obtained by ruthenium tetroxide oxidation of </w:t>
      </w:r>
      <w:proofErr w:type="spellStart"/>
      <w:r w:rsidRPr="000B16A0">
        <w:rPr>
          <w:rFonts w:ascii="Times New Roman" w:eastAsia="Times New Roman" w:hAnsi="Times New Roman" w:cs="Times New Roman"/>
          <w:sz w:val="24"/>
          <w:szCs w:val="24"/>
        </w:rPr>
        <w:t>Orgueil</w:t>
      </w:r>
      <w:proofErr w:type="spellEnd"/>
      <w:r w:rsidRPr="000B16A0">
        <w:rPr>
          <w:rFonts w:ascii="Times New Roman" w:eastAsia="Times New Roman" w:hAnsi="Times New Roman" w:cs="Times New Roman"/>
          <w:sz w:val="24"/>
          <w:szCs w:val="24"/>
        </w:rPr>
        <w:t xml:space="preserve"> and Murchison IOM, with the subsequent implication on the chemical structure of the chondritic IOM.</w:t>
      </w:r>
    </w:p>
    <w:p w:rsidR="000B16A0" w:rsidRPr="000B16A0" w:rsidRDefault="000B16A0" w:rsidP="000B16A0">
      <w:pPr>
        <w:spacing w:before="100" w:beforeAutospacing="1" w:after="100" w:afterAutospacing="1" w:line="240" w:lineRule="auto"/>
        <w:outlineLvl w:val="1"/>
        <w:rPr>
          <w:rFonts w:ascii="Times New Roman" w:eastAsia="Times New Roman" w:hAnsi="Times New Roman" w:cs="Times New Roman"/>
          <w:b/>
          <w:bCs/>
          <w:sz w:val="36"/>
          <w:szCs w:val="36"/>
        </w:rPr>
      </w:pPr>
      <w:r w:rsidRPr="000B16A0">
        <w:rPr>
          <w:rFonts w:ascii="Times New Roman" w:eastAsia="Times New Roman" w:hAnsi="Times New Roman" w:cs="Times New Roman"/>
          <w:b/>
          <w:bCs/>
          <w:sz w:val="36"/>
          <w:szCs w:val="36"/>
        </w:rPr>
        <w:t>Section snippets</w:t>
      </w:r>
    </w:p>
    <w:p w:rsidR="000B16A0" w:rsidRPr="000B16A0" w:rsidRDefault="000B16A0" w:rsidP="000B16A0">
      <w:pPr>
        <w:spacing w:before="100" w:beforeAutospacing="1" w:after="100" w:afterAutospacing="1" w:line="240" w:lineRule="auto"/>
        <w:outlineLvl w:val="1"/>
        <w:rPr>
          <w:rFonts w:ascii="Times New Roman" w:eastAsia="Times New Roman" w:hAnsi="Times New Roman" w:cs="Times New Roman"/>
          <w:b/>
          <w:bCs/>
          <w:sz w:val="36"/>
          <w:szCs w:val="36"/>
        </w:rPr>
      </w:pPr>
      <w:r w:rsidRPr="000B16A0">
        <w:rPr>
          <w:rFonts w:ascii="Times New Roman" w:eastAsia="Times New Roman" w:hAnsi="Times New Roman" w:cs="Times New Roman"/>
          <w:b/>
          <w:bCs/>
          <w:sz w:val="36"/>
          <w:szCs w:val="36"/>
        </w:rPr>
        <w:t>Sample</w:t>
      </w:r>
    </w:p>
    <w:p w:rsidR="000B16A0" w:rsidRPr="000B16A0" w:rsidRDefault="000B16A0" w:rsidP="000B16A0">
      <w:pPr>
        <w:spacing w:before="100" w:beforeAutospacing="1" w:after="100" w:afterAutospacing="1" w:line="240" w:lineRule="auto"/>
        <w:rPr>
          <w:rFonts w:ascii="Times New Roman" w:eastAsia="Times New Roman" w:hAnsi="Times New Roman" w:cs="Times New Roman"/>
          <w:sz w:val="24"/>
          <w:szCs w:val="24"/>
        </w:rPr>
      </w:pPr>
      <w:r w:rsidRPr="000B16A0">
        <w:rPr>
          <w:rFonts w:ascii="Times New Roman" w:eastAsia="Times New Roman" w:hAnsi="Times New Roman" w:cs="Times New Roman"/>
          <w:sz w:val="24"/>
          <w:szCs w:val="24"/>
        </w:rPr>
        <w:t xml:space="preserve">The macromolecular organic matter of two carbonaceous chondrites </w:t>
      </w:r>
      <w:proofErr w:type="spellStart"/>
      <w:r w:rsidRPr="000B16A0">
        <w:rPr>
          <w:rFonts w:ascii="Times New Roman" w:eastAsia="Times New Roman" w:hAnsi="Times New Roman" w:cs="Times New Roman"/>
          <w:sz w:val="24"/>
          <w:szCs w:val="24"/>
        </w:rPr>
        <w:t>Orgueil</w:t>
      </w:r>
      <w:proofErr w:type="spellEnd"/>
      <w:r w:rsidRPr="000B16A0">
        <w:rPr>
          <w:rFonts w:ascii="Times New Roman" w:eastAsia="Times New Roman" w:hAnsi="Times New Roman" w:cs="Times New Roman"/>
          <w:sz w:val="24"/>
          <w:szCs w:val="24"/>
        </w:rPr>
        <w:t xml:space="preserve"> (a CI1 from Museum National </w:t>
      </w:r>
      <w:proofErr w:type="spellStart"/>
      <w:r w:rsidRPr="000B16A0">
        <w:rPr>
          <w:rFonts w:ascii="Times New Roman" w:eastAsia="Times New Roman" w:hAnsi="Times New Roman" w:cs="Times New Roman"/>
          <w:sz w:val="24"/>
          <w:szCs w:val="24"/>
        </w:rPr>
        <w:t>d’Histoire</w:t>
      </w:r>
      <w:proofErr w:type="spellEnd"/>
      <w:r w:rsidRPr="000B16A0">
        <w:rPr>
          <w:rFonts w:ascii="Times New Roman" w:eastAsia="Times New Roman" w:hAnsi="Times New Roman" w:cs="Times New Roman"/>
          <w:sz w:val="24"/>
          <w:szCs w:val="24"/>
        </w:rPr>
        <w:t xml:space="preserve"> Naturelle de Paris, France) and Murchison (a CM2 from </w:t>
      </w:r>
      <w:proofErr w:type="spellStart"/>
      <w:r w:rsidRPr="000B16A0">
        <w:rPr>
          <w:rFonts w:ascii="Times New Roman" w:eastAsia="Times New Roman" w:hAnsi="Times New Roman" w:cs="Times New Roman"/>
          <w:sz w:val="24"/>
          <w:szCs w:val="24"/>
        </w:rPr>
        <w:t>Smithonian</w:t>
      </w:r>
      <w:proofErr w:type="spellEnd"/>
      <w:r w:rsidRPr="000B16A0">
        <w:rPr>
          <w:rFonts w:ascii="Times New Roman" w:eastAsia="Times New Roman" w:hAnsi="Times New Roman" w:cs="Times New Roman"/>
          <w:sz w:val="24"/>
          <w:szCs w:val="24"/>
        </w:rPr>
        <w:t xml:space="preserve"> National Museum of Natural History, Washington, DC) was isolated. The ground meteorite was firstly extracted with distilled water (reflux for 60 h), then (stirring for 2 h at room temperature) in acetone </w:t>
      </w:r>
      <w:r w:rsidRPr="000B16A0">
        <w:rPr>
          <w:rFonts w:ascii="Times New Roman" w:eastAsia="Times New Roman" w:hAnsi="Times New Roman" w:cs="Times New Roman"/>
          <w:sz w:val="24"/>
          <w:szCs w:val="24"/>
        </w:rPr>
        <w:lastRenderedPageBreak/>
        <w:t>and in a 2:1 v/v mixture of CH</w:t>
      </w:r>
      <w:r w:rsidRPr="000B16A0">
        <w:rPr>
          <w:rFonts w:ascii="Times New Roman" w:eastAsia="Times New Roman" w:hAnsi="Times New Roman" w:cs="Times New Roman"/>
          <w:sz w:val="24"/>
          <w:szCs w:val="24"/>
          <w:vertAlign w:val="subscript"/>
        </w:rPr>
        <w:t>2</w:t>
      </w:r>
      <w:r w:rsidRPr="000B16A0">
        <w:rPr>
          <w:rFonts w:ascii="Times New Roman" w:eastAsia="Times New Roman" w:hAnsi="Times New Roman" w:cs="Times New Roman"/>
          <w:sz w:val="24"/>
          <w:szCs w:val="24"/>
        </w:rPr>
        <w:t>Cl</w:t>
      </w:r>
      <w:r w:rsidRPr="000B16A0">
        <w:rPr>
          <w:rFonts w:ascii="Times New Roman" w:eastAsia="Times New Roman" w:hAnsi="Times New Roman" w:cs="Times New Roman"/>
          <w:sz w:val="24"/>
          <w:szCs w:val="24"/>
          <w:vertAlign w:val="subscript"/>
        </w:rPr>
        <w:t>2</w:t>
      </w:r>
      <w:r w:rsidRPr="000B16A0">
        <w:rPr>
          <w:rFonts w:ascii="Times New Roman" w:eastAsia="Times New Roman" w:hAnsi="Times New Roman" w:cs="Times New Roman"/>
          <w:sz w:val="24"/>
          <w:szCs w:val="24"/>
        </w:rPr>
        <w:t xml:space="preserve">/MeOH (stirring overnight at room temperature). The supernatant was eliminated after </w:t>
      </w:r>
    </w:p>
    <w:p w:rsidR="000B16A0" w:rsidRPr="000B16A0" w:rsidRDefault="000B16A0" w:rsidP="000B16A0">
      <w:pPr>
        <w:spacing w:before="100" w:beforeAutospacing="1" w:after="100" w:afterAutospacing="1" w:line="240" w:lineRule="auto"/>
        <w:outlineLvl w:val="1"/>
        <w:rPr>
          <w:rFonts w:ascii="Times New Roman" w:eastAsia="Times New Roman" w:hAnsi="Times New Roman" w:cs="Times New Roman"/>
          <w:b/>
          <w:bCs/>
          <w:sz w:val="36"/>
          <w:szCs w:val="36"/>
        </w:rPr>
      </w:pPr>
      <w:r w:rsidRPr="000B16A0">
        <w:rPr>
          <w:rFonts w:ascii="Times New Roman" w:eastAsia="Times New Roman" w:hAnsi="Times New Roman" w:cs="Times New Roman"/>
          <w:b/>
          <w:bCs/>
          <w:sz w:val="36"/>
          <w:szCs w:val="36"/>
        </w:rPr>
        <w:t xml:space="preserve">Ruthenium Tetroxide Oxidation of </w:t>
      </w:r>
      <w:proofErr w:type="spellStart"/>
      <w:r w:rsidRPr="000B16A0">
        <w:rPr>
          <w:rFonts w:ascii="Times New Roman" w:eastAsia="Times New Roman" w:hAnsi="Times New Roman" w:cs="Times New Roman"/>
          <w:b/>
          <w:bCs/>
          <w:sz w:val="36"/>
          <w:szCs w:val="36"/>
        </w:rPr>
        <w:t>Orgueil</w:t>
      </w:r>
      <w:proofErr w:type="spellEnd"/>
      <w:r w:rsidRPr="000B16A0">
        <w:rPr>
          <w:rFonts w:ascii="Times New Roman" w:eastAsia="Times New Roman" w:hAnsi="Times New Roman" w:cs="Times New Roman"/>
          <w:b/>
          <w:bCs/>
          <w:sz w:val="36"/>
          <w:szCs w:val="36"/>
        </w:rPr>
        <w:t xml:space="preserve"> IOM</w:t>
      </w:r>
    </w:p>
    <w:p w:rsidR="000B16A0" w:rsidRPr="000B16A0" w:rsidRDefault="000B16A0" w:rsidP="000B16A0">
      <w:pPr>
        <w:spacing w:before="100" w:beforeAutospacing="1" w:after="100" w:afterAutospacing="1" w:line="240" w:lineRule="auto"/>
        <w:rPr>
          <w:rFonts w:ascii="Times New Roman" w:eastAsia="Times New Roman" w:hAnsi="Times New Roman" w:cs="Times New Roman"/>
          <w:sz w:val="24"/>
          <w:szCs w:val="24"/>
        </w:rPr>
      </w:pPr>
      <w:r w:rsidRPr="000B16A0">
        <w:rPr>
          <w:rFonts w:ascii="Times New Roman" w:eastAsia="Times New Roman" w:hAnsi="Times New Roman" w:cs="Times New Roman"/>
          <w:sz w:val="24"/>
          <w:szCs w:val="24"/>
        </w:rPr>
        <w:t xml:space="preserve">The oxidations of </w:t>
      </w:r>
      <w:proofErr w:type="spellStart"/>
      <w:r w:rsidRPr="000B16A0">
        <w:rPr>
          <w:rFonts w:ascii="Times New Roman" w:eastAsia="Times New Roman" w:hAnsi="Times New Roman" w:cs="Times New Roman"/>
          <w:sz w:val="24"/>
          <w:szCs w:val="24"/>
        </w:rPr>
        <w:t>Orgueil</w:t>
      </w:r>
      <w:proofErr w:type="spellEnd"/>
      <w:r w:rsidRPr="000B16A0">
        <w:rPr>
          <w:rFonts w:ascii="Times New Roman" w:eastAsia="Times New Roman" w:hAnsi="Times New Roman" w:cs="Times New Roman"/>
          <w:sz w:val="24"/>
          <w:szCs w:val="24"/>
        </w:rPr>
        <w:t xml:space="preserve"> IOM were performed in triplicate and led to similar results. As expected, products are mono-, di- and </w:t>
      </w:r>
      <w:proofErr w:type="spellStart"/>
      <w:r w:rsidRPr="000B16A0">
        <w:rPr>
          <w:rFonts w:ascii="Times New Roman" w:eastAsia="Times New Roman" w:hAnsi="Times New Roman" w:cs="Times New Roman"/>
          <w:sz w:val="24"/>
          <w:szCs w:val="24"/>
        </w:rPr>
        <w:t>polycarboxylic</w:t>
      </w:r>
      <w:proofErr w:type="spellEnd"/>
      <w:r w:rsidRPr="000B16A0">
        <w:rPr>
          <w:rFonts w:ascii="Times New Roman" w:eastAsia="Times New Roman" w:hAnsi="Times New Roman" w:cs="Times New Roman"/>
          <w:sz w:val="24"/>
          <w:szCs w:val="24"/>
        </w:rPr>
        <w:t xml:space="preserve"> acids, comprising both aliphatic and aromatic acids (Table 1). These acids are detected as their trimethylsilyl esters (Fig. 2a) or methyl esters (Fig. 7). Their relative abundances determined from the GC trace of their trimethylsilyl esters are reported in Figure 3.</w:t>
      </w:r>
    </w:p>
    <w:p w:rsidR="000B16A0" w:rsidRPr="000B16A0" w:rsidRDefault="000B16A0" w:rsidP="000B16A0">
      <w:pPr>
        <w:spacing w:before="100" w:beforeAutospacing="1" w:after="100" w:afterAutospacing="1" w:line="240" w:lineRule="auto"/>
        <w:outlineLvl w:val="1"/>
        <w:rPr>
          <w:rFonts w:ascii="Times New Roman" w:eastAsia="Times New Roman" w:hAnsi="Times New Roman" w:cs="Times New Roman"/>
          <w:b/>
          <w:bCs/>
          <w:sz w:val="36"/>
          <w:szCs w:val="36"/>
        </w:rPr>
      </w:pPr>
      <w:r w:rsidRPr="000B16A0">
        <w:rPr>
          <w:rFonts w:ascii="Times New Roman" w:eastAsia="Times New Roman" w:hAnsi="Times New Roman" w:cs="Times New Roman"/>
          <w:b/>
          <w:bCs/>
          <w:sz w:val="36"/>
          <w:szCs w:val="36"/>
        </w:rPr>
        <w:t>Discussion</w:t>
      </w:r>
    </w:p>
    <w:p w:rsidR="000B16A0" w:rsidRPr="000B16A0" w:rsidRDefault="000B16A0" w:rsidP="000B16A0">
      <w:pPr>
        <w:spacing w:before="100" w:beforeAutospacing="1" w:after="100" w:afterAutospacing="1" w:line="240" w:lineRule="auto"/>
        <w:rPr>
          <w:rFonts w:ascii="Times New Roman" w:eastAsia="Times New Roman" w:hAnsi="Times New Roman" w:cs="Times New Roman"/>
          <w:sz w:val="24"/>
          <w:szCs w:val="24"/>
        </w:rPr>
      </w:pPr>
      <w:r w:rsidRPr="000B16A0">
        <w:rPr>
          <w:rFonts w:ascii="Times New Roman" w:eastAsia="Times New Roman" w:hAnsi="Times New Roman" w:cs="Times New Roman"/>
          <w:sz w:val="24"/>
          <w:szCs w:val="24"/>
        </w:rPr>
        <w:t>The ruthenium tetroxide oxidation is a powerful tool to derive information on the aliphatic part of chondritic IOM. Spectroscopic data (</w:t>
      </w:r>
      <w:proofErr w:type="spellStart"/>
      <w:r w:rsidRPr="000B16A0">
        <w:rPr>
          <w:rFonts w:ascii="Times New Roman" w:eastAsia="Times New Roman" w:hAnsi="Times New Roman" w:cs="Times New Roman"/>
          <w:sz w:val="24"/>
          <w:szCs w:val="24"/>
        </w:rPr>
        <w:t>Gardinier</w:t>
      </w:r>
      <w:proofErr w:type="spellEnd"/>
      <w:r w:rsidRPr="000B16A0">
        <w:rPr>
          <w:rFonts w:ascii="Times New Roman" w:eastAsia="Times New Roman" w:hAnsi="Times New Roman" w:cs="Times New Roman"/>
          <w:sz w:val="24"/>
          <w:szCs w:val="24"/>
        </w:rPr>
        <w:t xml:space="preserve"> et al 2000, Cody and Alexander 2005) show that the chemical structure of </w:t>
      </w:r>
      <w:proofErr w:type="spellStart"/>
      <w:r w:rsidRPr="000B16A0">
        <w:rPr>
          <w:rFonts w:ascii="Times New Roman" w:eastAsia="Times New Roman" w:hAnsi="Times New Roman" w:cs="Times New Roman"/>
          <w:sz w:val="24"/>
          <w:szCs w:val="24"/>
        </w:rPr>
        <w:t>Orgueil</w:t>
      </w:r>
      <w:proofErr w:type="spellEnd"/>
      <w:r w:rsidRPr="000B16A0">
        <w:rPr>
          <w:rFonts w:ascii="Times New Roman" w:eastAsia="Times New Roman" w:hAnsi="Times New Roman" w:cs="Times New Roman"/>
          <w:sz w:val="24"/>
          <w:szCs w:val="24"/>
        </w:rPr>
        <w:t xml:space="preserve"> and Murchison IOM is composed of rather small polyaromatic units cross-linked by small aliphatic chains but did not provide information at the molecular level. Pyrolytic data (</w:t>
      </w:r>
      <w:proofErr w:type="spellStart"/>
      <w:r w:rsidRPr="000B16A0">
        <w:rPr>
          <w:rFonts w:ascii="Times New Roman" w:eastAsia="Times New Roman" w:hAnsi="Times New Roman" w:cs="Times New Roman"/>
          <w:sz w:val="24"/>
          <w:szCs w:val="24"/>
        </w:rPr>
        <w:t>Derenne</w:t>
      </w:r>
      <w:proofErr w:type="spellEnd"/>
      <w:r w:rsidRPr="000B16A0">
        <w:rPr>
          <w:rFonts w:ascii="Times New Roman" w:eastAsia="Times New Roman" w:hAnsi="Times New Roman" w:cs="Times New Roman"/>
          <w:sz w:val="24"/>
          <w:szCs w:val="24"/>
        </w:rPr>
        <w:t xml:space="preserve"> et al 2002, </w:t>
      </w:r>
      <w:proofErr w:type="spellStart"/>
      <w:r w:rsidRPr="000B16A0">
        <w:rPr>
          <w:rFonts w:ascii="Times New Roman" w:eastAsia="Times New Roman" w:hAnsi="Times New Roman" w:cs="Times New Roman"/>
          <w:sz w:val="24"/>
          <w:szCs w:val="24"/>
        </w:rPr>
        <w:t>Sephton</w:t>
      </w:r>
      <w:proofErr w:type="spellEnd"/>
      <w:r w:rsidRPr="000B16A0">
        <w:rPr>
          <w:rFonts w:ascii="Times New Roman" w:eastAsia="Times New Roman" w:hAnsi="Times New Roman" w:cs="Times New Roman"/>
          <w:sz w:val="24"/>
          <w:szCs w:val="24"/>
        </w:rPr>
        <w:t xml:space="preserve"> 2002, </w:t>
      </w:r>
      <w:proofErr w:type="spellStart"/>
      <w:r w:rsidRPr="000B16A0">
        <w:rPr>
          <w:rFonts w:ascii="Times New Roman" w:eastAsia="Times New Roman" w:hAnsi="Times New Roman" w:cs="Times New Roman"/>
          <w:sz w:val="24"/>
          <w:szCs w:val="24"/>
        </w:rPr>
        <w:t>Remusat</w:t>
      </w:r>
      <w:proofErr w:type="spellEnd"/>
      <w:r w:rsidRPr="000B16A0">
        <w:rPr>
          <w:rFonts w:ascii="Times New Roman" w:eastAsia="Times New Roman" w:hAnsi="Times New Roman" w:cs="Times New Roman"/>
          <w:sz w:val="24"/>
          <w:szCs w:val="24"/>
        </w:rPr>
        <w:t xml:space="preserve"> et al 2005) show that sulfur and nitrogen are mainly</w:t>
      </w:r>
    </w:p>
    <w:p w:rsidR="000B16A0" w:rsidRPr="000B16A0" w:rsidRDefault="000B16A0" w:rsidP="000B16A0">
      <w:pPr>
        <w:spacing w:before="100" w:beforeAutospacing="1" w:after="100" w:afterAutospacing="1" w:line="240" w:lineRule="auto"/>
        <w:outlineLvl w:val="1"/>
        <w:rPr>
          <w:rFonts w:ascii="Times New Roman" w:eastAsia="Times New Roman" w:hAnsi="Times New Roman" w:cs="Times New Roman"/>
          <w:b/>
          <w:bCs/>
          <w:sz w:val="36"/>
          <w:szCs w:val="36"/>
        </w:rPr>
      </w:pPr>
      <w:r w:rsidRPr="000B16A0">
        <w:rPr>
          <w:rFonts w:ascii="Times New Roman" w:eastAsia="Times New Roman" w:hAnsi="Times New Roman" w:cs="Times New Roman"/>
          <w:b/>
          <w:bCs/>
          <w:sz w:val="36"/>
          <w:szCs w:val="36"/>
        </w:rPr>
        <w:t>Conclusion</w:t>
      </w:r>
    </w:p>
    <w:p w:rsidR="000B16A0" w:rsidRPr="000B16A0" w:rsidRDefault="000B16A0" w:rsidP="000B16A0">
      <w:pPr>
        <w:spacing w:before="100" w:beforeAutospacing="1" w:after="100" w:afterAutospacing="1" w:line="240" w:lineRule="auto"/>
        <w:rPr>
          <w:rFonts w:ascii="Times New Roman" w:eastAsia="Times New Roman" w:hAnsi="Times New Roman" w:cs="Times New Roman"/>
          <w:sz w:val="24"/>
          <w:szCs w:val="24"/>
        </w:rPr>
      </w:pPr>
      <w:r w:rsidRPr="000B16A0">
        <w:rPr>
          <w:rFonts w:ascii="Times New Roman" w:eastAsia="Times New Roman" w:hAnsi="Times New Roman" w:cs="Times New Roman"/>
          <w:sz w:val="24"/>
          <w:szCs w:val="24"/>
        </w:rPr>
        <w:t xml:space="preserve">The ruthenium tetroxide oxidation of both </w:t>
      </w:r>
      <w:proofErr w:type="spellStart"/>
      <w:r w:rsidRPr="000B16A0">
        <w:rPr>
          <w:rFonts w:ascii="Times New Roman" w:eastAsia="Times New Roman" w:hAnsi="Times New Roman" w:cs="Times New Roman"/>
          <w:sz w:val="24"/>
          <w:szCs w:val="24"/>
        </w:rPr>
        <w:t>Orgueil</w:t>
      </w:r>
      <w:proofErr w:type="spellEnd"/>
      <w:r w:rsidRPr="000B16A0">
        <w:rPr>
          <w:rFonts w:ascii="Times New Roman" w:eastAsia="Times New Roman" w:hAnsi="Times New Roman" w:cs="Times New Roman"/>
          <w:sz w:val="24"/>
          <w:szCs w:val="24"/>
        </w:rPr>
        <w:t xml:space="preserve"> and Murchison IOM allowed us to improve the knowledge of their chemical structure, especially concerning the aliphatic linkages. Chondritic IOMs appear to be quite different from terrestrial organic materials, as oxidation products are characterized by different distributions. The aliphatic chains in chondritic IOM are quite short: less than three carbons for side chains, less than seven carbons for aliphatic bridges between aromatic units.</w:t>
      </w:r>
    </w:p>
    <w:p w:rsidR="000B16A0" w:rsidRPr="000B16A0" w:rsidRDefault="000B16A0" w:rsidP="000B16A0">
      <w:pPr>
        <w:spacing w:before="100" w:beforeAutospacing="1" w:after="100" w:afterAutospacing="1" w:line="240" w:lineRule="auto"/>
        <w:outlineLvl w:val="1"/>
        <w:rPr>
          <w:rFonts w:ascii="Times New Roman" w:eastAsia="Times New Roman" w:hAnsi="Times New Roman" w:cs="Times New Roman"/>
          <w:b/>
          <w:bCs/>
          <w:sz w:val="36"/>
          <w:szCs w:val="36"/>
        </w:rPr>
      </w:pPr>
      <w:r w:rsidRPr="000B16A0">
        <w:rPr>
          <w:rFonts w:ascii="Times New Roman" w:eastAsia="Times New Roman" w:hAnsi="Times New Roman" w:cs="Times New Roman"/>
          <w:b/>
          <w:bCs/>
          <w:sz w:val="36"/>
          <w:szCs w:val="36"/>
        </w:rPr>
        <w:t>Acknowledgments</w:t>
      </w:r>
    </w:p>
    <w:p w:rsidR="000B16A0" w:rsidRPr="000B16A0" w:rsidRDefault="000B16A0" w:rsidP="000B16A0">
      <w:pPr>
        <w:spacing w:before="100" w:beforeAutospacing="1" w:after="100" w:afterAutospacing="1" w:line="240" w:lineRule="auto"/>
        <w:rPr>
          <w:rFonts w:ascii="Times New Roman" w:eastAsia="Times New Roman" w:hAnsi="Times New Roman" w:cs="Times New Roman"/>
          <w:sz w:val="24"/>
          <w:szCs w:val="24"/>
        </w:rPr>
      </w:pPr>
      <w:r w:rsidRPr="000B16A0">
        <w:rPr>
          <w:rFonts w:ascii="Times New Roman" w:eastAsia="Times New Roman" w:hAnsi="Times New Roman" w:cs="Times New Roman"/>
          <w:sz w:val="24"/>
          <w:szCs w:val="24"/>
        </w:rPr>
        <w:t xml:space="preserve">We are grateful to </w:t>
      </w:r>
      <w:proofErr w:type="spellStart"/>
      <w:r w:rsidRPr="000B16A0">
        <w:rPr>
          <w:rFonts w:ascii="Times New Roman" w:eastAsia="Times New Roman" w:hAnsi="Times New Roman" w:cs="Times New Roman"/>
          <w:sz w:val="24"/>
          <w:szCs w:val="24"/>
        </w:rPr>
        <w:t>Béatrice</w:t>
      </w:r>
      <w:proofErr w:type="spellEnd"/>
      <w:r w:rsidRPr="000B16A0">
        <w:rPr>
          <w:rFonts w:ascii="Times New Roman" w:eastAsia="Times New Roman" w:hAnsi="Times New Roman" w:cs="Times New Roman"/>
          <w:sz w:val="24"/>
          <w:szCs w:val="24"/>
        </w:rPr>
        <w:t xml:space="preserve"> Allard (LCBOP, ENSCP, Paris) for her assistance and useful comments throughout this study. We also thank three anonymous reviewers for their constructive comments that improved the quality of the paper.</w:t>
      </w:r>
    </w:p>
    <w:p w:rsidR="00F00307" w:rsidRDefault="00F00307"/>
    <w:sectPr w:rsidR="00F00307">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16A0"/>
    <w:rsid w:val="000B16A0"/>
    <w:rsid w:val="00F003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032B23"/>
  <w15:chartTrackingRefBased/>
  <w15:docId w15:val="{CDB95BC5-0908-4626-A23E-6E23AFC25C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84477900">
      <w:bodyDiv w:val="1"/>
      <w:marLeft w:val="0"/>
      <w:marRight w:val="0"/>
      <w:marTop w:val="0"/>
      <w:marBottom w:val="0"/>
      <w:divBdr>
        <w:top w:val="none" w:sz="0" w:space="0" w:color="auto"/>
        <w:left w:val="none" w:sz="0" w:space="0" w:color="auto"/>
        <w:bottom w:val="none" w:sz="0" w:space="0" w:color="auto"/>
        <w:right w:val="none" w:sz="0" w:space="0" w:color="auto"/>
      </w:divBdr>
      <w:divsChild>
        <w:div w:id="831415095">
          <w:marLeft w:val="0"/>
          <w:marRight w:val="0"/>
          <w:marTop w:val="0"/>
          <w:marBottom w:val="0"/>
          <w:divBdr>
            <w:top w:val="none" w:sz="0" w:space="0" w:color="auto"/>
            <w:left w:val="none" w:sz="0" w:space="0" w:color="auto"/>
            <w:bottom w:val="none" w:sz="0" w:space="0" w:color="auto"/>
            <w:right w:val="none" w:sz="0" w:space="0" w:color="auto"/>
          </w:divBdr>
          <w:divsChild>
            <w:div w:id="1586180734">
              <w:marLeft w:val="0"/>
              <w:marRight w:val="0"/>
              <w:marTop w:val="0"/>
              <w:marBottom w:val="0"/>
              <w:divBdr>
                <w:top w:val="none" w:sz="0" w:space="0" w:color="auto"/>
                <w:left w:val="none" w:sz="0" w:space="0" w:color="auto"/>
                <w:bottom w:val="none" w:sz="0" w:space="0" w:color="auto"/>
                <w:right w:val="none" w:sz="0" w:space="0" w:color="auto"/>
              </w:divBdr>
              <w:divsChild>
                <w:div w:id="693961237">
                  <w:marLeft w:val="0"/>
                  <w:marRight w:val="0"/>
                  <w:marTop w:val="0"/>
                  <w:marBottom w:val="0"/>
                  <w:divBdr>
                    <w:top w:val="none" w:sz="0" w:space="0" w:color="auto"/>
                    <w:left w:val="none" w:sz="0" w:space="0" w:color="auto"/>
                    <w:bottom w:val="none" w:sz="0" w:space="0" w:color="auto"/>
                    <w:right w:val="none" w:sz="0" w:space="0" w:color="auto"/>
                  </w:divBdr>
                  <w:divsChild>
                    <w:div w:id="138157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1766664">
          <w:marLeft w:val="0"/>
          <w:marRight w:val="0"/>
          <w:marTop w:val="0"/>
          <w:marBottom w:val="0"/>
          <w:divBdr>
            <w:top w:val="none" w:sz="0" w:space="0" w:color="auto"/>
            <w:left w:val="none" w:sz="0" w:space="0" w:color="auto"/>
            <w:bottom w:val="none" w:sz="0" w:space="0" w:color="auto"/>
            <w:right w:val="none" w:sz="0" w:space="0" w:color="auto"/>
          </w:divBdr>
          <w:divsChild>
            <w:div w:id="1318799253">
              <w:marLeft w:val="0"/>
              <w:marRight w:val="0"/>
              <w:marTop w:val="0"/>
              <w:marBottom w:val="0"/>
              <w:divBdr>
                <w:top w:val="none" w:sz="0" w:space="0" w:color="auto"/>
                <w:left w:val="none" w:sz="0" w:space="0" w:color="auto"/>
                <w:bottom w:val="none" w:sz="0" w:space="0" w:color="auto"/>
                <w:right w:val="none" w:sz="0" w:space="0" w:color="auto"/>
              </w:divBdr>
              <w:divsChild>
                <w:div w:id="2067290490">
                  <w:marLeft w:val="0"/>
                  <w:marRight w:val="0"/>
                  <w:marTop w:val="0"/>
                  <w:marBottom w:val="0"/>
                  <w:divBdr>
                    <w:top w:val="none" w:sz="0" w:space="0" w:color="auto"/>
                    <w:left w:val="none" w:sz="0" w:space="0" w:color="auto"/>
                    <w:bottom w:val="none" w:sz="0" w:space="0" w:color="auto"/>
                    <w:right w:val="none" w:sz="0" w:space="0" w:color="auto"/>
                  </w:divBdr>
                  <w:divsChild>
                    <w:div w:id="1331834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3567027">
          <w:marLeft w:val="0"/>
          <w:marRight w:val="0"/>
          <w:marTop w:val="0"/>
          <w:marBottom w:val="0"/>
          <w:divBdr>
            <w:top w:val="none" w:sz="0" w:space="0" w:color="auto"/>
            <w:left w:val="none" w:sz="0" w:space="0" w:color="auto"/>
            <w:bottom w:val="none" w:sz="0" w:space="0" w:color="auto"/>
            <w:right w:val="none" w:sz="0" w:space="0" w:color="auto"/>
          </w:divBdr>
          <w:divsChild>
            <w:div w:id="432214787">
              <w:marLeft w:val="0"/>
              <w:marRight w:val="0"/>
              <w:marTop w:val="0"/>
              <w:marBottom w:val="0"/>
              <w:divBdr>
                <w:top w:val="none" w:sz="0" w:space="0" w:color="auto"/>
                <w:left w:val="none" w:sz="0" w:space="0" w:color="auto"/>
                <w:bottom w:val="none" w:sz="0" w:space="0" w:color="auto"/>
                <w:right w:val="none" w:sz="0" w:space="0" w:color="auto"/>
              </w:divBdr>
            </w:div>
          </w:divsChild>
        </w:div>
        <w:div w:id="1741446046">
          <w:marLeft w:val="0"/>
          <w:marRight w:val="0"/>
          <w:marTop w:val="0"/>
          <w:marBottom w:val="0"/>
          <w:divBdr>
            <w:top w:val="none" w:sz="0" w:space="0" w:color="auto"/>
            <w:left w:val="none" w:sz="0" w:space="0" w:color="auto"/>
            <w:bottom w:val="none" w:sz="0" w:space="0" w:color="auto"/>
            <w:right w:val="none" w:sz="0" w:space="0" w:color="auto"/>
          </w:divBdr>
          <w:divsChild>
            <w:div w:id="1533421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doi.org/10.1016/j.gca.2005.05.00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1271</Words>
  <Characters>7251</Characters>
  <Application>Microsoft Office Word</Application>
  <DocSecurity>0</DocSecurity>
  <Lines>60</Lines>
  <Paragraphs>17</Paragraphs>
  <ScaleCrop>false</ScaleCrop>
  <Company/>
  <LinksUpToDate>false</LinksUpToDate>
  <CharactersWithSpaces>8505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2023-11-18T03:34:00Z</dcterms:created>
  <dcterms:modified xsi:type="dcterms:W3CDTF">2023-11-18T03:34:00Z</dcterms:modified>
</cp:coreProperties>
</file>