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96B26" w:rsidRPr="00E96B26" w:rsidRDefault="00E96B26" w:rsidP="00E96B2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96B26">
        <w:rPr>
          <w:rFonts w:ascii="Times New Roman" w:eastAsia="Times New Roman" w:hAnsi="Times New Roman" w:cs="Times New Roman"/>
          <w:b/>
          <w:bCs/>
          <w:kern w:val="36"/>
          <w:sz w:val="48"/>
          <w:szCs w:val="48"/>
        </w:rPr>
        <w:t xml:space="preserve">Surface complexation model for multisite adsorption of </w:t>
      </w:r>
      <w:proofErr w:type="gramStart"/>
      <w:r w:rsidRPr="00E96B26">
        <w:rPr>
          <w:rFonts w:ascii="Times New Roman" w:eastAsia="Times New Roman" w:hAnsi="Times New Roman" w:cs="Times New Roman"/>
          <w:b/>
          <w:bCs/>
          <w:kern w:val="36"/>
          <w:sz w:val="48"/>
          <w:szCs w:val="48"/>
        </w:rPr>
        <w:t>copper(</w:t>
      </w:r>
      <w:proofErr w:type="gramEnd"/>
      <w:r w:rsidRPr="00E96B26">
        <w:rPr>
          <w:rFonts w:ascii="Times New Roman" w:eastAsia="Times New Roman" w:hAnsi="Times New Roman" w:cs="Times New Roman"/>
          <w:b/>
          <w:bCs/>
          <w:kern w:val="36"/>
          <w:sz w:val="48"/>
          <w:szCs w:val="48"/>
        </w:rPr>
        <w:t>II) onto kaolinite</w:t>
      </w:r>
    </w:p>
    <w:p w:rsidR="00E96B26" w:rsidRPr="00E96B26" w:rsidRDefault="00E96B26" w:rsidP="00E96B26">
      <w:pPr>
        <w:spacing w:after="0"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Author links open overlay panel</w:t>
      </w:r>
    </w:p>
    <w:p w:rsidR="00E96B26" w:rsidRPr="00E96B26" w:rsidRDefault="00E96B26" w:rsidP="00E96B26">
      <w:pPr>
        <w:spacing w:after="0"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 </w:t>
      </w:r>
    </w:p>
    <w:p w:rsidR="00E96B26" w:rsidRPr="00E96B26" w:rsidRDefault="00E96B26" w:rsidP="00E96B2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E96B26">
          <w:rPr>
            <w:rFonts w:ascii="Times New Roman" w:eastAsia="Times New Roman" w:hAnsi="Times New Roman" w:cs="Times New Roman"/>
            <w:color w:val="0000FF"/>
            <w:sz w:val="24"/>
            <w:szCs w:val="24"/>
            <w:u w:val="single"/>
          </w:rPr>
          <w:t>https://doi.org/10.1016/j.gca.2004.12.029</w:t>
        </w:r>
      </w:hyperlink>
      <w:bookmarkStart w:id="0" w:name="_GoBack"/>
      <w:bookmarkEnd w:id="0"/>
      <w:r w:rsidRPr="00E96B26">
        <w:rPr>
          <w:rFonts w:ascii="Times New Roman" w:eastAsia="Times New Roman" w:hAnsi="Times New Roman" w:cs="Times New Roman"/>
          <w:sz w:val="24"/>
          <w:szCs w:val="24"/>
        </w:rPr>
        <w:t xml:space="preserve"> </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Abstract</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We measured the adsorption of Cu(II) onto </w:t>
      </w:r>
      <w:hyperlink r:id="rId5" w:tooltip="Learn more about kaolinite from ScienceDirect's AI-generated Topic Pages" w:history="1">
        <w:r w:rsidRPr="00E96B26">
          <w:rPr>
            <w:rFonts w:ascii="Times New Roman" w:eastAsia="Times New Roman" w:hAnsi="Times New Roman" w:cs="Times New Roman"/>
            <w:color w:val="0000FF"/>
            <w:sz w:val="24"/>
            <w:szCs w:val="24"/>
            <w:u w:val="single"/>
          </w:rPr>
          <w:t>kaolinite</w:t>
        </w:r>
      </w:hyperlink>
      <w:r w:rsidRPr="00E96B26">
        <w:rPr>
          <w:rFonts w:ascii="Times New Roman" w:eastAsia="Times New Roman" w:hAnsi="Times New Roman" w:cs="Times New Roman"/>
          <w:sz w:val="24"/>
          <w:szCs w:val="24"/>
        </w:rPr>
        <w:t xml:space="preserve"> from pH 3–7 at constant ionic strength. EXAFS spectra show that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adsorbs as (CuO</w:t>
      </w:r>
      <w:r w:rsidRPr="00E96B26">
        <w:rPr>
          <w:rFonts w:ascii="Times New Roman" w:eastAsia="Times New Roman" w:hAnsi="Times New Roman" w:cs="Times New Roman"/>
          <w:sz w:val="24"/>
          <w:szCs w:val="24"/>
          <w:vertAlign w:val="subscript"/>
        </w:rPr>
        <w:t>4</w:t>
      </w:r>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bscript"/>
        </w:rPr>
        <w:t>n</w:t>
      </w:r>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i/>
          <w:iCs/>
          <w:sz w:val="24"/>
          <w:szCs w:val="24"/>
          <w:vertAlign w:val="superscript"/>
        </w:rPr>
        <w:t>n</w:t>
      </w:r>
      <w:r w:rsidRPr="00E96B26">
        <w:rPr>
          <w:rFonts w:ascii="Times New Roman" w:eastAsia="Times New Roman" w:hAnsi="Times New Roman" w:cs="Times New Roman"/>
          <w:sz w:val="24"/>
          <w:szCs w:val="24"/>
          <w:vertAlign w:val="superscript"/>
        </w:rPr>
        <w:t>−6</w:t>
      </w:r>
      <w:r w:rsidRPr="00E96B26">
        <w:rPr>
          <w:rFonts w:ascii="Times New Roman" w:eastAsia="Times New Roman" w:hAnsi="Times New Roman" w:cs="Times New Roman"/>
          <w:sz w:val="24"/>
          <w:szCs w:val="24"/>
        </w:rPr>
        <w:t xml:space="preserve"> and binuclear (Cu</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w:t>
      </w:r>
      <w:r w:rsidRPr="00E96B26">
        <w:rPr>
          <w:rFonts w:ascii="Times New Roman" w:eastAsia="Times New Roman" w:hAnsi="Times New Roman" w:cs="Times New Roman"/>
          <w:sz w:val="24"/>
          <w:szCs w:val="24"/>
          <w:vertAlign w:val="subscript"/>
        </w:rPr>
        <w:t>6</w:t>
      </w:r>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bscript"/>
        </w:rPr>
        <w:t>n</w:t>
      </w:r>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i/>
          <w:iCs/>
          <w:sz w:val="24"/>
          <w:szCs w:val="24"/>
          <w:vertAlign w:val="superscript"/>
        </w:rPr>
        <w:t>n</w:t>
      </w:r>
      <w:r w:rsidRPr="00E96B26">
        <w:rPr>
          <w:rFonts w:ascii="Times New Roman" w:eastAsia="Times New Roman" w:hAnsi="Times New Roman" w:cs="Times New Roman"/>
          <w:sz w:val="24"/>
          <w:szCs w:val="24"/>
          <w:vertAlign w:val="superscript"/>
        </w:rPr>
        <w:t>−8</w:t>
      </w:r>
      <w:r w:rsidRPr="00E96B26">
        <w:rPr>
          <w:rFonts w:ascii="Times New Roman" w:eastAsia="Times New Roman" w:hAnsi="Times New Roman" w:cs="Times New Roman"/>
          <w:sz w:val="24"/>
          <w:szCs w:val="24"/>
        </w:rPr>
        <w:t xml:space="preserve"> inner-sphere complexes on variable-charge ≡</w:t>
      </w:r>
      <w:proofErr w:type="spellStart"/>
      <w:r w:rsidRPr="00E96B26">
        <w:rPr>
          <w:rFonts w:ascii="Times New Roman" w:eastAsia="Times New Roman" w:hAnsi="Times New Roman" w:cs="Times New Roman"/>
          <w:sz w:val="24"/>
          <w:szCs w:val="24"/>
        </w:rPr>
        <w:t>AlOH</w:t>
      </w:r>
      <w:proofErr w:type="spellEnd"/>
      <w:r w:rsidRPr="00E96B26">
        <w:rPr>
          <w:rFonts w:ascii="Times New Roman" w:eastAsia="Times New Roman" w:hAnsi="Times New Roman" w:cs="Times New Roman"/>
          <w:sz w:val="24"/>
          <w:szCs w:val="24"/>
        </w:rPr>
        <w:t xml:space="preserve"> sites and as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w:t>
      </w:r>
      <w:proofErr w:type="spellStart"/>
      <w:r w:rsidRPr="00E96B26">
        <w:rPr>
          <w:rFonts w:ascii="Times New Roman" w:eastAsia="Times New Roman" w:hAnsi="Times New Roman" w:cs="Times New Roman"/>
          <w:sz w:val="24"/>
          <w:szCs w:val="24"/>
        </w:rPr>
        <w:t>on ion</w:t>
      </w:r>
      <w:proofErr w:type="spellEnd"/>
      <w:r w:rsidRPr="00E96B26">
        <w:rPr>
          <w:rFonts w:ascii="Times New Roman" w:eastAsia="Times New Roman" w:hAnsi="Times New Roman" w:cs="Times New Roman"/>
          <w:sz w:val="24"/>
          <w:szCs w:val="24"/>
        </w:rPr>
        <w:t xml:space="preserve"> exchangeable ≡X--H</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sites. </w:t>
      </w:r>
      <w:hyperlink r:id="rId6" w:tooltip="Learn more about Sorption from ScienceDirect's AI-generated Topic Pages" w:history="1">
        <w:r w:rsidRPr="00E96B26">
          <w:rPr>
            <w:rFonts w:ascii="Times New Roman" w:eastAsia="Times New Roman" w:hAnsi="Times New Roman" w:cs="Times New Roman"/>
            <w:color w:val="0000FF"/>
            <w:sz w:val="24"/>
            <w:szCs w:val="24"/>
            <w:u w:val="single"/>
          </w:rPr>
          <w:t>Sorption</w:t>
        </w:r>
      </w:hyperlink>
      <w:r w:rsidRPr="00E96B26">
        <w:rPr>
          <w:rFonts w:ascii="Times New Roman" w:eastAsia="Times New Roman" w:hAnsi="Times New Roman" w:cs="Times New Roman"/>
          <w:sz w:val="24"/>
          <w:szCs w:val="24"/>
        </w:rPr>
        <w:t xml:space="preserve"> isotherms and EXAFS spectra show that surface precipitates have not formed at least up to pH 6.5. Inner-sphere complexes are bound to the kaolinite surface by corner-sharing with two or three edge-sharing Al(</w:t>
      </w:r>
      <w:proofErr w:type="gramStart"/>
      <w:r w:rsidRPr="00E96B26">
        <w:rPr>
          <w:rFonts w:ascii="Times New Roman" w:eastAsia="Times New Roman" w:hAnsi="Times New Roman" w:cs="Times New Roman"/>
          <w:sz w:val="24"/>
          <w:szCs w:val="24"/>
        </w:rPr>
        <w:t>O,OH</w:t>
      </w:r>
      <w:proofErr w:type="gramEnd"/>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sz w:val="24"/>
          <w:szCs w:val="24"/>
          <w:vertAlign w:val="subscript"/>
        </w:rPr>
        <w:t>6</w:t>
      </w:r>
      <w:r w:rsidRPr="00E96B26">
        <w:rPr>
          <w:rFonts w:ascii="Times New Roman" w:eastAsia="Times New Roman" w:hAnsi="Times New Roman" w:cs="Times New Roman"/>
          <w:sz w:val="24"/>
          <w:szCs w:val="24"/>
        </w:rPr>
        <w:t xml:space="preserve"> </w:t>
      </w:r>
      <w:proofErr w:type="spellStart"/>
      <w:r w:rsidRPr="00E96B26">
        <w:rPr>
          <w:rFonts w:ascii="Times New Roman" w:eastAsia="Times New Roman" w:hAnsi="Times New Roman" w:cs="Times New Roman"/>
          <w:sz w:val="24"/>
          <w:szCs w:val="24"/>
        </w:rPr>
        <w:t>polyhedra</w:t>
      </w:r>
      <w:proofErr w:type="spellEnd"/>
      <w:r w:rsidRPr="00E96B26">
        <w:rPr>
          <w:rFonts w:ascii="Times New Roman" w:eastAsia="Times New Roman" w:hAnsi="Times New Roman" w:cs="Times New Roman"/>
          <w:sz w:val="24"/>
          <w:szCs w:val="24"/>
        </w:rPr>
        <w:t xml:space="preserve">. Our interpretation of the EXAFS data </w:t>
      </w:r>
      <w:proofErr w:type="gramStart"/>
      <w:r w:rsidRPr="00E96B26">
        <w:rPr>
          <w:rFonts w:ascii="Times New Roman" w:eastAsia="Times New Roman" w:hAnsi="Times New Roman" w:cs="Times New Roman"/>
          <w:sz w:val="24"/>
          <w:szCs w:val="24"/>
        </w:rPr>
        <w:t>are</w:t>
      </w:r>
      <w:proofErr w:type="gramEnd"/>
      <w:r w:rsidRPr="00E96B26">
        <w:rPr>
          <w:rFonts w:ascii="Times New Roman" w:eastAsia="Times New Roman" w:hAnsi="Times New Roman" w:cs="Times New Roman"/>
          <w:sz w:val="24"/>
          <w:szCs w:val="24"/>
        </w:rPr>
        <w:t xml:space="preserve"> supported by ab initio (density functional theory) geometries of analog clusters simulating Cu complexes on the {110} and {010} crystal edges and at the ditrigonal cavity sites on the {001}. Having identified the bidentate (≡</w:t>
      </w:r>
      <w:proofErr w:type="spellStart"/>
      <w:r w:rsidRPr="00E96B26">
        <w:rPr>
          <w:rFonts w:ascii="Times New Roman" w:eastAsia="Times New Roman" w:hAnsi="Times New Roman" w:cs="Times New Roman"/>
          <w:sz w:val="24"/>
          <w:szCs w:val="24"/>
        </w:rPr>
        <w:t>AlOH</w:t>
      </w:r>
      <w:proofErr w:type="spellEnd"/>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sz w:val="24"/>
          <w:szCs w:val="24"/>
          <w:vertAlign w:val="subscript"/>
        </w:rPr>
        <w:t>2</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OH)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vertAlign w:val="superscript"/>
        </w:rPr>
        <w:t>0</w:t>
      </w:r>
      <w:r w:rsidRPr="00E96B26">
        <w:rPr>
          <w:rFonts w:ascii="Times New Roman" w:eastAsia="Times New Roman" w:hAnsi="Times New Roman" w:cs="Times New Roman"/>
          <w:sz w:val="24"/>
          <w:szCs w:val="24"/>
        </w:rPr>
        <w:t>, tridentate (≡Al</w:t>
      </w:r>
      <w:r w:rsidRPr="00E96B26">
        <w:rPr>
          <w:rFonts w:ascii="Times New Roman" w:eastAsia="Times New Roman" w:hAnsi="Times New Roman" w:cs="Times New Roman"/>
          <w:sz w:val="24"/>
          <w:szCs w:val="24"/>
          <w:vertAlign w:val="subscript"/>
        </w:rPr>
        <w:t>3</w:t>
      </w:r>
      <w:r w:rsidRPr="00E96B26">
        <w:rPr>
          <w:rFonts w:ascii="Times New Roman" w:eastAsia="Times New Roman" w:hAnsi="Times New Roman" w:cs="Times New Roman"/>
          <w:sz w:val="24"/>
          <w:szCs w:val="24"/>
        </w:rPr>
        <w:t>O(OH)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)Cu</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(OH)</w:t>
      </w:r>
      <w:r w:rsidRPr="00E96B26">
        <w:rPr>
          <w:rFonts w:ascii="Times New Roman" w:eastAsia="Times New Roman" w:hAnsi="Times New Roman" w:cs="Times New Roman"/>
          <w:sz w:val="24"/>
          <w:szCs w:val="24"/>
          <w:vertAlign w:val="subscript"/>
        </w:rPr>
        <w:t>3</w:t>
      </w:r>
      <w:r w:rsidRPr="00E96B26">
        <w:rPr>
          <w:rFonts w:ascii="Times New Roman" w:eastAsia="Times New Roman" w:hAnsi="Times New Roman" w:cs="Times New Roman"/>
          <w:sz w:val="24"/>
          <w:szCs w:val="24"/>
          <w:vertAlign w:val="superscript"/>
        </w:rPr>
        <w:t>0</w:t>
      </w:r>
      <w:r w:rsidRPr="00E96B26">
        <w:rPr>
          <w:rFonts w:ascii="Times New Roman" w:eastAsia="Times New Roman" w:hAnsi="Times New Roman" w:cs="Times New Roman"/>
          <w:sz w:val="24"/>
          <w:szCs w:val="24"/>
        </w:rPr>
        <w:t xml:space="preserve"> and ≡X--Cu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surface complexes, the experimental copper(II) adsorption data can be fit to the reactions </w:t>
      </w:r>
    </w:p>
    <w:p w:rsidR="00E96B26" w:rsidRPr="00E96B26" w:rsidRDefault="00E96B26" w:rsidP="00E96B26">
      <w:pPr>
        <w:spacing w:after="0"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and (A1)</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Introduction</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The aqueous geochemistry of copper can be strongly controlled by sorption onto iron and manganese (</w:t>
      </w:r>
      <w:proofErr w:type="spellStart"/>
      <w:r w:rsidRPr="00E96B26">
        <w:rPr>
          <w:rFonts w:ascii="Times New Roman" w:eastAsia="Times New Roman" w:hAnsi="Times New Roman" w:cs="Times New Roman"/>
          <w:sz w:val="24"/>
          <w:szCs w:val="24"/>
        </w:rPr>
        <w:t>hydr</w:t>
      </w:r>
      <w:proofErr w:type="spellEnd"/>
      <w:r w:rsidRPr="00E96B26">
        <w:rPr>
          <w:rFonts w:ascii="Times New Roman" w:eastAsia="Times New Roman" w:hAnsi="Times New Roman" w:cs="Times New Roman"/>
          <w:sz w:val="24"/>
          <w:szCs w:val="24"/>
        </w:rPr>
        <w:t xml:space="preserve">)oxides and clay minerals. In soils, copper is concentrated into the clay fraction (Le Riche and Weir, 1963) presumably by sorption onto clay and colloidal </w:t>
      </w:r>
      <w:proofErr w:type="spellStart"/>
      <w:r w:rsidRPr="00E96B26">
        <w:rPr>
          <w:rFonts w:ascii="Times New Roman" w:eastAsia="Times New Roman" w:hAnsi="Times New Roman" w:cs="Times New Roman"/>
          <w:sz w:val="24"/>
          <w:szCs w:val="24"/>
        </w:rPr>
        <w:t>FeOOH</w:t>
      </w:r>
      <w:proofErr w:type="spellEnd"/>
      <w:r w:rsidRPr="00E96B26">
        <w:rPr>
          <w:rFonts w:ascii="Times New Roman" w:eastAsia="Times New Roman" w:hAnsi="Times New Roman" w:cs="Times New Roman"/>
          <w:sz w:val="24"/>
          <w:szCs w:val="24"/>
        </w:rPr>
        <w:t xml:space="preserve"> phases. Kaolinite, montmorillonite and </w:t>
      </w:r>
      <w:proofErr w:type="spellStart"/>
      <w:r w:rsidRPr="00E96B26">
        <w:rPr>
          <w:rFonts w:ascii="Times New Roman" w:eastAsia="Times New Roman" w:hAnsi="Times New Roman" w:cs="Times New Roman"/>
          <w:sz w:val="24"/>
          <w:szCs w:val="24"/>
        </w:rPr>
        <w:t>illite</w:t>
      </w:r>
      <w:proofErr w:type="spellEnd"/>
      <w:r w:rsidRPr="00E96B26">
        <w:rPr>
          <w:rFonts w:ascii="Times New Roman" w:eastAsia="Times New Roman" w:hAnsi="Times New Roman" w:cs="Times New Roman"/>
          <w:sz w:val="24"/>
          <w:szCs w:val="24"/>
        </w:rPr>
        <w:t xml:space="preserve"> are the most common clay minerals in soil systems (Du et al., 1997). Whether copper is associated with the phyllosilicate minerals vs. the iron hydroxides is unclear. The copper-kaolinite association and mechanism of retention in altered copper-bearing rocks is also undetermined. In the </w:t>
      </w:r>
      <w:proofErr w:type="spellStart"/>
      <w:r w:rsidRPr="00E96B26">
        <w:rPr>
          <w:rFonts w:ascii="Times New Roman" w:eastAsia="Times New Roman" w:hAnsi="Times New Roman" w:cs="Times New Roman"/>
          <w:sz w:val="24"/>
          <w:szCs w:val="24"/>
        </w:rPr>
        <w:t>Rakha-Chapri</w:t>
      </w:r>
      <w:proofErr w:type="spellEnd"/>
      <w:r w:rsidRPr="00E96B26">
        <w:rPr>
          <w:rFonts w:ascii="Times New Roman" w:eastAsia="Times New Roman" w:hAnsi="Times New Roman" w:cs="Times New Roman"/>
          <w:sz w:val="24"/>
          <w:szCs w:val="24"/>
        </w:rPr>
        <w:t xml:space="preserve"> mining block (</w:t>
      </w:r>
      <w:proofErr w:type="spellStart"/>
      <w:r w:rsidRPr="00E96B26">
        <w:rPr>
          <w:rFonts w:ascii="Times New Roman" w:eastAsia="Times New Roman" w:hAnsi="Times New Roman" w:cs="Times New Roman"/>
          <w:sz w:val="24"/>
          <w:szCs w:val="24"/>
        </w:rPr>
        <w:t>Singhbhum</w:t>
      </w:r>
      <w:proofErr w:type="spellEnd"/>
      <w:r w:rsidRPr="00E96B26">
        <w:rPr>
          <w:rFonts w:ascii="Times New Roman" w:eastAsia="Times New Roman" w:hAnsi="Times New Roman" w:cs="Times New Roman"/>
          <w:sz w:val="24"/>
          <w:szCs w:val="24"/>
        </w:rPr>
        <w:t xml:space="preserve"> copper belt, India) supergene clay alteration products extend down to </w:t>
      </w:r>
      <w:r w:rsidRPr="00E96B26">
        <w:rPr>
          <w:rFonts w:ascii="Cambria Math" w:eastAsia="Times New Roman" w:hAnsi="Cambria Math" w:cs="Cambria Math"/>
          <w:sz w:val="24"/>
          <w:szCs w:val="24"/>
        </w:rPr>
        <w:t>∼</w:t>
      </w:r>
      <w:r w:rsidRPr="00E96B26">
        <w:rPr>
          <w:rFonts w:ascii="Times New Roman" w:eastAsia="Times New Roman" w:hAnsi="Times New Roman" w:cs="Times New Roman"/>
          <w:sz w:val="24"/>
          <w:szCs w:val="24"/>
        </w:rPr>
        <w:t xml:space="preserve">60 m and are comprised predominantly of kaolinite. </w:t>
      </w:r>
      <w:proofErr w:type="spellStart"/>
      <w:r w:rsidRPr="00E96B26">
        <w:rPr>
          <w:rFonts w:ascii="Times New Roman" w:eastAsia="Times New Roman" w:hAnsi="Times New Roman" w:cs="Times New Roman"/>
          <w:sz w:val="24"/>
          <w:szCs w:val="24"/>
        </w:rPr>
        <w:t>Tenginkai</w:t>
      </w:r>
      <w:proofErr w:type="spellEnd"/>
      <w:r w:rsidRPr="00E96B26">
        <w:rPr>
          <w:rFonts w:ascii="Times New Roman" w:eastAsia="Times New Roman" w:hAnsi="Times New Roman" w:cs="Times New Roman"/>
          <w:sz w:val="24"/>
          <w:szCs w:val="24"/>
        </w:rPr>
        <w:t xml:space="preserve"> et al. (1991) reported copper as a component of the kaolinitic clay minerals and suggested association via surface adsorption and/or lattice binding. </w:t>
      </w:r>
      <w:proofErr w:type="spellStart"/>
      <w:r w:rsidRPr="00E96B26">
        <w:rPr>
          <w:rFonts w:ascii="Times New Roman" w:eastAsia="Times New Roman" w:hAnsi="Times New Roman" w:cs="Times New Roman"/>
          <w:sz w:val="24"/>
          <w:szCs w:val="24"/>
        </w:rPr>
        <w:t>Mookherjee</w:t>
      </w:r>
      <w:proofErr w:type="spellEnd"/>
      <w:r w:rsidRPr="00E96B26">
        <w:rPr>
          <w:rFonts w:ascii="Times New Roman" w:eastAsia="Times New Roman" w:hAnsi="Times New Roman" w:cs="Times New Roman"/>
          <w:sz w:val="24"/>
          <w:szCs w:val="24"/>
        </w:rPr>
        <w:t xml:space="preserve"> and </w:t>
      </w:r>
      <w:proofErr w:type="spellStart"/>
      <w:r w:rsidRPr="00E96B26">
        <w:rPr>
          <w:rFonts w:ascii="Times New Roman" w:eastAsia="Times New Roman" w:hAnsi="Times New Roman" w:cs="Times New Roman"/>
          <w:sz w:val="24"/>
          <w:szCs w:val="24"/>
        </w:rPr>
        <w:t>Tenginkai</w:t>
      </w:r>
      <w:proofErr w:type="spellEnd"/>
      <w:r w:rsidRPr="00E96B26">
        <w:rPr>
          <w:rFonts w:ascii="Times New Roman" w:eastAsia="Times New Roman" w:hAnsi="Times New Roman" w:cs="Times New Roman"/>
          <w:sz w:val="24"/>
          <w:szCs w:val="24"/>
        </w:rPr>
        <w:t xml:space="preserve"> (1987) also reported fixation of substantial Cu by supergene clay minerals. The exact mechanism of retention is ambiguous.</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This study presents a surface complexation model for the adsorption of copper on kaolinite that is consistent with spectroscopic data and ab initio calculations. A surface complexation model based on actual surface species will be more reliable when applied to modeling reactive transport of Cu in complex natural systems.</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Kaolinite is a 1:1 aluminosilicate consisting of a tetrahedral silica sheet bonded to an octahedral alumina sheet via the sharing of oxygen atoms between silicon and </w:t>
      </w:r>
      <w:proofErr w:type="spellStart"/>
      <w:r w:rsidRPr="00E96B26">
        <w:rPr>
          <w:rFonts w:ascii="Times New Roman" w:eastAsia="Times New Roman" w:hAnsi="Times New Roman" w:cs="Times New Roman"/>
          <w:sz w:val="24"/>
          <w:szCs w:val="24"/>
        </w:rPr>
        <w:t>aluminium</w:t>
      </w:r>
      <w:proofErr w:type="spellEnd"/>
      <w:r w:rsidRPr="00E96B26">
        <w:rPr>
          <w:rFonts w:ascii="Times New Roman" w:eastAsia="Times New Roman" w:hAnsi="Times New Roman" w:cs="Times New Roman"/>
          <w:sz w:val="24"/>
          <w:szCs w:val="24"/>
        </w:rPr>
        <w:t xml:space="preserve"> atoms in neighboring sheets. Consecutive layers stack by hydrogen bonding and thus there are no interlayer spaces. Isomorphic substitution of Al</w:t>
      </w:r>
      <w:r w:rsidRPr="00E96B26">
        <w:rPr>
          <w:rFonts w:ascii="Times New Roman" w:eastAsia="Times New Roman" w:hAnsi="Times New Roman" w:cs="Times New Roman"/>
          <w:sz w:val="24"/>
          <w:szCs w:val="24"/>
          <w:vertAlign w:val="superscript"/>
        </w:rPr>
        <w:t>3+</w:t>
      </w:r>
      <w:r w:rsidRPr="00E96B26">
        <w:rPr>
          <w:rFonts w:ascii="Times New Roman" w:eastAsia="Times New Roman" w:hAnsi="Times New Roman" w:cs="Times New Roman"/>
          <w:sz w:val="24"/>
          <w:szCs w:val="24"/>
        </w:rPr>
        <w:t xml:space="preserve"> for Si</w:t>
      </w:r>
      <w:r w:rsidRPr="00E96B26">
        <w:rPr>
          <w:rFonts w:ascii="Times New Roman" w:eastAsia="Times New Roman" w:hAnsi="Times New Roman" w:cs="Times New Roman"/>
          <w:sz w:val="24"/>
          <w:szCs w:val="24"/>
          <w:vertAlign w:val="superscript"/>
        </w:rPr>
        <w:t>4+</w:t>
      </w:r>
      <w:r w:rsidRPr="00E96B26">
        <w:rPr>
          <w:rFonts w:ascii="Times New Roman" w:eastAsia="Times New Roman" w:hAnsi="Times New Roman" w:cs="Times New Roman"/>
          <w:sz w:val="24"/>
          <w:szCs w:val="24"/>
        </w:rPr>
        <w:t xml:space="preserve"> in the tetrahedral sheet (e.g., van </w:t>
      </w:r>
      <w:proofErr w:type="spellStart"/>
      <w:r w:rsidRPr="00E96B26">
        <w:rPr>
          <w:rFonts w:ascii="Times New Roman" w:eastAsia="Times New Roman" w:hAnsi="Times New Roman" w:cs="Times New Roman"/>
          <w:sz w:val="24"/>
          <w:szCs w:val="24"/>
        </w:rPr>
        <w:t>Olphen</w:t>
      </w:r>
      <w:proofErr w:type="spellEnd"/>
      <w:r w:rsidRPr="00E96B26">
        <w:rPr>
          <w:rFonts w:ascii="Times New Roman" w:eastAsia="Times New Roman" w:hAnsi="Times New Roman" w:cs="Times New Roman"/>
          <w:sz w:val="24"/>
          <w:szCs w:val="24"/>
        </w:rPr>
        <w:t xml:space="preserve">, 1977) results in a </w:t>
      </w:r>
      <w:r w:rsidRPr="00E96B26">
        <w:rPr>
          <w:rFonts w:ascii="Times New Roman" w:eastAsia="Times New Roman" w:hAnsi="Times New Roman" w:cs="Times New Roman"/>
          <w:sz w:val="24"/>
          <w:szCs w:val="24"/>
        </w:rPr>
        <w:lastRenderedPageBreak/>
        <w:t xml:space="preserve">small fixed negative charge within the siloxane layer, which accounts for the small cation exchange capacity (CEC) of kaolinite (generally &lt;0.02 mol charge/kg in chemically pure kaolinites; </w:t>
      </w:r>
      <w:proofErr w:type="spellStart"/>
      <w:r w:rsidRPr="00E96B26">
        <w:rPr>
          <w:rFonts w:ascii="Times New Roman" w:eastAsia="Times New Roman" w:hAnsi="Times New Roman" w:cs="Times New Roman"/>
          <w:sz w:val="24"/>
          <w:szCs w:val="24"/>
        </w:rPr>
        <w:t>Talibudeen</w:t>
      </w:r>
      <w:proofErr w:type="spellEnd"/>
      <w:r w:rsidRPr="00E96B26">
        <w:rPr>
          <w:rFonts w:ascii="Times New Roman" w:eastAsia="Times New Roman" w:hAnsi="Times New Roman" w:cs="Times New Roman"/>
          <w:sz w:val="24"/>
          <w:szCs w:val="24"/>
        </w:rPr>
        <w:t>, 1981). On the face of the tetrahedral silica sheet, permanent negative charge is located at the ditrigonal siloxane cavities (e.g., Davis and Kent, 1990) and is commonly represented as ≡X</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surface sites. Kaolinite CEC has also been suggested to occur due to the presence of a small amount of aluminosilicate gel coating (Ferris and Jepson, 1975) and/or contamination by small amounts of 2:1 phyllosilicate </w:t>
      </w:r>
      <w:proofErr w:type="gramStart"/>
      <w:r w:rsidRPr="00E96B26">
        <w:rPr>
          <w:rFonts w:ascii="Times New Roman" w:eastAsia="Times New Roman" w:hAnsi="Times New Roman" w:cs="Times New Roman"/>
          <w:sz w:val="24"/>
          <w:szCs w:val="24"/>
        </w:rPr>
        <w:t>minerals</w:t>
      </w:r>
      <w:proofErr w:type="gramEnd"/>
      <w:r w:rsidRPr="00E96B26">
        <w:rPr>
          <w:rFonts w:ascii="Times New Roman" w:eastAsia="Times New Roman" w:hAnsi="Times New Roman" w:cs="Times New Roman"/>
          <w:sz w:val="24"/>
          <w:szCs w:val="24"/>
        </w:rPr>
        <w:t xml:space="preserve"> (e.g., </w:t>
      </w:r>
      <w:proofErr w:type="spellStart"/>
      <w:r w:rsidRPr="00E96B26">
        <w:rPr>
          <w:rFonts w:ascii="Times New Roman" w:eastAsia="Times New Roman" w:hAnsi="Times New Roman" w:cs="Times New Roman"/>
          <w:sz w:val="24"/>
          <w:szCs w:val="24"/>
        </w:rPr>
        <w:t>Bolland</w:t>
      </w:r>
      <w:proofErr w:type="spellEnd"/>
      <w:r w:rsidRPr="00E96B26">
        <w:rPr>
          <w:rFonts w:ascii="Times New Roman" w:eastAsia="Times New Roman" w:hAnsi="Times New Roman" w:cs="Times New Roman"/>
          <w:sz w:val="24"/>
          <w:szCs w:val="24"/>
        </w:rPr>
        <w:t xml:space="preserve"> et al 1976, </w:t>
      </w:r>
      <w:proofErr w:type="spellStart"/>
      <w:r w:rsidRPr="00E96B26">
        <w:rPr>
          <w:rFonts w:ascii="Times New Roman" w:eastAsia="Times New Roman" w:hAnsi="Times New Roman" w:cs="Times New Roman"/>
          <w:sz w:val="24"/>
          <w:szCs w:val="24"/>
        </w:rPr>
        <w:t>Bolland</w:t>
      </w:r>
      <w:proofErr w:type="spellEnd"/>
      <w:r w:rsidRPr="00E96B26">
        <w:rPr>
          <w:rFonts w:ascii="Times New Roman" w:eastAsia="Times New Roman" w:hAnsi="Times New Roman" w:cs="Times New Roman"/>
          <w:sz w:val="24"/>
          <w:szCs w:val="24"/>
        </w:rPr>
        <w:t xml:space="preserve"> et al 1980, Lim et al 1980). In addition to permanent, negatively charged ≡X</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sites, kaolinite has amphoteric, variable-charge ≡SOH sites at the crystal edges and on the octahedral alumina sheet. ≡SOH sites represent silanol ≡</w:t>
      </w:r>
      <w:proofErr w:type="spellStart"/>
      <w:r w:rsidRPr="00E96B26">
        <w:rPr>
          <w:rFonts w:ascii="Times New Roman" w:eastAsia="Times New Roman" w:hAnsi="Times New Roman" w:cs="Times New Roman"/>
          <w:sz w:val="24"/>
          <w:szCs w:val="24"/>
        </w:rPr>
        <w:t>SiO</w:t>
      </w:r>
      <w:proofErr w:type="spellEnd"/>
      <w:r w:rsidRPr="00E96B26">
        <w:rPr>
          <w:rFonts w:ascii="Times New Roman" w:eastAsia="Times New Roman" w:hAnsi="Times New Roman" w:cs="Times New Roman"/>
          <w:sz w:val="24"/>
          <w:szCs w:val="24"/>
        </w:rPr>
        <w:t>(H) sites at the crystal edges (contributing only to the negative charge through the formation of ≡</w:t>
      </w:r>
      <w:proofErr w:type="spellStart"/>
      <w:r w:rsidRPr="00E96B26">
        <w:rPr>
          <w:rFonts w:ascii="Times New Roman" w:eastAsia="Times New Roman" w:hAnsi="Times New Roman" w:cs="Times New Roman"/>
          <w:sz w:val="24"/>
          <w:szCs w:val="24"/>
        </w:rPr>
        <w:t>SiO</w:t>
      </w:r>
      <w:proofErr w:type="spellEnd"/>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and </w:t>
      </w:r>
      <w:proofErr w:type="spellStart"/>
      <w:r w:rsidRPr="00E96B26">
        <w:rPr>
          <w:rFonts w:ascii="Times New Roman" w:eastAsia="Times New Roman" w:hAnsi="Times New Roman" w:cs="Times New Roman"/>
          <w:sz w:val="24"/>
          <w:szCs w:val="24"/>
        </w:rPr>
        <w:t>aluminol</w:t>
      </w:r>
      <w:proofErr w:type="spellEnd"/>
      <w:r w:rsidRPr="00E96B26">
        <w:rPr>
          <w:rFonts w:ascii="Times New Roman" w:eastAsia="Times New Roman" w:hAnsi="Times New Roman" w:cs="Times New Roman"/>
          <w:sz w:val="24"/>
          <w:szCs w:val="24"/>
        </w:rPr>
        <w:t xml:space="preserve"> ≡</w:t>
      </w:r>
      <w:proofErr w:type="spellStart"/>
      <w:r w:rsidRPr="00E96B26">
        <w:rPr>
          <w:rFonts w:ascii="Times New Roman" w:eastAsia="Times New Roman" w:hAnsi="Times New Roman" w:cs="Times New Roman"/>
          <w:sz w:val="24"/>
          <w:szCs w:val="24"/>
        </w:rPr>
        <w:t>AlOH</w:t>
      </w:r>
      <w:proofErr w:type="spellEnd"/>
      <w:r w:rsidRPr="00E96B26">
        <w:rPr>
          <w:rFonts w:ascii="Times New Roman" w:eastAsia="Times New Roman" w:hAnsi="Times New Roman" w:cs="Times New Roman"/>
          <w:sz w:val="24"/>
          <w:szCs w:val="24"/>
        </w:rPr>
        <w:t>(H) sites at the crystal edges and on the octahedral sheet (both protonation and deprotonation can occur to form ≡AlOH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w:t>
      </w:r>
      <w:proofErr w:type="spellStart"/>
      <w:r w:rsidRPr="00E96B26">
        <w:rPr>
          <w:rFonts w:ascii="Times New Roman" w:eastAsia="Times New Roman" w:hAnsi="Times New Roman" w:cs="Times New Roman"/>
          <w:sz w:val="24"/>
          <w:szCs w:val="24"/>
        </w:rPr>
        <w:t>AlOH</w:t>
      </w:r>
      <w:proofErr w:type="spellEnd"/>
      <w:r w:rsidRPr="00E96B26">
        <w:rPr>
          <w:rFonts w:ascii="Times New Roman" w:eastAsia="Times New Roman" w:hAnsi="Times New Roman" w:cs="Times New Roman"/>
          <w:sz w:val="24"/>
          <w:szCs w:val="24"/>
        </w:rPr>
        <w:t>, and ≡</w:t>
      </w:r>
      <w:proofErr w:type="spellStart"/>
      <w:r w:rsidRPr="00E96B26">
        <w:rPr>
          <w:rFonts w:ascii="Times New Roman" w:eastAsia="Times New Roman" w:hAnsi="Times New Roman" w:cs="Times New Roman"/>
          <w:sz w:val="24"/>
          <w:szCs w:val="24"/>
        </w:rPr>
        <w:t>AlO</w:t>
      </w:r>
      <w:proofErr w:type="spellEnd"/>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≡Al</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OH(H) sites also exist at the gibbsite basal plane and contribute to the positive surface charge in the lowest pH regime through the formation of ≡Al</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(Huertas et al., 1998).</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Previous studies examining the interaction between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and kaolinite have tended to focus on either the modeling of adsorption behavior displayed in experimental adsorption edges and isotherms, or direct spectroscopic investigation of the metal-mineral association.</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Two types of modeling approach have been followed: surface complexation modeling (SCM) and a more empiric consideration involving the use of Langmuir or similar equations to describe adsorption data (e.g., Spark et al 1995, </w:t>
      </w:r>
      <w:proofErr w:type="spellStart"/>
      <w:r w:rsidRPr="00E96B26">
        <w:rPr>
          <w:rFonts w:ascii="Times New Roman" w:eastAsia="Times New Roman" w:hAnsi="Times New Roman" w:cs="Times New Roman"/>
          <w:sz w:val="24"/>
          <w:szCs w:val="24"/>
        </w:rPr>
        <w:t>Majone</w:t>
      </w:r>
      <w:proofErr w:type="spellEnd"/>
      <w:r w:rsidRPr="00E96B26">
        <w:rPr>
          <w:rFonts w:ascii="Times New Roman" w:eastAsia="Times New Roman" w:hAnsi="Times New Roman" w:cs="Times New Roman"/>
          <w:sz w:val="24"/>
          <w:szCs w:val="24"/>
        </w:rPr>
        <w:t xml:space="preserve"> et al 1996). Using a SCM framework, the adsorption of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to kaolinite has been successfully described by adsorption onto the variable-charge ≡SOH sites (e.g., Jung et al., 1998). Several authors, however, have noted that adsorption of heavy metals onto various clay minerals occurs in two or more stages: a first sorption process at low pH due to ion exchange with the permanent, negatively charged ≡X</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sites, and a second step at higher pH due to inner-sphere complexation on the variable-charge ≡SOH sites. Schindler et al 1987, Angove et al 1998 and </w:t>
      </w:r>
      <w:proofErr w:type="spellStart"/>
      <w:r w:rsidRPr="00E96B26">
        <w:rPr>
          <w:rFonts w:ascii="Times New Roman" w:eastAsia="Times New Roman" w:hAnsi="Times New Roman" w:cs="Times New Roman"/>
          <w:sz w:val="24"/>
          <w:szCs w:val="24"/>
        </w:rPr>
        <w:t>Ikhsan</w:t>
      </w:r>
      <w:proofErr w:type="spellEnd"/>
      <w:r w:rsidRPr="00E96B26">
        <w:rPr>
          <w:rFonts w:ascii="Times New Roman" w:eastAsia="Times New Roman" w:hAnsi="Times New Roman" w:cs="Times New Roman"/>
          <w:sz w:val="24"/>
          <w:szCs w:val="24"/>
        </w:rPr>
        <w:t xml:space="preserve"> et al. (1999) have successfully modeled the adsorption of Cu(II) to kaolinite by invoking (≡X</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ion exchange complexes at low pH and inner-sphere (≡SO)</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Cu</w:t>
      </w:r>
      <w:r w:rsidRPr="00E96B26">
        <w:rPr>
          <w:rFonts w:ascii="Times New Roman" w:eastAsia="Times New Roman" w:hAnsi="Times New Roman" w:cs="Times New Roman"/>
          <w:sz w:val="24"/>
          <w:szCs w:val="24"/>
          <w:vertAlign w:val="superscript"/>
        </w:rPr>
        <w:t>0</w:t>
      </w:r>
      <w:r w:rsidRPr="00E96B26">
        <w:rPr>
          <w:rFonts w:ascii="Times New Roman" w:eastAsia="Times New Roman" w:hAnsi="Times New Roman" w:cs="Times New Roman"/>
          <w:sz w:val="24"/>
          <w:szCs w:val="24"/>
        </w:rPr>
        <w:t xml:space="preserve"> and/or ≡</w:t>
      </w:r>
      <w:proofErr w:type="spellStart"/>
      <w:r w:rsidRPr="00E96B26">
        <w:rPr>
          <w:rFonts w:ascii="Times New Roman" w:eastAsia="Times New Roman" w:hAnsi="Times New Roman" w:cs="Times New Roman"/>
          <w:sz w:val="24"/>
          <w:szCs w:val="24"/>
        </w:rPr>
        <w:t>SOCu</w:t>
      </w:r>
      <w:proofErr w:type="spellEnd"/>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surface complexes on the variable-charge ≡SOH sites at higher </w:t>
      </w:r>
      <w:proofErr w:type="spellStart"/>
      <w:r w:rsidRPr="00E96B26">
        <w:rPr>
          <w:rFonts w:ascii="Times New Roman" w:eastAsia="Times New Roman" w:hAnsi="Times New Roman" w:cs="Times New Roman"/>
          <w:sz w:val="24"/>
          <w:szCs w:val="24"/>
        </w:rPr>
        <w:t>pH.</w:t>
      </w:r>
      <w:proofErr w:type="spellEnd"/>
      <w:r w:rsidRPr="00E96B26">
        <w:rPr>
          <w:rFonts w:ascii="Times New Roman" w:eastAsia="Times New Roman" w:hAnsi="Times New Roman" w:cs="Times New Roman"/>
          <w:sz w:val="24"/>
          <w:szCs w:val="24"/>
        </w:rPr>
        <w:t xml:space="preserve"> These previous modeling studies, however, invoke outer-sphere ion exchange complexes within the constant capacitance surface complexation model (CCM). The CCM has only one electrostatic plane for adsorption and thus does not technically allow for outer-sphere complexation. Using a SCM approach, </w:t>
      </w:r>
      <w:proofErr w:type="spellStart"/>
      <w:r w:rsidRPr="00E96B26">
        <w:rPr>
          <w:rFonts w:ascii="Times New Roman" w:eastAsia="Times New Roman" w:hAnsi="Times New Roman" w:cs="Times New Roman"/>
          <w:sz w:val="24"/>
          <w:szCs w:val="24"/>
        </w:rPr>
        <w:t>Majone</w:t>
      </w:r>
      <w:proofErr w:type="spellEnd"/>
      <w:r w:rsidRPr="00E96B26">
        <w:rPr>
          <w:rFonts w:ascii="Times New Roman" w:eastAsia="Times New Roman" w:hAnsi="Times New Roman" w:cs="Times New Roman"/>
          <w:sz w:val="24"/>
          <w:szCs w:val="24"/>
        </w:rPr>
        <w:t xml:space="preserve"> et al. (1996) modeled ≡X</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ion exchange complexes.</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There have been few direct spectroscopic investigations of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 xml:space="preserve">II)-kaolinite adsorption. Using electron spin resonance (ESR), McBride 1976, McBride 1978 reported an even distribution of sorption sites over basal planes and crystal edges and planar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w:t>
      </w:r>
      <w:r w:rsidRPr="00E96B26">
        <w:rPr>
          <w:rFonts w:ascii="Times New Roman" w:eastAsia="Times New Roman" w:hAnsi="Times New Roman" w:cs="Times New Roman"/>
          <w:sz w:val="24"/>
          <w:szCs w:val="24"/>
          <w:vertAlign w:val="subscript"/>
        </w:rPr>
        <w:t>4</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complexes aligned parallel to planar kaolinite surfaces. Using EXAFS spectroscopy, the presence of small multinuclear clusters bound by inner-sphere complexation has been reported for the adsorption of </w:t>
      </w:r>
      <w:proofErr w:type="gramStart"/>
      <w:r w:rsidRPr="00E96B26">
        <w:rPr>
          <w:rFonts w:ascii="Times New Roman" w:eastAsia="Times New Roman" w:hAnsi="Times New Roman" w:cs="Times New Roman"/>
          <w:sz w:val="24"/>
          <w:szCs w:val="24"/>
        </w:rPr>
        <w:t>Co(</w:t>
      </w:r>
      <w:proofErr w:type="gramEnd"/>
      <w:r w:rsidRPr="00E96B26">
        <w:rPr>
          <w:rFonts w:ascii="Times New Roman" w:eastAsia="Times New Roman" w:hAnsi="Times New Roman" w:cs="Times New Roman"/>
          <w:sz w:val="24"/>
          <w:szCs w:val="24"/>
        </w:rPr>
        <w:t>II) on kaolinite and SiO</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 xml:space="preserve"> (e.g., </w:t>
      </w:r>
      <w:proofErr w:type="spellStart"/>
      <w:r w:rsidRPr="00E96B26">
        <w:rPr>
          <w:rFonts w:ascii="Times New Roman" w:eastAsia="Times New Roman" w:hAnsi="Times New Roman" w:cs="Times New Roman"/>
          <w:sz w:val="24"/>
          <w:szCs w:val="24"/>
        </w:rPr>
        <w:t>O’Day</w:t>
      </w:r>
      <w:proofErr w:type="spellEnd"/>
      <w:r w:rsidRPr="00E96B26">
        <w:rPr>
          <w:rFonts w:ascii="Times New Roman" w:eastAsia="Times New Roman" w:hAnsi="Times New Roman" w:cs="Times New Roman"/>
          <w:sz w:val="24"/>
          <w:szCs w:val="24"/>
        </w:rPr>
        <w:t xml:space="preserve"> et al 1991, </w:t>
      </w:r>
      <w:proofErr w:type="spellStart"/>
      <w:r w:rsidRPr="00E96B26">
        <w:rPr>
          <w:rFonts w:ascii="Times New Roman" w:eastAsia="Times New Roman" w:hAnsi="Times New Roman" w:cs="Times New Roman"/>
          <w:sz w:val="24"/>
          <w:szCs w:val="24"/>
        </w:rPr>
        <w:t>O’Day</w:t>
      </w:r>
      <w:proofErr w:type="spellEnd"/>
      <w:r w:rsidRPr="00E96B26">
        <w:rPr>
          <w:rFonts w:ascii="Times New Roman" w:eastAsia="Times New Roman" w:hAnsi="Times New Roman" w:cs="Times New Roman"/>
          <w:sz w:val="24"/>
          <w:szCs w:val="24"/>
        </w:rPr>
        <w:t xml:space="preserve"> et al 1994) and for the adsorption of Pb(II) on γ-Al</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w:t>
      </w:r>
      <w:r w:rsidRPr="00E96B26">
        <w:rPr>
          <w:rFonts w:ascii="Times New Roman" w:eastAsia="Times New Roman" w:hAnsi="Times New Roman" w:cs="Times New Roman"/>
          <w:sz w:val="24"/>
          <w:szCs w:val="24"/>
          <w:vertAlign w:val="subscript"/>
        </w:rPr>
        <w:t>3</w:t>
      </w:r>
      <w:r w:rsidRPr="00E96B26">
        <w:rPr>
          <w:rFonts w:ascii="Times New Roman" w:eastAsia="Times New Roman" w:hAnsi="Times New Roman" w:cs="Times New Roman"/>
          <w:sz w:val="24"/>
          <w:szCs w:val="24"/>
        </w:rPr>
        <w:t xml:space="preserve"> (Chisholm-</w:t>
      </w:r>
      <w:proofErr w:type="spellStart"/>
      <w:r w:rsidRPr="00E96B26">
        <w:rPr>
          <w:rFonts w:ascii="Times New Roman" w:eastAsia="Times New Roman" w:hAnsi="Times New Roman" w:cs="Times New Roman"/>
          <w:sz w:val="24"/>
          <w:szCs w:val="24"/>
        </w:rPr>
        <w:t>Brause</w:t>
      </w:r>
      <w:proofErr w:type="spellEnd"/>
      <w:r w:rsidRPr="00E96B26">
        <w:rPr>
          <w:rFonts w:ascii="Times New Roman" w:eastAsia="Times New Roman" w:hAnsi="Times New Roman" w:cs="Times New Roman"/>
          <w:sz w:val="24"/>
          <w:szCs w:val="24"/>
        </w:rPr>
        <w:t xml:space="preserve"> et al., 1990).</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Following our development of a SCM constrained by results from spectroscopy for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 xml:space="preserve">II) adsorption to goethite, hematite and lepidocrocite (Peacock and Sherman, 2004), we fit our kaolinite sorption edge and isotherms based on surface species determined from EXAFS. The interpretation of EXAFS spectra is aided using first-principles (density functional theory) calculations of surface complex geometries. We report the mechanism by which </w:t>
      </w:r>
      <w:proofErr w:type="gramStart"/>
      <w:r w:rsidRPr="00E96B26">
        <w:rPr>
          <w:rFonts w:ascii="Times New Roman" w:eastAsia="Times New Roman" w:hAnsi="Times New Roman" w:cs="Times New Roman"/>
          <w:sz w:val="24"/>
          <w:szCs w:val="24"/>
        </w:rPr>
        <w:t>copper(</w:t>
      </w:r>
      <w:proofErr w:type="gramEnd"/>
      <w:r w:rsidRPr="00E96B26">
        <w:rPr>
          <w:rFonts w:ascii="Times New Roman" w:eastAsia="Times New Roman" w:hAnsi="Times New Roman" w:cs="Times New Roman"/>
          <w:sz w:val="24"/>
          <w:szCs w:val="24"/>
        </w:rPr>
        <w:t>II) sorbs to kaolinite and determine realistic surface complex stability constants that can be used for geochemical modeling.</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lastRenderedPageBreak/>
        <w:t>Section snippets</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Mineral Preparation and Characterization</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Kaolinite from the ECC International Lee Moor China Clay Pit, Cornwall, UK, was used without further treatment. Mineral identity and purity </w:t>
      </w:r>
      <w:proofErr w:type="gramStart"/>
      <w:r w:rsidRPr="00E96B26">
        <w:rPr>
          <w:rFonts w:ascii="Times New Roman" w:eastAsia="Times New Roman" w:hAnsi="Times New Roman" w:cs="Times New Roman"/>
          <w:sz w:val="24"/>
          <w:szCs w:val="24"/>
        </w:rPr>
        <w:t>was</w:t>
      </w:r>
      <w:proofErr w:type="gramEnd"/>
      <w:r w:rsidRPr="00E96B26">
        <w:rPr>
          <w:rFonts w:ascii="Times New Roman" w:eastAsia="Times New Roman" w:hAnsi="Times New Roman" w:cs="Times New Roman"/>
          <w:sz w:val="24"/>
          <w:szCs w:val="24"/>
        </w:rPr>
        <w:t xml:space="preserve"> confirmed by X-ray powder diffraction (XRD) analysis of randomly orientated powder samples. Additional characterization is given by Graveling et al. (1997). Surface area was measured by BET to be 12.2 ± 3 m</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/g. SEM revealed a typical pseudohexagonal-plate crystal morphology, with crystallites typically 1–2 </w:t>
      </w:r>
      <w:proofErr w:type="spellStart"/>
      <w:r w:rsidRPr="00E96B26">
        <w:rPr>
          <w:rFonts w:ascii="Times New Roman" w:eastAsia="Times New Roman" w:hAnsi="Times New Roman" w:cs="Times New Roman"/>
          <w:sz w:val="24"/>
          <w:szCs w:val="24"/>
        </w:rPr>
        <w:t>μm</w:t>
      </w:r>
      <w:proofErr w:type="spellEnd"/>
      <w:r w:rsidRPr="00E96B26">
        <w:rPr>
          <w:rFonts w:ascii="Times New Roman" w:eastAsia="Times New Roman" w:hAnsi="Times New Roman" w:cs="Times New Roman"/>
          <w:sz w:val="24"/>
          <w:szCs w:val="24"/>
        </w:rPr>
        <w:t xml:space="preserve"> diameter. In some cases, the crystal edges</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Aqueous speciation of Cu</w:t>
      </w:r>
      <w:r w:rsidRPr="00E96B26">
        <w:rPr>
          <w:rFonts w:ascii="Times New Roman" w:eastAsia="Times New Roman" w:hAnsi="Times New Roman" w:cs="Times New Roman"/>
          <w:b/>
          <w:bCs/>
          <w:sz w:val="36"/>
          <w:szCs w:val="36"/>
          <w:vertAlign w:val="superscript"/>
        </w:rPr>
        <w:t>2+</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The aqueous speciation of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at 25 ppm [Cu]</w:t>
      </w:r>
      <w:r w:rsidRPr="00E96B26">
        <w:rPr>
          <w:rFonts w:ascii="Times New Roman" w:eastAsia="Times New Roman" w:hAnsi="Times New Roman" w:cs="Times New Roman"/>
          <w:sz w:val="24"/>
          <w:szCs w:val="24"/>
          <w:vertAlign w:val="subscript"/>
        </w:rPr>
        <w:t>total</w:t>
      </w:r>
      <w:r w:rsidRPr="00E96B26">
        <w:rPr>
          <w:rFonts w:ascii="Times New Roman" w:eastAsia="Times New Roman" w:hAnsi="Times New Roman" w:cs="Times New Roman"/>
          <w:sz w:val="24"/>
          <w:szCs w:val="24"/>
        </w:rPr>
        <w:t xml:space="preserve"> (calculated by suppressing the formation of </w:t>
      </w:r>
      <w:proofErr w:type="spellStart"/>
      <w:r w:rsidRPr="00E96B26">
        <w:rPr>
          <w:rFonts w:ascii="Times New Roman" w:eastAsia="Times New Roman" w:hAnsi="Times New Roman" w:cs="Times New Roman"/>
          <w:sz w:val="24"/>
          <w:szCs w:val="24"/>
        </w:rPr>
        <w:t>CuO</w:t>
      </w:r>
      <w:proofErr w:type="spellEnd"/>
      <w:r w:rsidRPr="00E96B26">
        <w:rPr>
          <w:rFonts w:ascii="Times New Roman" w:eastAsia="Times New Roman" w:hAnsi="Times New Roman" w:cs="Times New Roman"/>
          <w:sz w:val="24"/>
          <w:szCs w:val="24"/>
        </w:rPr>
        <w:t xml:space="preserve"> (s)) is shown in Figure 1 as a function of </w:t>
      </w:r>
      <w:proofErr w:type="spellStart"/>
      <w:r w:rsidRPr="00E96B26">
        <w:rPr>
          <w:rFonts w:ascii="Times New Roman" w:eastAsia="Times New Roman" w:hAnsi="Times New Roman" w:cs="Times New Roman"/>
          <w:sz w:val="24"/>
          <w:szCs w:val="24"/>
        </w:rPr>
        <w:t>pH.</w:t>
      </w:r>
      <w:proofErr w:type="spellEnd"/>
      <w:r w:rsidRPr="00E96B26">
        <w:rPr>
          <w:rFonts w:ascii="Times New Roman" w:eastAsia="Times New Roman" w:hAnsi="Times New Roman" w:cs="Times New Roman"/>
          <w:sz w:val="24"/>
          <w:szCs w:val="24"/>
        </w:rPr>
        <w:t xml:space="preserve"> In 0.1 M NaNO</w:t>
      </w:r>
      <w:r w:rsidRPr="00E96B26">
        <w:rPr>
          <w:rFonts w:ascii="Times New Roman" w:eastAsia="Times New Roman" w:hAnsi="Times New Roman" w:cs="Times New Roman"/>
          <w:sz w:val="24"/>
          <w:szCs w:val="24"/>
          <w:vertAlign w:val="subscript"/>
        </w:rPr>
        <w:t>3</w:t>
      </w:r>
      <w:r w:rsidRPr="00E96B26">
        <w:rPr>
          <w:rFonts w:ascii="Times New Roman" w:eastAsia="Times New Roman" w:hAnsi="Times New Roman" w:cs="Times New Roman"/>
          <w:sz w:val="24"/>
          <w:szCs w:val="24"/>
        </w:rPr>
        <w:t xml:space="preserve"> between pH </w:t>
      </w:r>
      <w:r w:rsidRPr="00E96B26">
        <w:rPr>
          <w:rFonts w:ascii="Cambria Math" w:eastAsia="Times New Roman" w:hAnsi="Cambria Math" w:cs="Cambria Math"/>
          <w:sz w:val="24"/>
          <w:szCs w:val="24"/>
        </w:rPr>
        <w:t>∼</w:t>
      </w:r>
      <w:r w:rsidRPr="00E96B26">
        <w:rPr>
          <w:rFonts w:ascii="Times New Roman" w:eastAsia="Times New Roman" w:hAnsi="Times New Roman" w:cs="Times New Roman"/>
          <w:sz w:val="24"/>
          <w:szCs w:val="24"/>
        </w:rPr>
        <w:t xml:space="preserve"> 2–6.6,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occurs predominantly as the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aqueous cation (in agreement with Baes and Mesmer, 1976). Above pH </w:t>
      </w:r>
      <w:r w:rsidRPr="00E96B26">
        <w:rPr>
          <w:rFonts w:ascii="Cambria Math" w:eastAsia="Times New Roman" w:hAnsi="Cambria Math" w:cs="Cambria Math"/>
          <w:sz w:val="24"/>
          <w:szCs w:val="24"/>
        </w:rPr>
        <w:t>∼</w:t>
      </w:r>
      <w:r w:rsidRPr="00E96B26">
        <w:rPr>
          <w:rFonts w:ascii="Times New Roman" w:eastAsia="Times New Roman" w:hAnsi="Times New Roman" w:cs="Times New Roman"/>
          <w:sz w:val="24"/>
          <w:szCs w:val="24"/>
        </w:rPr>
        <w:t xml:space="preserve"> 6.6,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OH)</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 xml:space="preserve"> (s) limits the concentration of aqueous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and is the major form of Cu(II) present in the system.</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Adsorption pH edge data</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At 25 ppm [Cu]</w:t>
      </w:r>
      <w:r w:rsidRPr="00E96B26">
        <w:rPr>
          <w:rFonts w:ascii="Times New Roman" w:eastAsia="Times New Roman" w:hAnsi="Times New Roman" w:cs="Times New Roman"/>
          <w:sz w:val="24"/>
          <w:szCs w:val="24"/>
          <w:vertAlign w:val="subscript"/>
        </w:rPr>
        <w:t>total</w:t>
      </w:r>
      <w:r w:rsidRPr="00E96B26">
        <w:rPr>
          <w:rFonts w:ascii="Times New Roman" w:eastAsia="Times New Roman" w:hAnsi="Times New Roman" w:cs="Times New Roman"/>
          <w:sz w:val="24"/>
          <w:szCs w:val="24"/>
        </w:rPr>
        <w:t xml:space="preserve"> and between pH </w:t>
      </w:r>
      <w:r w:rsidRPr="00E96B26">
        <w:rPr>
          <w:rFonts w:ascii="Cambria Math" w:eastAsia="Times New Roman" w:hAnsi="Cambria Math" w:cs="Cambria Math"/>
          <w:sz w:val="24"/>
          <w:szCs w:val="24"/>
        </w:rPr>
        <w:t>∼</w:t>
      </w:r>
      <w:r w:rsidRPr="00E96B26">
        <w:rPr>
          <w:rFonts w:ascii="Times New Roman" w:eastAsia="Times New Roman" w:hAnsi="Times New Roman" w:cs="Times New Roman"/>
          <w:sz w:val="24"/>
          <w:szCs w:val="24"/>
        </w:rPr>
        <w:t xml:space="preserve"> 2–6.6,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likely sorbs as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w:t>
      </w:r>
      <w:proofErr w:type="spellStart"/>
      <w:r w:rsidRPr="00E96B26">
        <w:rPr>
          <w:rFonts w:ascii="Times New Roman" w:eastAsia="Times New Roman" w:hAnsi="Times New Roman" w:cs="Times New Roman"/>
          <w:sz w:val="24"/>
          <w:szCs w:val="24"/>
        </w:rPr>
        <w:t>aq</w:t>
      </w:r>
      <w:proofErr w:type="spellEnd"/>
      <w:r w:rsidRPr="00E96B26">
        <w:rPr>
          <w:rFonts w:ascii="Times New Roman" w:eastAsia="Times New Roman" w:hAnsi="Times New Roman" w:cs="Times New Roman"/>
          <w:sz w:val="24"/>
          <w:szCs w:val="24"/>
        </w:rPr>
        <w:t>) and we find a</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Conclusions</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We measured the adsorption of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 xml:space="preserve">II) onto kaolinite from pH 3–7 at constant ionic strength. EXAFS spectra show that </w:t>
      </w:r>
      <w:proofErr w:type="gramStart"/>
      <w:r w:rsidRPr="00E96B26">
        <w:rPr>
          <w:rFonts w:ascii="Times New Roman" w:eastAsia="Times New Roman" w:hAnsi="Times New Roman" w:cs="Times New Roman"/>
          <w:sz w:val="24"/>
          <w:szCs w:val="24"/>
        </w:rPr>
        <w:t>Cu(</w:t>
      </w:r>
      <w:proofErr w:type="gramEnd"/>
      <w:r w:rsidRPr="00E96B26">
        <w:rPr>
          <w:rFonts w:ascii="Times New Roman" w:eastAsia="Times New Roman" w:hAnsi="Times New Roman" w:cs="Times New Roman"/>
          <w:sz w:val="24"/>
          <w:szCs w:val="24"/>
        </w:rPr>
        <w:t>II) adsorbs as (CuO</w:t>
      </w:r>
      <w:r w:rsidRPr="00E96B26">
        <w:rPr>
          <w:rFonts w:ascii="Times New Roman" w:eastAsia="Times New Roman" w:hAnsi="Times New Roman" w:cs="Times New Roman"/>
          <w:sz w:val="24"/>
          <w:szCs w:val="24"/>
          <w:vertAlign w:val="subscript"/>
        </w:rPr>
        <w:t>4</w:t>
      </w:r>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bscript"/>
        </w:rPr>
        <w:t>n</w:t>
      </w:r>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i/>
          <w:iCs/>
          <w:sz w:val="24"/>
          <w:szCs w:val="24"/>
          <w:vertAlign w:val="superscript"/>
        </w:rPr>
        <w:t>n</w:t>
      </w:r>
      <w:r w:rsidRPr="00E96B26">
        <w:rPr>
          <w:rFonts w:ascii="Times New Roman" w:eastAsia="Times New Roman" w:hAnsi="Times New Roman" w:cs="Times New Roman"/>
          <w:sz w:val="24"/>
          <w:szCs w:val="24"/>
          <w:vertAlign w:val="superscript"/>
        </w:rPr>
        <w:t>−6</w:t>
      </w:r>
      <w:r w:rsidRPr="00E96B26">
        <w:rPr>
          <w:rFonts w:ascii="Times New Roman" w:eastAsia="Times New Roman" w:hAnsi="Times New Roman" w:cs="Times New Roman"/>
          <w:sz w:val="24"/>
          <w:szCs w:val="24"/>
        </w:rPr>
        <w:t xml:space="preserve"> and binuclear (Cu</w:t>
      </w:r>
      <w:r w:rsidRPr="00E96B26">
        <w:rPr>
          <w:rFonts w:ascii="Times New Roman" w:eastAsia="Times New Roman" w:hAnsi="Times New Roman" w:cs="Times New Roman"/>
          <w:sz w:val="24"/>
          <w:szCs w:val="24"/>
          <w:vertAlign w:val="subscript"/>
        </w:rPr>
        <w:t>2</w:t>
      </w:r>
      <w:r w:rsidRPr="00E96B26">
        <w:rPr>
          <w:rFonts w:ascii="Times New Roman" w:eastAsia="Times New Roman" w:hAnsi="Times New Roman" w:cs="Times New Roman"/>
          <w:sz w:val="24"/>
          <w:szCs w:val="24"/>
        </w:rPr>
        <w:t>O</w:t>
      </w:r>
      <w:r w:rsidRPr="00E96B26">
        <w:rPr>
          <w:rFonts w:ascii="Times New Roman" w:eastAsia="Times New Roman" w:hAnsi="Times New Roman" w:cs="Times New Roman"/>
          <w:sz w:val="24"/>
          <w:szCs w:val="24"/>
          <w:vertAlign w:val="subscript"/>
        </w:rPr>
        <w:t>6</w:t>
      </w:r>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bscript"/>
        </w:rPr>
        <w:t>n</w:t>
      </w:r>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i/>
          <w:iCs/>
          <w:sz w:val="24"/>
          <w:szCs w:val="24"/>
          <w:vertAlign w:val="superscript"/>
        </w:rPr>
        <w:t>n</w:t>
      </w:r>
      <w:r w:rsidRPr="00E96B26">
        <w:rPr>
          <w:rFonts w:ascii="Times New Roman" w:eastAsia="Times New Roman" w:hAnsi="Times New Roman" w:cs="Times New Roman"/>
          <w:sz w:val="24"/>
          <w:szCs w:val="24"/>
          <w:vertAlign w:val="superscript"/>
        </w:rPr>
        <w:t>−8</w:t>
      </w:r>
      <w:r w:rsidRPr="00E96B26">
        <w:rPr>
          <w:rFonts w:ascii="Times New Roman" w:eastAsia="Times New Roman" w:hAnsi="Times New Roman" w:cs="Times New Roman"/>
          <w:sz w:val="24"/>
          <w:szCs w:val="24"/>
        </w:rPr>
        <w:t xml:space="preserve"> inner-sphere complexes on variable-charge ≡</w:t>
      </w:r>
      <w:proofErr w:type="spellStart"/>
      <w:r w:rsidRPr="00E96B26">
        <w:rPr>
          <w:rFonts w:ascii="Times New Roman" w:eastAsia="Times New Roman" w:hAnsi="Times New Roman" w:cs="Times New Roman"/>
          <w:sz w:val="24"/>
          <w:szCs w:val="24"/>
        </w:rPr>
        <w:t>AlOH</w:t>
      </w:r>
      <w:proofErr w:type="spellEnd"/>
      <w:r w:rsidRPr="00E96B26">
        <w:rPr>
          <w:rFonts w:ascii="Times New Roman" w:eastAsia="Times New Roman" w:hAnsi="Times New Roman" w:cs="Times New Roman"/>
          <w:sz w:val="24"/>
          <w:szCs w:val="24"/>
        </w:rPr>
        <w:t xml:space="preserve"> sites and as Cu</w:t>
      </w:r>
      <w:r w:rsidRPr="00E96B26">
        <w:rPr>
          <w:rFonts w:ascii="Times New Roman" w:eastAsia="Times New Roman" w:hAnsi="Times New Roman" w:cs="Times New Roman"/>
          <w:sz w:val="24"/>
          <w:szCs w:val="24"/>
          <w:vertAlign w:val="superscript"/>
        </w:rPr>
        <w:t>2+</w:t>
      </w:r>
      <w:r w:rsidRPr="00E96B26">
        <w:rPr>
          <w:rFonts w:ascii="Times New Roman" w:eastAsia="Times New Roman" w:hAnsi="Times New Roman" w:cs="Times New Roman"/>
          <w:sz w:val="24"/>
          <w:szCs w:val="24"/>
        </w:rPr>
        <w:t xml:space="preserve"> </w:t>
      </w:r>
      <w:proofErr w:type="spellStart"/>
      <w:r w:rsidRPr="00E96B26">
        <w:rPr>
          <w:rFonts w:ascii="Times New Roman" w:eastAsia="Times New Roman" w:hAnsi="Times New Roman" w:cs="Times New Roman"/>
          <w:sz w:val="24"/>
          <w:szCs w:val="24"/>
        </w:rPr>
        <w:t>on ion</w:t>
      </w:r>
      <w:proofErr w:type="spellEnd"/>
      <w:r w:rsidRPr="00E96B26">
        <w:rPr>
          <w:rFonts w:ascii="Times New Roman" w:eastAsia="Times New Roman" w:hAnsi="Times New Roman" w:cs="Times New Roman"/>
          <w:sz w:val="24"/>
          <w:szCs w:val="24"/>
        </w:rPr>
        <w:t xml:space="preserve"> exchangeable ≡X</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--H</w:t>
      </w:r>
      <w:r w:rsidRPr="00E96B26">
        <w:rPr>
          <w:rFonts w:ascii="Times New Roman" w:eastAsia="Times New Roman" w:hAnsi="Times New Roman" w:cs="Times New Roman"/>
          <w:sz w:val="24"/>
          <w:szCs w:val="24"/>
          <w:vertAlign w:val="superscript"/>
        </w:rPr>
        <w:t>+</w:t>
      </w:r>
      <w:r w:rsidRPr="00E96B26">
        <w:rPr>
          <w:rFonts w:ascii="Times New Roman" w:eastAsia="Times New Roman" w:hAnsi="Times New Roman" w:cs="Times New Roman"/>
          <w:sz w:val="24"/>
          <w:szCs w:val="24"/>
        </w:rPr>
        <w:t xml:space="preserve"> sites. Sorption isotherms and EXAFS spectra show that surface precipitates have not formed at least up to pH 6.5. Inner-sphere complexes are bound to the kaolinite surface by corner-sharing with two or three edge-sharing Al(</w:t>
      </w:r>
      <w:proofErr w:type="gramStart"/>
      <w:r w:rsidRPr="00E96B26">
        <w:rPr>
          <w:rFonts w:ascii="Times New Roman" w:eastAsia="Times New Roman" w:hAnsi="Times New Roman" w:cs="Times New Roman"/>
          <w:sz w:val="24"/>
          <w:szCs w:val="24"/>
        </w:rPr>
        <w:t>O,OH</w:t>
      </w:r>
      <w:proofErr w:type="gramEnd"/>
      <w:r w:rsidRPr="00E96B26">
        <w:rPr>
          <w:rFonts w:ascii="Times New Roman" w:eastAsia="Times New Roman" w:hAnsi="Times New Roman" w:cs="Times New Roman"/>
          <w:sz w:val="24"/>
          <w:szCs w:val="24"/>
        </w:rPr>
        <w:t>)</w:t>
      </w:r>
      <w:r w:rsidRPr="00E96B26">
        <w:rPr>
          <w:rFonts w:ascii="Times New Roman" w:eastAsia="Times New Roman" w:hAnsi="Times New Roman" w:cs="Times New Roman"/>
          <w:sz w:val="24"/>
          <w:szCs w:val="24"/>
          <w:vertAlign w:val="subscript"/>
        </w:rPr>
        <w:t>6</w:t>
      </w:r>
    </w:p>
    <w:p w:rsidR="00E96B26" w:rsidRPr="00E96B26" w:rsidRDefault="00E96B26" w:rsidP="00E96B26">
      <w:pPr>
        <w:spacing w:before="100" w:beforeAutospacing="1" w:after="100" w:afterAutospacing="1" w:line="240" w:lineRule="auto"/>
        <w:outlineLvl w:val="1"/>
        <w:rPr>
          <w:rFonts w:ascii="Times New Roman" w:eastAsia="Times New Roman" w:hAnsi="Times New Roman" w:cs="Times New Roman"/>
          <w:b/>
          <w:bCs/>
          <w:sz w:val="36"/>
          <w:szCs w:val="36"/>
        </w:rPr>
      </w:pPr>
      <w:r w:rsidRPr="00E96B26">
        <w:rPr>
          <w:rFonts w:ascii="Times New Roman" w:eastAsia="Times New Roman" w:hAnsi="Times New Roman" w:cs="Times New Roman"/>
          <w:b/>
          <w:bCs/>
          <w:sz w:val="36"/>
          <w:szCs w:val="36"/>
        </w:rPr>
        <w:t>Acknowledgments</w:t>
      </w:r>
    </w:p>
    <w:p w:rsidR="00E96B26" w:rsidRPr="00E96B26" w:rsidRDefault="00E96B26" w:rsidP="00E96B26">
      <w:pPr>
        <w:spacing w:before="100" w:beforeAutospacing="1" w:after="100" w:afterAutospacing="1" w:line="240" w:lineRule="auto"/>
        <w:rPr>
          <w:rFonts w:ascii="Times New Roman" w:eastAsia="Times New Roman" w:hAnsi="Times New Roman" w:cs="Times New Roman"/>
          <w:sz w:val="24"/>
          <w:szCs w:val="24"/>
        </w:rPr>
      </w:pPr>
      <w:r w:rsidRPr="00E96B26">
        <w:rPr>
          <w:rFonts w:ascii="Times New Roman" w:eastAsia="Times New Roman" w:hAnsi="Times New Roman" w:cs="Times New Roman"/>
          <w:sz w:val="24"/>
          <w:szCs w:val="24"/>
        </w:rPr>
        <w:t xml:space="preserve">Thanks are due to P. Chung Choi for assistance with ICP-AES analysis, Paul Moir-riche and Chris Corrigan at Daresbury Materials Support Laboratory for XRD, and Bob </w:t>
      </w:r>
      <w:proofErr w:type="spellStart"/>
      <w:r w:rsidRPr="00E96B26">
        <w:rPr>
          <w:rFonts w:ascii="Times New Roman" w:eastAsia="Times New Roman" w:hAnsi="Times New Roman" w:cs="Times New Roman"/>
          <w:sz w:val="24"/>
          <w:szCs w:val="24"/>
        </w:rPr>
        <w:t>Billsborrow</w:t>
      </w:r>
      <w:proofErr w:type="spellEnd"/>
      <w:r w:rsidRPr="00E96B26">
        <w:rPr>
          <w:rFonts w:ascii="Times New Roman" w:eastAsia="Times New Roman" w:hAnsi="Times New Roman" w:cs="Times New Roman"/>
          <w:sz w:val="24"/>
          <w:szCs w:val="24"/>
        </w:rPr>
        <w:t xml:space="preserve"> at Daresbury Laboratory for support at Station 16.5. CLP was supported by a NERC studentship.</w:t>
      </w:r>
    </w:p>
    <w:p w:rsidR="00FC1814" w:rsidRDefault="00FC1814"/>
    <w:sectPr w:rsidR="00FC181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B26"/>
    <w:rsid w:val="00E96B26"/>
    <w:rsid w:val="00FC18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DCD43"/>
  <w15:chartTrackingRefBased/>
  <w15:docId w15:val="{2FF9F59F-B169-4C25-BDF0-34B7D98EC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9637049">
      <w:bodyDiv w:val="1"/>
      <w:marLeft w:val="0"/>
      <w:marRight w:val="0"/>
      <w:marTop w:val="0"/>
      <w:marBottom w:val="0"/>
      <w:divBdr>
        <w:top w:val="none" w:sz="0" w:space="0" w:color="auto"/>
        <w:left w:val="none" w:sz="0" w:space="0" w:color="auto"/>
        <w:bottom w:val="none" w:sz="0" w:space="0" w:color="auto"/>
        <w:right w:val="none" w:sz="0" w:space="0" w:color="auto"/>
      </w:divBdr>
      <w:divsChild>
        <w:div w:id="1301882249">
          <w:marLeft w:val="0"/>
          <w:marRight w:val="0"/>
          <w:marTop w:val="0"/>
          <w:marBottom w:val="0"/>
          <w:divBdr>
            <w:top w:val="none" w:sz="0" w:space="0" w:color="auto"/>
            <w:left w:val="none" w:sz="0" w:space="0" w:color="auto"/>
            <w:bottom w:val="none" w:sz="0" w:space="0" w:color="auto"/>
            <w:right w:val="none" w:sz="0" w:space="0" w:color="auto"/>
          </w:divBdr>
          <w:divsChild>
            <w:div w:id="317880557">
              <w:marLeft w:val="0"/>
              <w:marRight w:val="0"/>
              <w:marTop w:val="0"/>
              <w:marBottom w:val="0"/>
              <w:divBdr>
                <w:top w:val="none" w:sz="0" w:space="0" w:color="auto"/>
                <w:left w:val="none" w:sz="0" w:space="0" w:color="auto"/>
                <w:bottom w:val="none" w:sz="0" w:space="0" w:color="auto"/>
                <w:right w:val="none" w:sz="0" w:space="0" w:color="auto"/>
              </w:divBdr>
              <w:divsChild>
                <w:div w:id="775828444">
                  <w:marLeft w:val="0"/>
                  <w:marRight w:val="0"/>
                  <w:marTop w:val="0"/>
                  <w:marBottom w:val="0"/>
                  <w:divBdr>
                    <w:top w:val="none" w:sz="0" w:space="0" w:color="auto"/>
                    <w:left w:val="none" w:sz="0" w:space="0" w:color="auto"/>
                    <w:bottom w:val="none" w:sz="0" w:space="0" w:color="auto"/>
                    <w:right w:val="none" w:sz="0" w:space="0" w:color="auto"/>
                  </w:divBdr>
                  <w:divsChild>
                    <w:div w:id="40916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238895">
          <w:marLeft w:val="0"/>
          <w:marRight w:val="0"/>
          <w:marTop w:val="0"/>
          <w:marBottom w:val="0"/>
          <w:divBdr>
            <w:top w:val="none" w:sz="0" w:space="0" w:color="auto"/>
            <w:left w:val="none" w:sz="0" w:space="0" w:color="auto"/>
            <w:bottom w:val="none" w:sz="0" w:space="0" w:color="auto"/>
            <w:right w:val="none" w:sz="0" w:space="0" w:color="auto"/>
          </w:divBdr>
          <w:divsChild>
            <w:div w:id="522285122">
              <w:marLeft w:val="0"/>
              <w:marRight w:val="0"/>
              <w:marTop w:val="0"/>
              <w:marBottom w:val="0"/>
              <w:divBdr>
                <w:top w:val="none" w:sz="0" w:space="0" w:color="auto"/>
                <w:left w:val="none" w:sz="0" w:space="0" w:color="auto"/>
                <w:bottom w:val="none" w:sz="0" w:space="0" w:color="auto"/>
                <w:right w:val="none" w:sz="0" w:space="0" w:color="auto"/>
              </w:divBdr>
              <w:divsChild>
                <w:div w:id="1176651238">
                  <w:marLeft w:val="0"/>
                  <w:marRight w:val="0"/>
                  <w:marTop w:val="0"/>
                  <w:marBottom w:val="0"/>
                  <w:divBdr>
                    <w:top w:val="none" w:sz="0" w:space="0" w:color="auto"/>
                    <w:left w:val="none" w:sz="0" w:space="0" w:color="auto"/>
                    <w:bottom w:val="none" w:sz="0" w:space="0" w:color="auto"/>
                    <w:right w:val="none" w:sz="0" w:space="0" w:color="auto"/>
                  </w:divBdr>
                  <w:divsChild>
                    <w:div w:id="38240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011384">
          <w:marLeft w:val="0"/>
          <w:marRight w:val="0"/>
          <w:marTop w:val="0"/>
          <w:marBottom w:val="0"/>
          <w:divBdr>
            <w:top w:val="none" w:sz="0" w:space="0" w:color="auto"/>
            <w:left w:val="none" w:sz="0" w:space="0" w:color="auto"/>
            <w:bottom w:val="none" w:sz="0" w:space="0" w:color="auto"/>
            <w:right w:val="none" w:sz="0" w:space="0" w:color="auto"/>
          </w:divBdr>
          <w:divsChild>
            <w:div w:id="597442444">
              <w:marLeft w:val="0"/>
              <w:marRight w:val="0"/>
              <w:marTop w:val="0"/>
              <w:marBottom w:val="0"/>
              <w:divBdr>
                <w:top w:val="none" w:sz="0" w:space="0" w:color="auto"/>
                <w:left w:val="none" w:sz="0" w:space="0" w:color="auto"/>
                <w:bottom w:val="none" w:sz="0" w:space="0" w:color="auto"/>
                <w:right w:val="none" w:sz="0" w:space="0" w:color="auto"/>
              </w:divBdr>
            </w:div>
          </w:divsChild>
        </w:div>
        <w:div w:id="1189369557">
          <w:marLeft w:val="0"/>
          <w:marRight w:val="0"/>
          <w:marTop w:val="0"/>
          <w:marBottom w:val="0"/>
          <w:divBdr>
            <w:top w:val="none" w:sz="0" w:space="0" w:color="auto"/>
            <w:left w:val="none" w:sz="0" w:space="0" w:color="auto"/>
            <w:bottom w:val="none" w:sz="0" w:space="0" w:color="auto"/>
            <w:right w:val="none" w:sz="0" w:space="0" w:color="auto"/>
          </w:divBdr>
          <w:divsChild>
            <w:div w:id="89019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orption" TargetMode="External"/><Relationship Id="rId5" Type="http://schemas.openxmlformats.org/officeDocument/2006/relationships/hyperlink" Target="https://www.sciencedirect.com/topics/earth-and-planetary-sciences/kaolinite" TargetMode="External"/><Relationship Id="rId4" Type="http://schemas.openxmlformats.org/officeDocument/2006/relationships/hyperlink" Target="https://doi.org/10.1016/j.gca.2004.12.0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1408</Words>
  <Characters>8026</Characters>
  <Application>Microsoft Office Word</Application>
  <DocSecurity>0</DocSecurity>
  <Lines>66</Lines>
  <Paragraphs>18</Paragraphs>
  <ScaleCrop>false</ScaleCrop>
  <Company/>
  <LinksUpToDate>false</LinksUpToDate>
  <CharactersWithSpaces>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2023-11-18T04:31:00Z</dcterms:created>
  <dcterms:modified xsi:type="dcterms:W3CDTF">2023-11-18T04:31:00Z</dcterms:modified>
</cp:coreProperties>
</file>