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661B0" w:rsidRPr="00A661B0" w:rsidRDefault="00A661B0" w:rsidP="00A661B0">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A661B0">
        <w:rPr>
          <w:rFonts w:ascii="Times New Roman" w:eastAsia="Times New Roman" w:hAnsi="Times New Roman" w:cs="Times New Roman"/>
          <w:b/>
          <w:bCs/>
          <w:kern w:val="36"/>
          <w:sz w:val="48"/>
          <w:szCs w:val="48"/>
          <w:lang w:val="en-US" w:eastAsia="ru-RU"/>
        </w:rPr>
        <w:t>Geochemical and petrological evidence for Tertiary terrestrial and Cretaceous marine potential petroleum source rocks in the western Kamchatka coastal margin, Russia</w:t>
      </w:r>
    </w:p>
    <w:p w:rsidR="00A661B0" w:rsidRPr="00A661B0" w:rsidRDefault="00A661B0" w:rsidP="00A661B0">
      <w:pPr>
        <w:spacing w:after="0" w:line="240" w:lineRule="auto"/>
        <w:rPr>
          <w:rFonts w:ascii="Times New Roman" w:eastAsia="Times New Roman" w:hAnsi="Times New Roman" w:cs="Times New Roman"/>
          <w:sz w:val="24"/>
          <w:szCs w:val="24"/>
          <w:lang w:val="en-US" w:eastAsia="ru-RU"/>
        </w:rPr>
      </w:pPr>
      <w:r w:rsidRPr="00A661B0">
        <w:rPr>
          <w:rFonts w:ascii="Times New Roman" w:eastAsia="Times New Roman" w:hAnsi="Times New Roman" w:cs="Times New Roman"/>
          <w:sz w:val="24"/>
          <w:szCs w:val="24"/>
          <w:lang w:val="en-US" w:eastAsia="ru-RU"/>
        </w:rPr>
        <w:t xml:space="preserve">Author links open overlay panelMaowen Li </w:t>
      </w:r>
      <w:r w:rsidRPr="00A661B0">
        <w:rPr>
          <w:rFonts w:ascii="Times New Roman" w:eastAsia="Times New Roman" w:hAnsi="Times New Roman" w:cs="Times New Roman"/>
          <w:sz w:val="24"/>
          <w:szCs w:val="24"/>
          <w:vertAlign w:val="superscript"/>
          <w:lang w:val="en-US" w:eastAsia="ru-RU"/>
        </w:rPr>
        <w:t>a</w:t>
      </w:r>
    </w:p>
    <w:p w:rsidR="00A661B0" w:rsidRPr="00A661B0" w:rsidRDefault="00A661B0" w:rsidP="00A661B0">
      <w:pPr>
        <w:spacing w:after="0" w:line="240" w:lineRule="auto"/>
        <w:rPr>
          <w:rFonts w:ascii="Times New Roman" w:eastAsia="Times New Roman" w:hAnsi="Times New Roman" w:cs="Times New Roman"/>
          <w:sz w:val="24"/>
          <w:szCs w:val="24"/>
          <w:lang w:val="en-US" w:eastAsia="ru-RU"/>
        </w:rPr>
      </w:pPr>
      <w:r w:rsidRPr="00A661B0">
        <w:rPr>
          <w:rFonts w:ascii="Times New Roman" w:eastAsia="Times New Roman" w:hAnsi="Times New Roman" w:cs="Times New Roman"/>
          <w:sz w:val="24"/>
          <w:szCs w:val="24"/>
          <w:lang w:val="en-US" w:eastAsia="ru-RU"/>
        </w:rPr>
        <w:t xml:space="preserve">, Lavern Stasiuk </w:t>
      </w:r>
      <w:r w:rsidRPr="00A661B0">
        <w:rPr>
          <w:rFonts w:ascii="Times New Roman" w:eastAsia="Times New Roman" w:hAnsi="Times New Roman" w:cs="Times New Roman"/>
          <w:sz w:val="24"/>
          <w:szCs w:val="24"/>
          <w:vertAlign w:val="superscript"/>
          <w:lang w:val="en-US" w:eastAsia="ru-RU"/>
        </w:rPr>
        <w:t>a</w:t>
      </w:r>
      <w:r w:rsidRPr="00A661B0">
        <w:rPr>
          <w:rFonts w:ascii="Times New Roman" w:eastAsia="Times New Roman" w:hAnsi="Times New Roman" w:cs="Times New Roman"/>
          <w:sz w:val="24"/>
          <w:szCs w:val="24"/>
          <w:lang w:val="en-US" w:eastAsia="ru-RU"/>
        </w:rPr>
        <w:t xml:space="preserve">, Robert Maxwell </w:t>
      </w:r>
      <w:r w:rsidRPr="00A661B0">
        <w:rPr>
          <w:rFonts w:ascii="Times New Roman" w:eastAsia="Times New Roman" w:hAnsi="Times New Roman" w:cs="Times New Roman"/>
          <w:sz w:val="24"/>
          <w:szCs w:val="24"/>
          <w:vertAlign w:val="superscript"/>
          <w:lang w:val="en-US" w:eastAsia="ru-RU"/>
        </w:rPr>
        <w:t>b</w:t>
      </w:r>
      <w:r w:rsidRPr="00A661B0">
        <w:rPr>
          <w:rFonts w:ascii="Times New Roman" w:eastAsia="Times New Roman" w:hAnsi="Times New Roman" w:cs="Times New Roman"/>
          <w:sz w:val="24"/>
          <w:szCs w:val="24"/>
          <w:lang w:val="en-US" w:eastAsia="ru-RU"/>
        </w:rPr>
        <w:t xml:space="preserve">, Frederic Monnier </w:t>
      </w:r>
      <w:r w:rsidRPr="00A661B0">
        <w:rPr>
          <w:rFonts w:ascii="Times New Roman" w:eastAsia="Times New Roman" w:hAnsi="Times New Roman" w:cs="Times New Roman"/>
          <w:sz w:val="24"/>
          <w:szCs w:val="24"/>
          <w:vertAlign w:val="superscript"/>
          <w:lang w:val="en-US" w:eastAsia="ru-RU"/>
        </w:rPr>
        <w:t>b</w:t>
      </w:r>
      <w:r w:rsidRPr="00A661B0">
        <w:rPr>
          <w:rFonts w:ascii="Times New Roman" w:eastAsia="Times New Roman" w:hAnsi="Times New Roman" w:cs="Times New Roman"/>
          <w:sz w:val="24"/>
          <w:szCs w:val="24"/>
          <w:lang w:val="en-US" w:eastAsia="ru-RU"/>
        </w:rPr>
        <w:t xml:space="preserve">, Olga Bazhenova </w:t>
      </w:r>
      <w:r w:rsidRPr="00A661B0">
        <w:rPr>
          <w:rFonts w:ascii="Times New Roman" w:eastAsia="Times New Roman" w:hAnsi="Times New Roman" w:cs="Times New Roman"/>
          <w:sz w:val="24"/>
          <w:szCs w:val="24"/>
          <w:vertAlign w:val="superscript"/>
          <w:lang w:val="en-US" w:eastAsia="ru-RU"/>
        </w:rPr>
        <w:t>c</w:t>
      </w:r>
    </w:p>
    <w:p w:rsidR="00A661B0" w:rsidRPr="00A661B0" w:rsidRDefault="00A661B0" w:rsidP="00A661B0">
      <w:pPr>
        <w:spacing w:before="100" w:beforeAutospacing="1" w:after="100" w:afterAutospacing="1" w:line="240" w:lineRule="auto"/>
        <w:outlineLvl w:val="1"/>
        <w:rPr>
          <w:rFonts w:ascii="Times New Roman" w:eastAsia="Times New Roman" w:hAnsi="Times New Roman" w:cs="Times New Roman"/>
          <w:b/>
          <w:bCs/>
          <w:sz w:val="36"/>
          <w:szCs w:val="36"/>
          <w:lang w:val="en" w:eastAsia="ru-RU"/>
        </w:rPr>
      </w:pPr>
      <w:bookmarkStart w:id="0" w:name="_GoBack"/>
      <w:bookmarkEnd w:id="0"/>
      <w:r w:rsidRPr="00A661B0">
        <w:rPr>
          <w:rFonts w:ascii="Times New Roman" w:eastAsia="Times New Roman" w:hAnsi="Times New Roman" w:cs="Times New Roman"/>
          <w:b/>
          <w:bCs/>
          <w:sz w:val="36"/>
          <w:szCs w:val="36"/>
          <w:lang w:val="en" w:eastAsia="ru-RU"/>
        </w:rPr>
        <w:t>Abstract</w:t>
      </w:r>
    </w:p>
    <w:p w:rsidR="00A661B0" w:rsidRPr="00A661B0" w:rsidRDefault="00A661B0" w:rsidP="00A661B0">
      <w:pPr>
        <w:spacing w:after="0" w:line="240" w:lineRule="auto"/>
        <w:rPr>
          <w:rFonts w:ascii="Times New Roman" w:eastAsia="Times New Roman" w:hAnsi="Times New Roman" w:cs="Times New Roman"/>
          <w:sz w:val="24"/>
          <w:szCs w:val="24"/>
          <w:lang w:val="en" w:eastAsia="ru-RU"/>
        </w:rPr>
      </w:pPr>
      <w:r w:rsidRPr="00A661B0">
        <w:rPr>
          <w:rFonts w:ascii="Times New Roman" w:eastAsia="Times New Roman" w:hAnsi="Times New Roman" w:cs="Times New Roman"/>
          <w:sz w:val="24"/>
          <w:szCs w:val="24"/>
          <w:lang w:val="en" w:eastAsia="ru-RU"/>
        </w:rPr>
        <w:t xml:space="preserve">Rock–Eval </w:t>
      </w:r>
      <w:hyperlink r:id="rId4" w:tooltip="Learn more about pyrolysis from ScienceDirect's AI-generated Topic Pages" w:history="1">
        <w:r w:rsidRPr="00A661B0">
          <w:rPr>
            <w:rFonts w:ascii="Times New Roman" w:eastAsia="Times New Roman" w:hAnsi="Times New Roman" w:cs="Times New Roman"/>
            <w:color w:val="0000FF"/>
            <w:sz w:val="24"/>
            <w:szCs w:val="24"/>
            <w:u w:val="single"/>
            <w:lang w:val="en" w:eastAsia="ru-RU"/>
          </w:rPr>
          <w:t>pyrolysis</w:t>
        </w:r>
      </w:hyperlink>
      <w:r w:rsidRPr="00A661B0">
        <w:rPr>
          <w:rFonts w:ascii="Times New Roman" w:eastAsia="Times New Roman" w:hAnsi="Times New Roman" w:cs="Times New Roman"/>
          <w:sz w:val="24"/>
          <w:szCs w:val="24"/>
          <w:lang w:val="en" w:eastAsia="ru-RU"/>
        </w:rPr>
        <w:t xml:space="preserve"> and microscopic analyses of </w:t>
      </w:r>
      <w:hyperlink r:id="rId5" w:tooltip="Learn more about Palaeogene from ScienceDirect's AI-generated Topic Pages" w:history="1">
        <w:r w:rsidRPr="00A661B0">
          <w:rPr>
            <w:rFonts w:ascii="Times New Roman" w:eastAsia="Times New Roman" w:hAnsi="Times New Roman" w:cs="Times New Roman"/>
            <w:color w:val="0000FF"/>
            <w:sz w:val="24"/>
            <w:szCs w:val="24"/>
            <w:u w:val="single"/>
            <w:lang w:val="en" w:eastAsia="ru-RU"/>
          </w:rPr>
          <w:t>Palaeogene</w:t>
        </w:r>
      </w:hyperlink>
      <w:r w:rsidRPr="00A661B0">
        <w:rPr>
          <w:rFonts w:ascii="Times New Roman" w:eastAsia="Times New Roman" w:hAnsi="Times New Roman" w:cs="Times New Roman"/>
          <w:sz w:val="24"/>
          <w:szCs w:val="24"/>
          <w:lang w:val="en" w:eastAsia="ru-RU"/>
        </w:rPr>
        <w:t xml:space="preserve"> terrestrial strata from the western Kamchatka coastal margin, Russia, indicate that good oil-prone source rocks are present in both coals and shales. Hydrogen Indices (HI) of up to 493 mg HC/g </w:t>
      </w:r>
      <w:hyperlink r:id="rId6" w:tooltip="Learn more about TOC from ScienceDirect's AI-generated Topic Pages" w:history="1">
        <w:r w:rsidRPr="00A661B0">
          <w:rPr>
            <w:rFonts w:ascii="Times New Roman" w:eastAsia="Times New Roman" w:hAnsi="Times New Roman" w:cs="Times New Roman"/>
            <w:color w:val="0000FF"/>
            <w:sz w:val="24"/>
            <w:szCs w:val="24"/>
            <w:u w:val="single"/>
            <w:lang w:val="en" w:eastAsia="ru-RU"/>
          </w:rPr>
          <w:t>TOC</w:t>
        </w:r>
      </w:hyperlink>
      <w:r w:rsidRPr="00A661B0">
        <w:rPr>
          <w:rFonts w:ascii="Times New Roman" w:eastAsia="Times New Roman" w:hAnsi="Times New Roman" w:cs="Times New Roman"/>
          <w:sz w:val="24"/>
          <w:szCs w:val="24"/>
          <w:lang w:val="en" w:eastAsia="ru-RU"/>
        </w:rPr>
        <w:t xml:space="preserve"> are present in low maturity (0.45 %</w:t>
      </w:r>
      <w:r w:rsidRPr="00A661B0">
        <w:rPr>
          <w:rFonts w:ascii="Times New Roman" w:eastAsia="Times New Roman" w:hAnsi="Times New Roman" w:cs="Times New Roman"/>
          <w:i/>
          <w:iCs/>
          <w:sz w:val="24"/>
          <w:szCs w:val="24"/>
          <w:lang w:val="en" w:eastAsia="ru-RU"/>
        </w:rPr>
        <w:t>R</w:t>
      </w:r>
      <w:r w:rsidRPr="00A661B0">
        <w:rPr>
          <w:rFonts w:ascii="Times New Roman" w:eastAsia="Times New Roman" w:hAnsi="Times New Roman" w:cs="Times New Roman"/>
          <w:sz w:val="24"/>
          <w:szCs w:val="24"/>
          <w:vertAlign w:val="subscript"/>
          <w:lang w:val="en" w:eastAsia="ru-RU"/>
        </w:rPr>
        <w:t>o</w:t>
      </w:r>
      <w:r w:rsidRPr="00A661B0">
        <w:rPr>
          <w:rFonts w:ascii="Times New Roman" w:eastAsia="Times New Roman" w:hAnsi="Times New Roman" w:cs="Times New Roman"/>
          <w:sz w:val="24"/>
          <w:szCs w:val="24"/>
          <w:lang w:val="en" w:eastAsia="ru-RU"/>
        </w:rPr>
        <w:t xml:space="preserve"> vitrinite) shale samples from the Irgirninvayam River Delta region, whereas coals with 0.37–0.75 %</w:t>
      </w:r>
      <w:r w:rsidRPr="00A661B0">
        <w:rPr>
          <w:rFonts w:ascii="Times New Roman" w:eastAsia="Times New Roman" w:hAnsi="Times New Roman" w:cs="Times New Roman"/>
          <w:i/>
          <w:iCs/>
          <w:sz w:val="24"/>
          <w:szCs w:val="24"/>
          <w:lang w:val="en" w:eastAsia="ru-RU"/>
        </w:rPr>
        <w:t>R</w:t>
      </w:r>
      <w:r w:rsidRPr="00A661B0">
        <w:rPr>
          <w:rFonts w:ascii="Times New Roman" w:eastAsia="Times New Roman" w:hAnsi="Times New Roman" w:cs="Times New Roman"/>
          <w:sz w:val="24"/>
          <w:szCs w:val="24"/>
          <w:vertAlign w:val="subscript"/>
          <w:lang w:val="en" w:eastAsia="ru-RU"/>
        </w:rPr>
        <w:t>o</w:t>
      </w:r>
      <w:r w:rsidRPr="00A661B0">
        <w:rPr>
          <w:rFonts w:ascii="Times New Roman" w:eastAsia="Times New Roman" w:hAnsi="Times New Roman" w:cs="Times New Roman"/>
          <w:sz w:val="24"/>
          <w:szCs w:val="24"/>
          <w:lang w:val="en" w:eastAsia="ru-RU"/>
        </w:rPr>
        <w:t xml:space="preserve"> and HI of 270–310 mg HC/g TOC comprise potential oil/gas- and oil-prone source rocks in the Kvachincha Bay, Tigel coastal, and Rassoshina–Napanskaya River areas. The shales and coals with the highest petroleum potential were deposited in a freshwater paleo-setting, and consist of gelovitrinite, cutinite, suberinite, sporinite, resinite and matrix bituminite. Molecular </w:t>
      </w:r>
      <w:hyperlink r:id="rId7" w:tooltip="Learn more about geochemistry from ScienceDirect's AI-generated Topic Pages" w:history="1">
        <w:r w:rsidRPr="00A661B0">
          <w:rPr>
            <w:rFonts w:ascii="Times New Roman" w:eastAsia="Times New Roman" w:hAnsi="Times New Roman" w:cs="Times New Roman"/>
            <w:color w:val="0000FF"/>
            <w:sz w:val="24"/>
            <w:szCs w:val="24"/>
            <w:u w:val="single"/>
            <w:lang w:val="en" w:eastAsia="ru-RU"/>
          </w:rPr>
          <w:t>geochemistry</w:t>
        </w:r>
      </w:hyperlink>
      <w:r w:rsidRPr="00A661B0">
        <w:rPr>
          <w:rFonts w:ascii="Times New Roman" w:eastAsia="Times New Roman" w:hAnsi="Times New Roman" w:cs="Times New Roman"/>
          <w:sz w:val="24"/>
          <w:szCs w:val="24"/>
          <w:lang w:val="en" w:eastAsia="ru-RU"/>
        </w:rPr>
        <w:t xml:space="preserve"> was also used to group genetically related oil samples and to postulate the likely </w:t>
      </w:r>
      <w:hyperlink r:id="rId8" w:tooltip="Learn more about petroleum systems from ScienceDirect's AI-generated Topic Pages" w:history="1">
        <w:r w:rsidRPr="00A661B0">
          <w:rPr>
            <w:rFonts w:ascii="Times New Roman" w:eastAsia="Times New Roman" w:hAnsi="Times New Roman" w:cs="Times New Roman"/>
            <w:color w:val="0000FF"/>
            <w:sz w:val="24"/>
            <w:szCs w:val="24"/>
            <w:u w:val="single"/>
            <w:lang w:val="en" w:eastAsia="ru-RU"/>
          </w:rPr>
          <w:t>petroleum systems</w:t>
        </w:r>
      </w:hyperlink>
      <w:r w:rsidRPr="00A661B0">
        <w:rPr>
          <w:rFonts w:ascii="Times New Roman" w:eastAsia="Times New Roman" w:hAnsi="Times New Roman" w:cs="Times New Roman"/>
          <w:sz w:val="24"/>
          <w:szCs w:val="24"/>
          <w:lang w:val="en" w:eastAsia="ru-RU"/>
        </w:rPr>
        <w:t xml:space="preserve"> in this area. While the preliminary data confirm the origin of two families of oils from the Palaeogene deltaic to marginal lacustrine source rocks, the chemical composition of oils in two other families suggests the possible presence of marine source rocks in not yet penetrated Upper Cretaceous–Paleocene sequences of the basin.</w:t>
      </w:r>
    </w:p>
    <w:p w:rsidR="00A661B0" w:rsidRPr="00A661B0" w:rsidRDefault="00A661B0" w:rsidP="00A661B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661B0">
        <w:rPr>
          <w:rFonts w:ascii="Times New Roman" w:eastAsia="Times New Roman" w:hAnsi="Times New Roman" w:cs="Times New Roman"/>
          <w:b/>
          <w:bCs/>
          <w:sz w:val="36"/>
          <w:szCs w:val="36"/>
          <w:lang w:val="en-US" w:eastAsia="ru-RU"/>
        </w:rPr>
        <w:t>Introduction</w:t>
      </w:r>
    </w:p>
    <w:p w:rsidR="00A661B0" w:rsidRPr="00A661B0" w:rsidRDefault="00A661B0" w:rsidP="00A661B0">
      <w:pPr>
        <w:spacing w:after="0" w:line="240" w:lineRule="auto"/>
        <w:rPr>
          <w:rFonts w:ascii="Times New Roman" w:eastAsia="Times New Roman" w:hAnsi="Times New Roman" w:cs="Times New Roman"/>
          <w:sz w:val="24"/>
          <w:szCs w:val="24"/>
          <w:lang w:val="en-US" w:eastAsia="ru-RU"/>
        </w:rPr>
      </w:pPr>
      <w:r w:rsidRPr="00A661B0">
        <w:rPr>
          <w:rFonts w:ascii="Times New Roman" w:eastAsia="Times New Roman" w:hAnsi="Times New Roman" w:cs="Times New Roman"/>
          <w:sz w:val="24"/>
          <w:szCs w:val="24"/>
          <w:lang w:val="en-US" w:eastAsia="ru-RU"/>
        </w:rPr>
        <w:t>Tertiary Palaeogene terrestrial source rocks in lacustrine sequences of carbonaceous mudstone, shale and coal are well known from Cenozoic syn-rift succession basins in Asia (e.g., in Petersen et al., 2004). Rock–Eval/TOC and petrographic data collected in the present study indicate that similar freshwater, potential petroleum source rocks also exist in the western Kamchatka peninsula area of Russia. Maceral composition, TOC (total organic carbon), Hydrogen Index, Oxygen Index, S1, and S2 for coaly petroleum source rocks have been applied previously to establish limits for generative potential (e.g., oil-, oil and gas-, or, gas-prone) and thresholds for expulsion (e.g., Peters, 1986, Sykes and Snowdon, 2002).</w:t>
      </w:r>
    </w:p>
    <w:p w:rsidR="00A661B0" w:rsidRPr="00A661B0" w:rsidRDefault="00A661B0" w:rsidP="00A661B0">
      <w:pPr>
        <w:spacing w:after="0" w:line="240" w:lineRule="auto"/>
        <w:rPr>
          <w:rFonts w:ascii="Times New Roman" w:eastAsia="Times New Roman" w:hAnsi="Times New Roman" w:cs="Times New Roman"/>
          <w:sz w:val="24"/>
          <w:szCs w:val="24"/>
          <w:lang w:val="en-US" w:eastAsia="ru-RU"/>
        </w:rPr>
      </w:pPr>
      <w:r w:rsidRPr="00A661B0">
        <w:rPr>
          <w:rFonts w:ascii="Times New Roman" w:eastAsia="Times New Roman" w:hAnsi="Times New Roman" w:cs="Times New Roman"/>
          <w:sz w:val="24"/>
          <w:szCs w:val="24"/>
          <w:lang w:val="en-US" w:eastAsia="ru-RU"/>
        </w:rPr>
        <w:t>Biomarkers are used routinely by the oil industry to group genetically related oils, to correlate discovered oils with source rocks and to postulate the probable source rock depositional environments for migrated oils of uncertain origin. Dahl et al. (1994) suggested that biomarker distributions in reservoired oils could be used to monitor lateral facies changes in the underlying source rocks in vertically drained basins. Several case studies (e.g., McCaffrey et al., 1994, Li et al., 2001) showed that this biomarker approach, if used with petroleum mass fraction in mind, could allow petroleum geologists to constrain source rock quality, one of the key variables in petroleum systems, even in cases where the source rock has not been penetrated. The present preliminary study was based on a recent sample collection from the western Kamchatka Trough, Far East Russia (Fig. 1(a)). As no rock samples are available from Mesozoic strata, the results obtained from discovered petroleum fluids exemplify the value of using a biomarker approach for predicting the petroleum systems in a frontier exploration area.</w:t>
      </w:r>
    </w:p>
    <w:p w:rsidR="00A661B0" w:rsidRPr="00A661B0" w:rsidRDefault="00A661B0" w:rsidP="00A661B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661B0">
        <w:rPr>
          <w:rFonts w:ascii="Times New Roman" w:eastAsia="Times New Roman" w:hAnsi="Times New Roman" w:cs="Times New Roman"/>
          <w:b/>
          <w:bCs/>
          <w:sz w:val="36"/>
          <w:szCs w:val="36"/>
          <w:lang w:val="en-US" w:eastAsia="ru-RU"/>
        </w:rPr>
        <w:t>Section snippets</w:t>
      </w:r>
    </w:p>
    <w:p w:rsidR="00A661B0" w:rsidRPr="00A661B0" w:rsidRDefault="00A661B0" w:rsidP="00A661B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661B0">
        <w:rPr>
          <w:rFonts w:ascii="Times New Roman" w:eastAsia="Times New Roman" w:hAnsi="Times New Roman" w:cs="Times New Roman"/>
          <w:b/>
          <w:bCs/>
          <w:sz w:val="36"/>
          <w:szCs w:val="36"/>
          <w:lang w:val="en-US" w:eastAsia="ru-RU"/>
        </w:rPr>
        <w:t>Geological setting</w:t>
      </w:r>
    </w:p>
    <w:p w:rsidR="00A661B0" w:rsidRPr="00A661B0" w:rsidRDefault="00A661B0" w:rsidP="00A661B0">
      <w:pPr>
        <w:spacing w:after="0" w:line="240" w:lineRule="auto"/>
        <w:rPr>
          <w:rFonts w:ascii="Times New Roman" w:eastAsia="Times New Roman" w:hAnsi="Times New Roman" w:cs="Times New Roman"/>
          <w:sz w:val="24"/>
          <w:szCs w:val="24"/>
          <w:lang w:val="en-US" w:eastAsia="ru-RU"/>
        </w:rPr>
      </w:pPr>
      <w:r w:rsidRPr="00A661B0">
        <w:rPr>
          <w:rFonts w:ascii="Times New Roman" w:eastAsia="Times New Roman" w:hAnsi="Times New Roman" w:cs="Times New Roman"/>
          <w:sz w:val="24"/>
          <w:szCs w:val="24"/>
          <w:lang w:val="en-US" w:eastAsia="ru-RU"/>
        </w:rPr>
        <w:t>The Kamchatka back-arc basin is a relatively unexplored petroleum province of Far East Russia. As summarized most recently by Maxwell and Chinakayev (1999), this volcanic arc basin was formed by the subduction of the Pacific Plate along the Kurile Trench, with uplifted and thrusted Mesozoic sediments in the west, and over seven kilometers of Tertiary sediments being deposited in this basin since the Paleocene. The structural style of this basin is remarkably similar to the South Sumatra back</w:t>
      </w:r>
    </w:p>
    <w:p w:rsidR="00A661B0" w:rsidRPr="00A661B0" w:rsidRDefault="00A661B0" w:rsidP="00A661B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661B0">
        <w:rPr>
          <w:rFonts w:ascii="Times New Roman" w:eastAsia="Times New Roman" w:hAnsi="Times New Roman" w:cs="Times New Roman"/>
          <w:b/>
          <w:bCs/>
          <w:sz w:val="36"/>
          <w:szCs w:val="36"/>
          <w:lang w:val="en-US" w:eastAsia="ru-RU"/>
        </w:rPr>
        <w:t>Samples and analytical methods</w:t>
      </w:r>
    </w:p>
    <w:p w:rsidR="00A661B0" w:rsidRPr="00A661B0" w:rsidRDefault="00A661B0" w:rsidP="00A661B0">
      <w:pPr>
        <w:spacing w:after="0" w:line="240" w:lineRule="auto"/>
        <w:rPr>
          <w:rFonts w:ascii="Times New Roman" w:eastAsia="Times New Roman" w:hAnsi="Times New Roman" w:cs="Times New Roman"/>
          <w:sz w:val="24"/>
          <w:szCs w:val="24"/>
          <w:lang w:val="en-US" w:eastAsia="ru-RU"/>
        </w:rPr>
      </w:pPr>
      <w:r w:rsidRPr="00A661B0">
        <w:rPr>
          <w:rFonts w:ascii="Times New Roman" w:eastAsia="Times New Roman" w:hAnsi="Times New Roman" w:cs="Times New Roman"/>
          <w:sz w:val="24"/>
          <w:szCs w:val="24"/>
          <w:lang w:val="en-US" w:eastAsia="ru-RU"/>
        </w:rPr>
        <w:t>CEP International Petroleum Ltd. in partnership with the local operating company Kamchatgasprom is undertaking an exploratory drilling program on the west coast of Kamchatka. From a large number of drill-stem-test fluids, cores and outcrop samples collected, 21 source rock samples (Table 1) and seven fluids (Table 2) were selected and sent to the Organic Geochemistry and Organic Petrology Laboratories of the Geological Survey of Canada-Calgary for characterization.</w:t>
      </w:r>
    </w:p>
    <w:p w:rsidR="00A661B0" w:rsidRPr="00A661B0" w:rsidRDefault="00A661B0" w:rsidP="00A661B0">
      <w:pPr>
        <w:spacing w:after="0" w:line="240" w:lineRule="auto"/>
        <w:rPr>
          <w:rFonts w:ascii="Times New Roman" w:eastAsia="Times New Roman" w:hAnsi="Times New Roman" w:cs="Times New Roman"/>
          <w:sz w:val="24"/>
          <w:szCs w:val="24"/>
          <w:lang w:val="en-US" w:eastAsia="ru-RU"/>
        </w:rPr>
      </w:pPr>
      <w:r w:rsidRPr="00A661B0">
        <w:rPr>
          <w:rFonts w:ascii="Times New Roman" w:eastAsia="Times New Roman" w:hAnsi="Times New Roman" w:cs="Times New Roman"/>
          <w:sz w:val="24"/>
          <w:szCs w:val="24"/>
          <w:lang w:val="en-US" w:eastAsia="ru-RU"/>
        </w:rPr>
        <w:t>Detailed analytical methods</w:t>
      </w:r>
    </w:p>
    <w:p w:rsidR="00A661B0" w:rsidRPr="00A661B0" w:rsidRDefault="00A661B0" w:rsidP="00A661B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661B0">
        <w:rPr>
          <w:rFonts w:ascii="Times New Roman" w:eastAsia="Times New Roman" w:hAnsi="Times New Roman" w:cs="Times New Roman"/>
          <w:b/>
          <w:bCs/>
          <w:sz w:val="36"/>
          <w:szCs w:val="36"/>
          <w:lang w:val="en-US" w:eastAsia="ru-RU"/>
        </w:rPr>
        <w:t>Tertiary potential source rocks: Rock–Eval, petrography and thermal maturity</w:t>
      </w:r>
    </w:p>
    <w:p w:rsidR="00A661B0" w:rsidRPr="00A661B0" w:rsidRDefault="00A661B0" w:rsidP="00A661B0">
      <w:pPr>
        <w:spacing w:after="0" w:line="240" w:lineRule="auto"/>
        <w:rPr>
          <w:rFonts w:ascii="Times New Roman" w:eastAsia="Times New Roman" w:hAnsi="Times New Roman" w:cs="Times New Roman"/>
          <w:sz w:val="24"/>
          <w:szCs w:val="24"/>
          <w:lang w:eastAsia="ru-RU"/>
        </w:rPr>
      </w:pPr>
      <w:r w:rsidRPr="00A661B0">
        <w:rPr>
          <w:rFonts w:ascii="Times New Roman" w:eastAsia="Times New Roman" w:hAnsi="Times New Roman" w:cs="Times New Roman"/>
          <w:sz w:val="24"/>
          <w:szCs w:val="24"/>
          <w:lang w:val="en-US" w:eastAsia="ru-RU"/>
        </w:rPr>
        <w:t>The Paleocene–Eocene reservoirs in the study area rest unconformably on Cretaceous strata (Fig. 1). As no samples from the Mesozoic strata were available for this study, only Tertiary rock samples were collected for geochemical and organic petrographic analyses. The sample set consists of coals (sub-bituminous to medium volatile rank) and organic-rich shales to slightly silty shales, with vitrinite reflectance ranging from 0.35 to 0.80 %</w:t>
      </w:r>
      <w:r w:rsidRPr="00A661B0">
        <w:rPr>
          <w:rFonts w:ascii="Times New Roman" w:eastAsia="Times New Roman" w:hAnsi="Times New Roman" w:cs="Times New Roman"/>
          <w:i/>
          <w:iCs/>
          <w:sz w:val="24"/>
          <w:szCs w:val="24"/>
          <w:lang w:val="en-US" w:eastAsia="ru-RU"/>
        </w:rPr>
        <w:t>R</w:t>
      </w:r>
      <w:r w:rsidRPr="00A661B0">
        <w:rPr>
          <w:rFonts w:ascii="Times New Roman" w:eastAsia="Times New Roman" w:hAnsi="Times New Roman" w:cs="Times New Roman"/>
          <w:sz w:val="24"/>
          <w:szCs w:val="24"/>
          <w:vertAlign w:val="subscript"/>
          <w:lang w:val="en-US" w:eastAsia="ru-RU"/>
        </w:rPr>
        <w:t>o</w:t>
      </w:r>
      <w:r w:rsidRPr="00A661B0">
        <w:rPr>
          <w:rFonts w:ascii="Times New Roman" w:eastAsia="Times New Roman" w:hAnsi="Times New Roman" w:cs="Times New Roman"/>
          <w:sz w:val="24"/>
          <w:szCs w:val="24"/>
          <w:lang w:val="en-US" w:eastAsia="ru-RU"/>
        </w:rPr>
        <w:t xml:space="preserve"> (Table 1). </w:t>
      </w:r>
      <w:r w:rsidRPr="00A661B0">
        <w:rPr>
          <w:rFonts w:ascii="Times New Roman" w:eastAsia="Times New Roman" w:hAnsi="Times New Roman" w:cs="Times New Roman"/>
          <w:sz w:val="24"/>
          <w:szCs w:val="24"/>
          <w:lang w:eastAsia="ru-RU"/>
        </w:rPr>
        <w:t xml:space="preserve">Most of the samples are considered to show </w:t>
      </w:r>
      <w:r w:rsidRPr="00A661B0">
        <w:rPr>
          <w:rFonts w:ascii="Times New Roman" w:eastAsia="Times New Roman" w:hAnsi="Times New Roman" w:cs="Times New Roman"/>
          <w:i/>
          <w:iCs/>
          <w:sz w:val="24"/>
          <w:szCs w:val="24"/>
          <w:lang w:eastAsia="ru-RU"/>
        </w:rPr>
        <w:t>T</w:t>
      </w:r>
    </w:p>
    <w:p w:rsidR="00A661B0" w:rsidRPr="00A661B0" w:rsidRDefault="00A661B0" w:rsidP="00A661B0">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r w:rsidRPr="00A661B0">
        <w:rPr>
          <w:rFonts w:ascii="Times New Roman" w:eastAsia="Times New Roman" w:hAnsi="Times New Roman" w:cs="Times New Roman"/>
          <w:b/>
          <w:bCs/>
          <w:sz w:val="36"/>
          <w:szCs w:val="36"/>
          <w:lang w:eastAsia="ru-RU"/>
        </w:rPr>
        <w:t>Conclusions</w:t>
      </w:r>
    </w:p>
    <w:p w:rsidR="00A661B0" w:rsidRPr="00A661B0" w:rsidRDefault="00A661B0" w:rsidP="00A661B0">
      <w:pPr>
        <w:spacing w:after="0" w:line="240" w:lineRule="auto"/>
        <w:rPr>
          <w:rFonts w:ascii="Times New Roman" w:eastAsia="Times New Roman" w:hAnsi="Times New Roman" w:cs="Times New Roman"/>
          <w:sz w:val="24"/>
          <w:szCs w:val="24"/>
          <w:lang w:val="en-US" w:eastAsia="ru-RU"/>
        </w:rPr>
      </w:pPr>
      <w:r w:rsidRPr="00A661B0">
        <w:rPr>
          <w:rFonts w:ascii="Times New Roman" w:eastAsia="Times New Roman" w:hAnsi="Times New Roman" w:cs="Times New Roman"/>
          <w:sz w:val="24"/>
          <w:szCs w:val="24"/>
          <w:lang w:val="en-US" w:eastAsia="ru-RU"/>
        </w:rPr>
        <w:t>Rock–Eval pyrolysis and microscopic analyses indicate that good oil-prone source rocks are present in both coals and shales of the Palaeogene strata in the western Kamchatka coastal margin, Russia. The preliminary molecular geochemical data confirm the origin of two families of oils from the Palaeogene deltaic to marginal lacustrine source rocks. More importantly, the chemical composition of oils in two other families suggests the possible presence of marine source rocks in not yet penetrated</w:t>
      </w:r>
    </w:p>
    <w:p w:rsidR="00A661B0" w:rsidRPr="00A661B0" w:rsidRDefault="00A661B0" w:rsidP="00A661B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661B0">
        <w:rPr>
          <w:rFonts w:ascii="Times New Roman" w:eastAsia="Times New Roman" w:hAnsi="Times New Roman" w:cs="Times New Roman"/>
          <w:b/>
          <w:bCs/>
          <w:sz w:val="36"/>
          <w:szCs w:val="36"/>
          <w:lang w:val="en-US" w:eastAsia="ru-RU"/>
        </w:rPr>
        <w:t>Acknowledgments</w:t>
      </w:r>
    </w:p>
    <w:p w:rsidR="00A661B0" w:rsidRPr="00A661B0" w:rsidRDefault="00A661B0" w:rsidP="00A661B0">
      <w:pPr>
        <w:spacing w:after="0" w:line="240" w:lineRule="auto"/>
        <w:rPr>
          <w:rFonts w:ascii="Times New Roman" w:eastAsia="Times New Roman" w:hAnsi="Times New Roman" w:cs="Times New Roman"/>
          <w:sz w:val="24"/>
          <w:szCs w:val="24"/>
          <w:lang w:val="en-US" w:eastAsia="ru-RU"/>
        </w:rPr>
      </w:pPr>
      <w:r w:rsidRPr="00A661B0">
        <w:rPr>
          <w:rFonts w:ascii="Times New Roman" w:eastAsia="Times New Roman" w:hAnsi="Times New Roman" w:cs="Times New Roman"/>
          <w:sz w:val="24"/>
          <w:szCs w:val="24"/>
          <w:lang w:val="en-US" w:eastAsia="ru-RU"/>
        </w:rPr>
        <w:t>CEP International Petroleum Ltd. is thanked for providing samples and other geological information. Excellent technical assistance was provided by Sneh Achal, Marina Milovic, Rachel Robinson and Brydie Kerr, GSC Calgary. Maria Tomica (Ramtrec Research) and Dr. Judith Potter (JP Petrographics), Calgary, assisted with some of the petrographic analyses. We thank Drs. Paul Farrimond, Linda Stalker, and an anonymous reviewer, for their constructive comments on an earlier version of this manuscript.</w:t>
      </w:r>
    </w:p>
    <w:p w:rsidR="00AA7B3C" w:rsidRPr="00A661B0" w:rsidRDefault="00AA7B3C">
      <w:pPr>
        <w:rPr>
          <w:lang w:val="en-US"/>
        </w:rPr>
      </w:pPr>
    </w:p>
    <w:sectPr w:rsidR="00AA7B3C" w:rsidRPr="00A661B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web"/>
  <w:zoom w:percent="26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1B0"/>
    <w:rsid w:val="00A661B0"/>
    <w:rsid w:val="00AA7B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E38310-1C94-4D45-9518-2F4D6E691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A661B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A661B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661B0"/>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A661B0"/>
    <w:rPr>
      <w:rFonts w:ascii="Times New Roman" w:eastAsia="Times New Roman" w:hAnsi="Times New Roman" w:cs="Times New Roman"/>
      <w:b/>
      <w:bCs/>
      <w:sz w:val="36"/>
      <w:szCs w:val="36"/>
      <w:lang w:eastAsia="ru-RU"/>
    </w:rPr>
  </w:style>
  <w:style w:type="character" w:customStyle="1" w:styleId="title-text">
    <w:name w:val="title-text"/>
    <w:basedOn w:val="a0"/>
    <w:rsid w:val="00A661B0"/>
  </w:style>
  <w:style w:type="character" w:customStyle="1" w:styleId="sr-only">
    <w:name w:val="sr-only"/>
    <w:basedOn w:val="a0"/>
    <w:rsid w:val="00A661B0"/>
  </w:style>
  <w:style w:type="character" w:customStyle="1" w:styleId="button-link-text">
    <w:name w:val="button-link-text"/>
    <w:basedOn w:val="a0"/>
    <w:rsid w:val="00A661B0"/>
  </w:style>
  <w:style w:type="character" w:customStyle="1" w:styleId="react-xocs-alternative-link">
    <w:name w:val="react-xocs-alternative-link"/>
    <w:basedOn w:val="a0"/>
    <w:rsid w:val="00A661B0"/>
  </w:style>
  <w:style w:type="character" w:customStyle="1" w:styleId="given-name">
    <w:name w:val="given-name"/>
    <w:basedOn w:val="a0"/>
    <w:rsid w:val="00A661B0"/>
  </w:style>
  <w:style w:type="character" w:customStyle="1" w:styleId="text">
    <w:name w:val="text"/>
    <w:basedOn w:val="a0"/>
    <w:rsid w:val="00A661B0"/>
  </w:style>
  <w:style w:type="character" w:customStyle="1" w:styleId="author-ref">
    <w:name w:val="author-ref"/>
    <w:basedOn w:val="a0"/>
    <w:rsid w:val="00A661B0"/>
  </w:style>
  <w:style w:type="character" w:styleId="a3">
    <w:name w:val="Hyperlink"/>
    <w:basedOn w:val="a0"/>
    <w:uiPriority w:val="99"/>
    <w:semiHidden/>
    <w:unhideWhenUsed/>
    <w:rsid w:val="00A661B0"/>
    <w:rPr>
      <w:color w:val="0000FF"/>
      <w:u w:val="single"/>
    </w:rPr>
  </w:style>
  <w:style w:type="character" w:customStyle="1" w:styleId="anchor-text">
    <w:name w:val="anchor-text"/>
    <w:basedOn w:val="a0"/>
    <w:rsid w:val="00A661B0"/>
  </w:style>
  <w:style w:type="character" w:styleId="a4">
    <w:name w:val="Emphasis"/>
    <w:basedOn w:val="a0"/>
    <w:uiPriority w:val="20"/>
    <w:qFormat/>
    <w:rsid w:val="00A661B0"/>
    <w:rPr>
      <w:i/>
      <w:iCs/>
    </w:rPr>
  </w:style>
  <w:style w:type="paragraph" w:customStyle="1" w:styleId="text-s">
    <w:name w:val="text-s"/>
    <w:basedOn w:val="a"/>
    <w:rsid w:val="00A661B0"/>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93148723">
      <w:bodyDiv w:val="1"/>
      <w:marLeft w:val="0"/>
      <w:marRight w:val="0"/>
      <w:marTop w:val="0"/>
      <w:marBottom w:val="0"/>
      <w:divBdr>
        <w:top w:val="none" w:sz="0" w:space="0" w:color="auto"/>
        <w:left w:val="none" w:sz="0" w:space="0" w:color="auto"/>
        <w:bottom w:val="none" w:sz="0" w:space="0" w:color="auto"/>
        <w:right w:val="none" w:sz="0" w:space="0" w:color="auto"/>
      </w:divBdr>
      <w:divsChild>
        <w:div w:id="672994650">
          <w:marLeft w:val="0"/>
          <w:marRight w:val="0"/>
          <w:marTop w:val="0"/>
          <w:marBottom w:val="0"/>
          <w:divBdr>
            <w:top w:val="none" w:sz="0" w:space="0" w:color="auto"/>
            <w:left w:val="none" w:sz="0" w:space="0" w:color="auto"/>
            <w:bottom w:val="none" w:sz="0" w:space="0" w:color="auto"/>
            <w:right w:val="none" w:sz="0" w:space="0" w:color="auto"/>
          </w:divBdr>
          <w:divsChild>
            <w:div w:id="1120958717">
              <w:marLeft w:val="0"/>
              <w:marRight w:val="0"/>
              <w:marTop w:val="0"/>
              <w:marBottom w:val="0"/>
              <w:divBdr>
                <w:top w:val="none" w:sz="0" w:space="0" w:color="auto"/>
                <w:left w:val="none" w:sz="0" w:space="0" w:color="auto"/>
                <w:bottom w:val="none" w:sz="0" w:space="0" w:color="auto"/>
                <w:right w:val="none" w:sz="0" w:space="0" w:color="auto"/>
              </w:divBdr>
              <w:divsChild>
                <w:div w:id="1867136630">
                  <w:marLeft w:val="0"/>
                  <w:marRight w:val="0"/>
                  <w:marTop w:val="0"/>
                  <w:marBottom w:val="0"/>
                  <w:divBdr>
                    <w:top w:val="none" w:sz="0" w:space="0" w:color="auto"/>
                    <w:left w:val="none" w:sz="0" w:space="0" w:color="auto"/>
                    <w:bottom w:val="none" w:sz="0" w:space="0" w:color="auto"/>
                    <w:right w:val="none" w:sz="0" w:space="0" w:color="auto"/>
                  </w:divBdr>
                  <w:divsChild>
                    <w:div w:id="744841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687513">
          <w:marLeft w:val="0"/>
          <w:marRight w:val="0"/>
          <w:marTop w:val="0"/>
          <w:marBottom w:val="0"/>
          <w:divBdr>
            <w:top w:val="none" w:sz="0" w:space="0" w:color="auto"/>
            <w:left w:val="none" w:sz="0" w:space="0" w:color="auto"/>
            <w:bottom w:val="none" w:sz="0" w:space="0" w:color="auto"/>
            <w:right w:val="none" w:sz="0" w:space="0" w:color="auto"/>
          </w:divBdr>
          <w:divsChild>
            <w:div w:id="1592086915">
              <w:marLeft w:val="0"/>
              <w:marRight w:val="0"/>
              <w:marTop w:val="0"/>
              <w:marBottom w:val="0"/>
              <w:divBdr>
                <w:top w:val="none" w:sz="0" w:space="0" w:color="auto"/>
                <w:left w:val="none" w:sz="0" w:space="0" w:color="auto"/>
                <w:bottom w:val="none" w:sz="0" w:space="0" w:color="auto"/>
                <w:right w:val="none" w:sz="0" w:space="0" w:color="auto"/>
              </w:divBdr>
              <w:divsChild>
                <w:div w:id="94387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744080">
          <w:marLeft w:val="0"/>
          <w:marRight w:val="0"/>
          <w:marTop w:val="0"/>
          <w:marBottom w:val="0"/>
          <w:divBdr>
            <w:top w:val="none" w:sz="0" w:space="0" w:color="auto"/>
            <w:left w:val="none" w:sz="0" w:space="0" w:color="auto"/>
            <w:bottom w:val="none" w:sz="0" w:space="0" w:color="auto"/>
            <w:right w:val="none" w:sz="0" w:space="0" w:color="auto"/>
          </w:divBdr>
          <w:divsChild>
            <w:div w:id="1188757704">
              <w:marLeft w:val="0"/>
              <w:marRight w:val="0"/>
              <w:marTop w:val="0"/>
              <w:marBottom w:val="0"/>
              <w:divBdr>
                <w:top w:val="none" w:sz="0" w:space="0" w:color="auto"/>
                <w:left w:val="none" w:sz="0" w:space="0" w:color="auto"/>
                <w:bottom w:val="none" w:sz="0" w:space="0" w:color="auto"/>
                <w:right w:val="none" w:sz="0" w:space="0" w:color="auto"/>
              </w:divBdr>
              <w:divsChild>
                <w:div w:id="155839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330882">
          <w:marLeft w:val="0"/>
          <w:marRight w:val="0"/>
          <w:marTop w:val="0"/>
          <w:marBottom w:val="0"/>
          <w:divBdr>
            <w:top w:val="none" w:sz="0" w:space="0" w:color="auto"/>
            <w:left w:val="none" w:sz="0" w:space="0" w:color="auto"/>
            <w:bottom w:val="none" w:sz="0" w:space="0" w:color="auto"/>
            <w:right w:val="none" w:sz="0" w:space="0" w:color="auto"/>
          </w:divBdr>
          <w:divsChild>
            <w:div w:id="610236744">
              <w:marLeft w:val="0"/>
              <w:marRight w:val="0"/>
              <w:marTop w:val="0"/>
              <w:marBottom w:val="0"/>
              <w:divBdr>
                <w:top w:val="none" w:sz="0" w:space="0" w:color="auto"/>
                <w:left w:val="none" w:sz="0" w:space="0" w:color="auto"/>
                <w:bottom w:val="none" w:sz="0" w:space="0" w:color="auto"/>
                <w:right w:val="none" w:sz="0" w:space="0" w:color="auto"/>
              </w:divBdr>
              <w:divsChild>
                <w:div w:id="463889389">
                  <w:marLeft w:val="0"/>
                  <w:marRight w:val="0"/>
                  <w:marTop w:val="0"/>
                  <w:marBottom w:val="0"/>
                  <w:divBdr>
                    <w:top w:val="none" w:sz="0" w:space="0" w:color="auto"/>
                    <w:left w:val="none" w:sz="0" w:space="0" w:color="auto"/>
                    <w:bottom w:val="none" w:sz="0" w:space="0" w:color="auto"/>
                    <w:right w:val="none" w:sz="0" w:space="0" w:color="auto"/>
                  </w:divBdr>
                  <w:divsChild>
                    <w:div w:id="1081828957">
                      <w:marLeft w:val="0"/>
                      <w:marRight w:val="0"/>
                      <w:marTop w:val="0"/>
                      <w:marBottom w:val="0"/>
                      <w:divBdr>
                        <w:top w:val="none" w:sz="0" w:space="0" w:color="auto"/>
                        <w:left w:val="none" w:sz="0" w:space="0" w:color="auto"/>
                        <w:bottom w:val="none" w:sz="0" w:space="0" w:color="auto"/>
                        <w:right w:val="none" w:sz="0" w:space="0" w:color="auto"/>
                      </w:divBdr>
                      <w:divsChild>
                        <w:div w:id="130523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3378699">
          <w:marLeft w:val="0"/>
          <w:marRight w:val="0"/>
          <w:marTop w:val="0"/>
          <w:marBottom w:val="0"/>
          <w:divBdr>
            <w:top w:val="none" w:sz="0" w:space="0" w:color="auto"/>
            <w:left w:val="none" w:sz="0" w:space="0" w:color="auto"/>
            <w:bottom w:val="none" w:sz="0" w:space="0" w:color="auto"/>
            <w:right w:val="none" w:sz="0" w:space="0" w:color="auto"/>
          </w:divBdr>
        </w:div>
        <w:div w:id="977035166">
          <w:marLeft w:val="0"/>
          <w:marRight w:val="0"/>
          <w:marTop w:val="0"/>
          <w:marBottom w:val="0"/>
          <w:divBdr>
            <w:top w:val="none" w:sz="0" w:space="0" w:color="auto"/>
            <w:left w:val="none" w:sz="0" w:space="0" w:color="auto"/>
            <w:bottom w:val="none" w:sz="0" w:space="0" w:color="auto"/>
            <w:right w:val="none" w:sz="0" w:space="0" w:color="auto"/>
          </w:divBdr>
          <w:divsChild>
            <w:div w:id="913246440">
              <w:marLeft w:val="0"/>
              <w:marRight w:val="0"/>
              <w:marTop w:val="0"/>
              <w:marBottom w:val="0"/>
              <w:divBdr>
                <w:top w:val="none" w:sz="0" w:space="0" w:color="auto"/>
                <w:left w:val="none" w:sz="0" w:space="0" w:color="auto"/>
                <w:bottom w:val="none" w:sz="0" w:space="0" w:color="auto"/>
                <w:right w:val="none" w:sz="0" w:space="0" w:color="auto"/>
              </w:divBdr>
              <w:divsChild>
                <w:div w:id="1761682783">
                  <w:marLeft w:val="0"/>
                  <w:marRight w:val="0"/>
                  <w:marTop w:val="0"/>
                  <w:marBottom w:val="0"/>
                  <w:divBdr>
                    <w:top w:val="none" w:sz="0" w:space="0" w:color="auto"/>
                    <w:left w:val="none" w:sz="0" w:space="0" w:color="auto"/>
                    <w:bottom w:val="none" w:sz="0" w:space="0" w:color="auto"/>
                    <w:right w:val="none" w:sz="0" w:space="0" w:color="auto"/>
                  </w:divBdr>
                  <w:divsChild>
                    <w:div w:id="420687050">
                      <w:marLeft w:val="0"/>
                      <w:marRight w:val="0"/>
                      <w:marTop w:val="0"/>
                      <w:marBottom w:val="0"/>
                      <w:divBdr>
                        <w:top w:val="none" w:sz="0" w:space="0" w:color="auto"/>
                        <w:left w:val="none" w:sz="0" w:space="0" w:color="auto"/>
                        <w:bottom w:val="none" w:sz="0" w:space="0" w:color="auto"/>
                        <w:right w:val="none" w:sz="0" w:space="0" w:color="auto"/>
                      </w:divBdr>
                      <w:divsChild>
                        <w:div w:id="3258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284275">
          <w:marLeft w:val="0"/>
          <w:marRight w:val="0"/>
          <w:marTop w:val="0"/>
          <w:marBottom w:val="0"/>
          <w:divBdr>
            <w:top w:val="none" w:sz="0" w:space="0" w:color="auto"/>
            <w:left w:val="none" w:sz="0" w:space="0" w:color="auto"/>
            <w:bottom w:val="none" w:sz="0" w:space="0" w:color="auto"/>
            <w:right w:val="none" w:sz="0" w:space="0" w:color="auto"/>
          </w:divBdr>
          <w:divsChild>
            <w:div w:id="80489305">
              <w:marLeft w:val="0"/>
              <w:marRight w:val="0"/>
              <w:marTop w:val="0"/>
              <w:marBottom w:val="0"/>
              <w:divBdr>
                <w:top w:val="none" w:sz="0" w:space="0" w:color="auto"/>
                <w:left w:val="none" w:sz="0" w:space="0" w:color="auto"/>
                <w:bottom w:val="none" w:sz="0" w:space="0" w:color="auto"/>
                <w:right w:val="none" w:sz="0" w:space="0" w:color="auto"/>
              </w:divBdr>
              <w:divsChild>
                <w:div w:id="1266425764">
                  <w:marLeft w:val="0"/>
                  <w:marRight w:val="0"/>
                  <w:marTop w:val="0"/>
                  <w:marBottom w:val="0"/>
                  <w:divBdr>
                    <w:top w:val="none" w:sz="0" w:space="0" w:color="auto"/>
                    <w:left w:val="none" w:sz="0" w:space="0" w:color="auto"/>
                    <w:bottom w:val="none" w:sz="0" w:space="0" w:color="auto"/>
                    <w:right w:val="none" w:sz="0" w:space="0" w:color="auto"/>
                  </w:divBdr>
                </w:div>
                <w:div w:id="199957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788002">
          <w:marLeft w:val="0"/>
          <w:marRight w:val="0"/>
          <w:marTop w:val="0"/>
          <w:marBottom w:val="0"/>
          <w:divBdr>
            <w:top w:val="none" w:sz="0" w:space="0" w:color="auto"/>
            <w:left w:val="none" w:sz="0" w:space="0" w:color="auto"/>
            <w:bottom w:val="none" w:sz="0" w:space="0" w:color="auto"/>
            <w:right w:val="none" w:sz="0" w:space="0" w:color="auto"/>
          </w:divBdr>
        </w:div>
        <w:div w:id="190997340">
          <w:marLeft w:val="0"/>
          <w:marRight w:val="0"/>
          <w:marTop w:val="0"/>
          <w:marBottom w:val="0"/>
          <w:divBdr>
            <w:top w:val="none" w:sz="0" w:space="0" w:color="auto"/>
            <w:left w:val="none" w:sz="0" w:space="0" w:color="auto"/>
            <w:bottom w:val="none" w:sz="0" w:space="0" w:color="auto"/>
            <w:right w:val="none" w:sz="0" w:space="0" w:color="auto"/>
          </w:divBdr>
          <w:divsChild>
            <w:div w:id="1097285356">
              <w:marLeft w:val="0"/>
              <w:marRight w:val="0"/>
              <w:marTop w:val="0"/>
              <w:marBottom w:val="0"/>
              <w:divBdr>
                <w:top w:val="none" w:sz="0" w:space="0" w:color="auto"/>
                <w:left w:val="none" w:sz="0" w:space="0" w:color="auto"/>
                <w:bottom w:val="none" w:sz="0" w:space="0" w:color="auto"/>
                <w:right w:val="none" w:sz="0" w:space="0" w:color="auto"/>
              </w:divBdr>
              <w:divsChild>
                <w:div w:id="1698892652">
                  <w:marLeft w:val="0"/>
                  <w:marRight w:val="0"/>
                  <w:marTop w:val="0"/>
                  <w:marBottom w:val="0"/>
                  <w:divBdr>
                    <w:top w:val="none" w:sz="0" w:space="0" w:color="auto"/>
                    <w:left w:val="none" w:sz="0" w:space="0" w:color="auto"/>
                    <w:bottom w:val="none" w:sz="0" w:space="0" w:color="auto"/>
                    <w:right w:val="none" w:sz="0" w:space="0" w:color="auto"/>
                  </w:divBdr>
                </w:div>
                <w:div w:id="679821399">
                  <w:marLeft w:val="0"/>
                  <w:marRight w:val="0"/>
                  <w:marTop w:val="0"/>
                  <w:marBottom w:val="0"/>
                  <w:divBdr>
                    <w:top w:val="none" w:sz="0" w:space="0" w:color="auto"/>
                    <w:left w:val="none" w:sz="0" w:space="0" w:color="auto"/>
                    <w:bottom w:val="none" w:sz="0" w:space="0" w:color="auto"/>
                    <w:right w:val="none" w:sz="0" w:space="0" w:color="auto"/>
                  </w:divBdr>
                </w:div>
                <w:div w:id="1703631178">
                  <w:marLeft w:val="0"/>
                  <w:marRight w:val="0"/>
                  <w:marTop w:val="0"/>
                  <w:marBottom w:val="0"/>
                  <w:divBdr>
                    <w:top w:val="none" w:sz="0" w:space="0" w:color="auto"/>
                    <w:left w:val="none" w:sz="0" w:space="0" w:color="auto"/>
                    <w:bottom w:val="none" w:sz="0" w:space="0" w:color="auto"/>
                    <w:right w:val="none" w:sz="0" w:space="0" w:color="auto"/>
                  </w:divBdr>
                </w:div>
                <w:div w:id="41682704">
                  <w:marLeft w:val="0"/>
                  <w:marRight w:val="0"/>
                  <w:marTop w:val="0"/>
                  <w:marBottom w:val="0"/>
                  <w:divBdr>
                    <w:top w:val="none" w:sz="0" w:space="0" w:color="auto"/>
                    <w:left w:val="none" w:sz="0" w:space="0" w:color="auto"/>
                    <w:bottom w:val="none" w:sz="0" w:space="0" w:color="auto"/>
                    <w:right w:val="none" w:sz="0" w:space="0" w:color="auto"/>
                  </w:divBdr>
                </w:div>
                <w:div w:id="2084793653">
                  <w:marLeft w:val="0"/>
                  <w:marRight w:val="0"/>
                  <w:marTop w:val="0"/>
                  <w:marBottom w:val="0"/>
                  <w:divBdr>
                    <w:top w:val="none" w:sz="0" w:space="0" w:color="auto"/>
                    <w:left w:val="none" w:sz="0" w:space="0" w:color="auto"/>
                    <w:bottom w:val="none" w:sz="0" w:space="0" w:color="auto"/>
                    <w:right w:val="none" w:sz="0" w:space="0" w:color="auto"/>
                  </w:divBdr>
                </w:div>
                <w:div w:id="1116095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petroleum-system"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geochemistr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organic-carbon" TargetMode="External"/><Relationship Id="rId5" Type="http://schemas.openxmlformats.org/officeDocument/2006/relationships/hyperlink" Target="https://www.sciencedirect.com/topics/earth-and-planetary-sciences/paleogene" TargetMode="External"/><Relationship Id="rId10" Type="http://schemas.openxmlformats.org/officeDocument/2006/relationships/theme" Target="theme/theme1.xml"/><Relationship Id="rId4" Type="http://schemas.openxmlformats.org/officeDocument/2006/relationships/hyperlink" Target="https://www.sciencedirect.com/topics/earth-and-planetary-sciences/pyrolysis"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1027</Words>
  <Characters>5860</Characters>
  <Application>Microsoft Office Word</Application>
  <DocSecurity>0</DocSecurity>
  <Lines>48</Lines>
  <Paragraphs>13</Paragraphs>
  <ScaleCrop>false</ScaleCrop>
  <Company/>
  <LinksUpToDate>false</LinksUpToDate>
  <CharactersWithSpaces>6874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2025-05-10T04:01:00Z</dcterms:created>
  <dcterms:modified xsi:type="dcterms:W3CDTF">2025-05-10T04:02:00Z</dcterms:modified>
</cp:coreProperties>
</file>