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2147" w:rsidRPr="00002147" w:rsidRDefault="00002147" w:rsidP="0000214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002147">
        <w:rPr>
          <w:rFonts w:ascii="Times New Roman" w:eastAsia="Times New Roman" w:hAnsi="Times New Roman" w:cs="Times New Roman"/>
          <w:b/>
          <w:bCs/>
          <w:kern w:val="36"/>
          <w:sz w:val="48"/>
          <w:szCs w:val="48"/>
          <w:lang w:val="en-US" w:eastAsia="ru-RU"/>
        </w:rPr>
        <w:t>Light rare earth element depleted to enriched basaltic flows from 2.8 to 2.7 Ga greenstone belts of the Uchi Subprovince, Ontario, Canada</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Author links open overlay panel</w:t>
      </w:r>
      <w:bookmarkStart w:id="0" w:name="baep-author-id12-profile"/>
      <w:proofErr w:type="spellStart"/>
      <w:r w:rsidRPr="00002147">
        <w:rPr>
          <w:rFonts w:ascii="Times New Roman" w:eastAsia="Times New Roman" w:hAnsi="Times New Roman" w:cs="Times New Roman"/>
          <w:sz w:val="24"/>
          <w:szCs w:val="24"/>
          <w:lang w:eastAsia="ru-RU"/>
        </w:rPr>
        <w:fldChar w:fldCharType="begin"/>
      </w:r>
      <w:proofErr w:type="spellEnd"/>
      <w:r w:rsidRPr="00002147">
        <w:rPr>
          <w:rFonts w:ascii="Times New Roman" w:eastAsia="Times New Roman" w:hAnsi="Times New Roman" w:cs="Times New Roman"/>
          <w:sz w:val="24"/>
          <w:szCs w:val="24"/>
          <w:lang w:val="en-US" w:eastAsia="ru-RU"/>
        </w:rPr>
        <w:instrText xml:space="preserve"> HYPERLINK "https://www.sciencedirect.com/author/7003717898/pete-n-hollings" </w:instrText>
      </w:r>
      <w:proofErr w:type="spellStart"/>
      <w:r w:rsidRPr="00002147">
        <w:rPr>
          <w:rFonts w:ascii="Times New Roman" w:eastAsia="Times New Roman" w:hAnsi="Times New Roman" w:cs="Times New Roman"/>
          <w:sz w:val="24"/>
          <w:szCs w:val="24"/>
          <w:lang w:eastAsia="ru-RU"/>
        </w:rPr>
        <w:fldChar w:fldCharType="separate"/>
      </w:r>
      <w:proofErr w:type="spellEnd"/>
      <w:r w:rsidRPr="00002147">
        <w:rPr>
          <w:rFonts w:ascii="Times New Roman" w:eastAsia="Times New Roman" w:hAnsi="Times New Roman" w:cs="Times New Roman"/>
          <w:color w:val="0000FF"/>
          <w:sz w:val="24"/>
          <w:szCs w:val="24"/>
          <w:u w:val="single"/>
          <w:lang w:val="en-US" w:eastAsia="ru-RU"/>
        </w:rPr>
        <w:t xml:space="preserve">Pete Hollings </w:t>
      </w:r>
      <w:r w:rsidRPr="00002147">
        <w:rPr>
          <w:rFonts w:ascii="Times New Roman" w:eastAsia="Times New Roman" w:hAnsi="Times New Roman" w:cs="Times New Roman"/>
          <w:color w:val="0000FF"/>
          <w:sz w:val="24"/>
          <w:szCs w:val="24"/>
          <w:u w:val="single"/>
          <w:vertAlign w:val="superscript"/>
          <w:lang w:val="en-US" w:eastAsia="ru-RU"/>
        </w:rPr>
        <w:t>a</w:t>
      </w:r>
      <w:r w:rsidRPr="00002147">
        <w:rPr>
          <w:rFonts w:ascii="Times New Roman" w:eastAsia="Times New Roman" w:hAnsi="Times New Roman" w:cs="Times New Roman"/>
          <w:sz w:val="24"/>
          <w:szCs w:val="24"/>
          <w:lang w:eastAsia="ru-RU"/>
        </w:rPr>
        <w:fldChar w:fldCharType="end"/>
      </w:r>
      <w:bookmarkEnd w:id="0"/>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 xml:space="preserve">, Robert Kerrich </w:t>
      </w:r>
      <w:r w:rsidRPr="00002147">
        <w:rPr>
          <w:rFonts w:ascii="Times New Roman" w:eastAsia="Times New Roman" w:hAnsi="Times New Roman" w:cs="Times New Roman"/>
          <w:sz w:val="24"/>
          <w:szCs w:val="24"/>
          <w:vertAlign w:val="superscript"/>
          <w:lang w:val="en-US" w:eastAsia="ru-RU"/>
        </w:rPr>
        <w:t>b</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Show moreAdd to Mendeley</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Share</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Cite</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"https://doi.org/10.1016/j.chemgeo.2005.09.010" \o "Persistent link using digital object identifier" \t "_blank"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https://doi.org/10.1016/j.chemgeo.2005.09.010</w:t>
      </w:r>
      <w:r w:rsidRPr="00002147">
        <w:rPr>
          <w:rFonts w:ascii="Times New Roman" w:eastAsia="Times New Roman" w:hAnsi="Times New Roman" w:cs="Times New Roman"/>
          <w:sz w:val="24"/>
          <w:szCs w:val="24"/>
          <w:lang w:eastAsia="ru-RU"/>
        </w:rPr>
        <w:fldChar w:fldCharType="end"/>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"https://s100.copyright.com/AppDispatchServlet?publisherName=ELS&amp;contentID=S0009254105003979&amp;orderBeanReset=true" \t "_blank"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Get rights and content</w:t>
      </w:r>
      <w:r w:rsidRPr="00002147">
        <w:rPr>
          <w:rFonts w:ascii="Times New Roman" w:eastAsia="Times New Roman" w:hAnsi="Times New Roman" w:cs="Times New Roman"/>
          <w:sz w:val="24"/>
          <w:szCs w:val="24"/>
          <w:lang w:eastAsia="ru-RU"/>
        </w:rPr>
        <w:fldChar w:fldCharType="end"/>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Abstract</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 xml:space="preserve">A compositionally diverse group of basaltic flows are present in the 2.7 Ga St. Joseph assemblage of the St. Joseph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"https://www.sciencedirect.com/topics/earth-and-planetary-sciences/greenstone-belt" \o "Learn more about greenstone belt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greenstone belt</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Uchi Subprovince. A spectrum of light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"https://www.sciencedirect.com/topics/earth-and-planetary-sciences/rare-earth-element" \o "Learn more about rare earth element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rare earth element</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(LREE) depleted to enriched patterns corresponds to low-, medium- and high-K series (LKS, MKS, HKS)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"https://www.sciencedirect.com/topics/earth-and-planetary-sciences/basalt" \o "Learn more about basalts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basalts</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"https://www.sciencedirect.com/topics/earth-and-planetary-sciences/shoshonite" \o "Learn more about shoshonites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shoshonites</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and leucitites of some modern arcs. More primitive, tholeiitic LKS and MKS basalts plot with counterparts from modern intraoceanic arcs, such as the South Sandwich Islands, and show no evidence of contamination by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"https://www.sciencedirect.com/topics/earth-and-planetary-sciences/continental-crust" \o "Learn more about continental crust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continental crust</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Consequently they are interpreted to have erupted in an oceanic setting. There is an array from low Nb with high Zr/Nb (29) to high Nb but lower Zr/Nb (15) indicative of a mantle wedge similar to average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"https://www.sciencedirect.com/topics/earth-and-planetary-sciences/mid-ocean-ridge-basalt" \o "Learn more about mid ocean ridge basalts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mid ocean ridge basalts</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(MORB; average Zr/Nb = 32). These basalts also show positive to negative Nb, Hf and Zr anomalies. Negative anomalies are interpreted as the product of first stage melting, where LREE and MREE are added to the mantle wedge from dehydration of the slab, leaving a residue with high Nb/La, Hf/Nd and Zr/Nd. Second stage melts inherit the high HFSE/REE ratios. Within the Birch–Uchi greenstone belt, basalts of the </w:t>
      </w:r>
      <w:r w:rsidRPr="00002147">
        <w:rPr>
          <w:rFonts w:ascii="Cambria Math" w:eastAsia="Times New Roman" w:hAnsi="Cambria Math" w:cs="Cambria Math"/>
          <w:sz w:val="24"/>
          <w:szCs w:val="24"/>
          <w:lang w:val="en-US" w:eastAsia="ru-RU"/>
        </w:rPr>
        <w:t>∼</w:t>
      </w:r>
      <w:r w:rsidRPr="00002147">
        <w:rPr>
          <w:rFonts w:ascii="Times New Roman" w:eastAsia="Times New Roman" w:hAnsi="Times New Roman" w:cs="Times New Roman"/>
          <w:sz w:val="24"/>
          <w:szCs w:val="24"/>
          <w:lang w:val="en-US" w:eastAsia="ru-RU"/>
        </w:rPr>
        <w:t xml:space="preserve">2.8 Ga Woman assemblage includes both LKS and HKS. These are characterized by similar Nb–Zr/Nb and HFSE/REE systematics, signifying that these are general features of sub-arc mantle wedges that developed over 100 Ma in Uchi subprovince arcs. Enriched St. Joseph assemblage basaltic rocks cannot stem from sediment melting on the slab, as Th/Ce ratios are generally &lt; 0.1. Neither can they derive from an </w:t>
      </w:r>
      <w:r w:rsidRPr="00002147">
        <w:rPr>
          <w:rFonts w:ascii="Times New Roman" w:eastAsia="Times New Roman" w:hAnsi="Times New Roman" w:cs="Times New Roman"/>
          <w:sz w:val="24"/>
          <w:szCs w:val="24"/>
          <w:lang w:eastAsia="ru-RU"/>
        </w:rPr>
        <w:fldChar w:fldCharType="begin"/>
      </w:r>
      <w:r w:rsidRPr="00002147">
        <w:rPr>
          <w:rFonts w:ascii="Times New Roman" w:eastAsia="Times New Roman" w:hAnsi="Times New Roman" w:cs="Times New Roman"/>
          <w:sz w:val="24"/>
          <w:szCs w:val="24"/>
          <w:lang w:val="en-US" w:eastAsia="ru-RU"/>
        </w:rPr>
        <w:instrText xml:space="preserve"> HYPERLINK "https://www.sciencedirect.com/topics/earth-and-planetary-sciences/ocean-island-basalt" \o "Learn more about ocean island basalt from ScienceDirect's AI-generated Topic Pages" </w:instrText>
      </w:r>
      <w:r w:rsidRPr="00002147">
        <w:rPr>
          <w:rFonts w:ascii="Times New Roman" w:eastAsia="Times New Roman" w:hAnsi="Times New Roman" w:cs="Times New Roman"/>
          <w:sz w:val="24"/>
          <w:szCs w:val="24"/>
          <w:lang w:eastAsia="ru-RU"/>
        </w:rPr>
        <w:fldChar w:fldCharType="separate"/>
      </w:r>
      <w:r w:rsidRPr="00002147">
        <w:rPr>
          <w:rFonts w:ascii="Times New Roman" w:eastAsia="Times New Roman" w:hAnsi="Times New Roman" w:cs="Times New Roman"/>
          <w:color w:val="0000FF"/>
          <w:sz w:val="24"/>
          <w:szCs w:val="24"/>
          <w:u w:val="single"/>
          <w:lang w:val="en-US" w:eastAsia="ru-RU"/>
        </w:rPr>
        <w:t>ocean island basalt</w:t>
      </w:r>
      <w:r w:rsidRPr="00002147">
        <w:rPr>
          <w:rFonts w:ascii="Times New Roman" w:eastAsia="Times New Roman" w:hAnsi="Times New Roman" w:cs="Times New Roman"/>
          <w:sz w:val="24"/>
          <w:szCs w:val="24"/>
          <w:lang w:eastAsia="ru-RU"/>
        </w:rPr>
        <w:fldChar w:fldCharType="end"/>
      </w:r>
      <w:r w:rsidRPr="00002147">
        <w:rPr>
          <w:rFonts w:ascii="Times New Roman" w:eastAsia="Times New Roman" w:hAnsi="Times New Roman" w:cs="Times New Roman"/>
          <w:sz w:val="24"/>
          <w:szCs w:val="24"/>
          <w:lang w:val="en-US" w:eastAsia="ru-RU"/>
        </w:rPr>
        <w:t xml:space="preserve"> component because Nb anomalies do not correlate with La/Yb</w:t>
      </w:r>
      <w:r w:rsidRPr="00002147">
        <w:rPr>
          <w:rFonts w:ascii="Times New Roman" w:eastAsia="Times New Roman" w:hAnsi="Times New Roman" w:cs="Times New Roman"/>
          <w:sz w:val="24"/>
          <w:szCs w:val="24"/>
          <w:vertAlign w:val="subscript"/>
          <w:lang w:val="en-US" w:eastAsia="ru-RU"/>
        </w:rPr>
        <w:t>n</w:t>
      </w:r>
      <w:r w:rsidRPr="00002147">
        <w:rPr>
          <w:rFonts w:ascii="Times New Roman" w:eastAsia="Times New Roman" w:hAnsi="Times New Roman" w:cs="Times New Roman"/>
          <w:sz w:val="24"/>
          <w:szCs w:val="24"/>
          <w:lang w:val="en-US" w:eastAsia="ru-RU"/>
        </w:rPr>
        <w:t>. Rather, the trend from primitive LKS through MKS to HKS, leucitite and shoshonite is interpreted to reflect progressively lower degrees of partial melting at increasing depths and/or less depleted mantle wedge.</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Introduction</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 xml:space="preserve">The Uchi subprovince in Northern Ontario preserves evidence of intermittent periods of volcanism over a period of </w:t>
      </w:r>
      <w:r w:rsidRPr="00002147">
        <w:rPr>
          <w:rFonts w:ascii="Cambria Math" w:eastAsia="Times New Roman" w:hAnsi="Cambria Math" w:cs="Cambria Math"/>
          <w:sz w:val="24"/>
          <w:szCs w:val="24"/>
          <w:lang w:val="en-US" w:eastAsia="ru-RU"/>
        </w:rPr>
        <w:t>∼</w:t>
      </w:r>
      <w:r w:rsidRPr="00002147">
        <w:rPr>
          <w:rFonts w:ascii="Times New Roman" w:eastAsia="Times New Roman" w:hAnsi="Times New Roman" w:cs="Times New Roman"/>
          <w:sz w:val="24"/>
          <w:szCs w:val="24"/>
          <w:lang w:val="en-US" w:eastAsia="ru-RU"/>
        </w:rPr>
        <w:t xml:space="preserve">300 million years (e.g., Stott and Corfu, 1991). Recent studies of the subprovince have focused on Mesoarchean assemblages in the Red Lake and Pickle Lake greenstone belts, where </w:t>
      </w:r>
      <w:r w:rsidRPr="00002147">
        <w:rPr>
          <w:rFonts w:ascii="Cambria Math" w:eastAsia="Times New Roman" w:hAnsi="Cambria Math" w:cs="Cambria Math"/>
          <w:sz w:val="24"/>
          <w:szCs w:val="24"/>
          <w:lang w:val="en-US" w:eastAsia="ru-RU"/>
        </w:rPr>
        <w:t>∼</w:t>
      </w:r>
      <w:r w:rsidRPr="00002147">
        <w:rPr>
          <w:rFonts w:ascii="Times New Roman" w:eastAsia="Times New Roman" w:hAnsi="Times New Roman" w:cs="Times New Roman"/>
          <w:sz w:val="24"/>
          <w:szCs w:val="24"/>
          <w:lang w:val="en-US" w:eastAsia="ru-RU"/>
        </w:rPr>
        <w:t xml:space="preserve">3.0 Ga plume-related komatiite–tholeiite sequences with rare felsic flows dominate the stratigraphic sequence (e.g., Tomlinson et al., 1998, Hollings et al., 1999, Hollings, 2002). To date only a limited number of studies have investigated the geochemistry and tectonic setting of the younger </w:t>
      </w:r>
      <w:r w:rsidRPr="00002147">
        <w:rPr>
          <w:rFonts w:ascii="Cambria Math" w:eastAsia="Times New Roman" w:hAnsi="Cambria Math" w:cs="Cambria Math"/>
          <w:sz w:val="24"/>
          <w:szCs w:val="24"/>
          <w:lang w:val="en-US" w:eastAsia="ru-RU"/>
        </w:rPr>
        <w:t>∼</w:t>
      </w:r>
      <w:r w:rsidRPr="00002147">
        <w:rPr>
          <w:rFonts w:ascii="Times New Roman" w:eastAsia="Times New Roman" w:hAnsi="Times New Roman" w:cs="Times New Roman"/>
          <w:sz w:val="24"/>
          <w:szCs w:val="24"/>
          <w:lang w:val="en-US" w:eastAsia="ru-RU"/>
        </w:rPr>
        <w:t xml:space="preserve">2.8 and </w:t>
      </w:r>
      <w:r w:rsidRPr="00002147">
        <w:rPr>
          <w:rFonts w:ascii="Cambria Math" w:eastAsia="Times New Roman" w:hAnsi="Cambria Math" w:cs="Cambria Math"/>
          <w:sz w:val="24"/>
          <w:szCs w:val="24"/>
          <w:lang w:val="en-US" w:eastAsia="ru-RU"/>
        </w:rPr>
        <w:t>∼</w:t>
      </w:r>
      <w:r w:rsidRPr="00002147">
        <w:rPr>
          <w:rFonts w:ascii="Times New Roman" w:eastAsia="Times New Roman" w:hAnsi="Times New Roman" w:cs="Times New Roman"/>
          <w:sz w:val="24"/>
          <w:szCs w:val="24"/>
          <w:lang w:val="en-US" w:eastAsia="ru-RU"/>
        </w:rPr>
        <w:t xml:space="preserve">2.7 Ga Woman, Kaminiskag, Confederation and St. Joseph assemblages that are characterised by arc-like geochemistry (e.g., Hollings et al., </w:t>
      </w:r>
      <w:r w:rsidRPr="00002147">
        <w:rPr>
          <w:rFonts w:ascii="Times New Roman" w:eastAsia="Times New Roman" w:hAnsi="Times New Roman" w:cs="Times New Roman"/>
          <w:sz w:val="24"/>
          <w:szCs w:val="24"/>
          <w:lang w:val="en-US" w:eastAsia="ru-RU"/>
        </w:rPr>
        <w:lastRenderedPageBreak/>
        <w:t xml:space="preserve">2000, Hollings and Kerrich, 2000; Table 1). The </w:t>
      </w:r>
      <w:r w:rsidRPr="00002147">
        <w:rPr>
          <w:rFonts w:ascii="Cambria Math" w:eastAsia="Times New Roman" w:hAnsi="Cambria Math" w:cs="Cambria Math"/>
          <w:sz w:val="24"/>
          <w:szCs w:val="24"/>
          <w:lang w:val="en-US" w:eastAsia="ru-RU"/>
        </w:rPr>
        <w:t>∼</w:t>
      </w:r>
      <w:r w:rsidRPr="00002147">
        <w:rPr>
          <w:rFonts w:ascii="Times New Roman" w:eastAsia="Times New Roman" w:hAnsi="Times New Roman" w:cs="Times New Roman"/>
          <w:sz w:val="24"/>
          <w:szCs w:val="24"/>
          <w:lang w:val="en-US" w:eastAsia="ru-RU"/>
        </w:rPr>
        <w:t>2.84 Ga Woman assemblage preserves one of the first phases of arc related magmatism free of plume-related rocks in the Uchi subprovince. In contrast, the 2.7 Ga St. Joseph assemblage represents the youngest phase of volcanism preserved in the Uchi subprovince and consequently offers an excellent opportunity to evaluate the terminal nature of arc magmatism proximal to the margins of an Archean protocontinent.</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In several modern arcs, basaltic rocks have a spectrum of incompatible element contents from LREE-depleted low-K tholeiites through medium- and high-K, to LREE-enriched shoshonites and leucitites. In some arcs there is a spatial relationship between K and LREE contents from forearc to rear-arc corresponding to the depth to the Benioff zone (K–h relationship), whereas in other arcs there is not (Stern et al., 1993, Hochstaedter et al., 2001, Elburg et al., 2002 and references therein). Some arcs, such as the Mariana and Lesser Antilles volcanic chains, show variation of incompatible element contents along the arc axis due to increased sediment input (Elliott et al., 1997, MacDonald et al., 2000), whereas in the Tonga–Kermadec–Lau arc–back arc system compositional variability of basalts has been attributed to pre-existing heterogeneities in the upper mantle wedge (Ewart et al., 1998).</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We report high precision trace element data for basaltic volcanic rocks from the St. Joseph assemblage of the Lake St. Joseph greenstone belt, and from the Woman assemblage in the Birch–Uchi greenstone belt, collectively of the Uchi subprovince (Fig. 1). Tholeiitic, calc–alkaline and alkali basalts with the characteristics of recent arc basalts are present in the St. Joseph assemblage, whereas only the former two and a single shoshonite are present in the Woman assemblage. Accordingly, we use the trace element systematics to assess the possible causes of compositional variation documented for modern arc basalts and attempt to constrain the geodynamic setting, particularly whether the volcanic rocks were erupted in an intraoceanic setting or at a continental margin.</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_GoBack"/>
      <w:bookmarkEnd w:id="1"/>
      <w:proofErr w:type="spellStart"/>
      <w:r w:rsidRPr="00002147">
        <w:rPr>
          <w:rFonts w:ascii="Times New Roman" w:eastAsia="Times New Roman" w:hAnsi="Times New Roman" w:cs="Times New Roman"/>
          <w:b/>
          <w:bCs/>
          <w:sz w:val="36"/>
          <w:szCs w:val="36"/>
          <w:lang w:eastAsia="ru-RU"/>
        </w:rPr>
        <w:t>Section</w:t>
      </w:r>
      <w:proofErr w:type="spellEnd"/>
      <w:r w:rsidRPr="00002147">
        <w:rPr>
          <w:rFonts w:ascii="Times New Roman" w:eastAsia="Times New Roman" w:hAnsi="Times New Roman" w:cs="Times New Roman"/>
          <w:b/>
          <w:bCs/>
          <w:sz w:val="36"/>
          <w:szCs w:val="36"/>
          <w:lang w:eastAsia="ru-RU"/>
        </w:rPr>
        <w:t xml:space="preserve"> </w:t>
      </w:r>
      <w:proofErr w:type="spellStart"/>
      <w:r w:rsidRPr="00002147">
        <w:rPr>
          <w:rFonts w:ascii="Times New Roman" w:eastAsia="Times New Roman" w:hAnsi="Times New Roman" w:cs="Times New Roman"/>
          <w:b/>
          <w:bCs/>
          <w:sz w:val="36"/>
          <w:szCs w:val="36"/>
          <w:lang w:eastAsia="ru-RU"/>
        </w:rPr>
        <w:t>snippets</w:t>
      </w:r>
      <w:proofErr w:type="spellEnd"/>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Geological background</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 xml:space="preserve">The Uchi greenstone–granite subprovince extends some 600 km from the Hudson Bay lowlands in the east across to the Ontario–Manitoba border in the west (Fig. 1). It is bounded to the north by the Sachigo subprovince and to the south by the metasedimentary English River subprovince. The Uchi subprovince comprises a number of greenstone belts, which contain sequences of volcanic rocks that record some 280 million years of volcanism and erosion from 3.0 to 2.7 Ga (Thurston and Fryer, 1983, Thurston </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Analytical techniques</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Weathered surfaces were removed from all samples at the University of Saskatchewan prior to crushing to &lt; 75</w:t>
      </w:r>
      <w:r w:rsidRPr="00002147">
        <w:rPr>
          <w:rFonts w:ascii="Times New Roman" w:eastAsia="Times New Roman" w:hAnsi="Times New Roman" w:cs="Times New Roman"/>
          <w:sz w:val="24"/>
          <w:szCs w:val="24"/>
          <w:lang w:eastAsia="ru-RU"/>
        </w:rPr>
        <w:t>μ</w:t>
      </w:r>
      <w:r w:rsidRPr="00002147">
        <w:rPr>
          <w:rFonts w:ascii="Times New Roman" w:eastAsia="Times New Roman" w:hAnsi="Times New Roman" w:cs="Times New Roman"/>
          <w:sz w:val="24"/>
          <w:szCs w:val="24"/>
          <w:lang w:val="en-US" w:eastAsia="ru-RU"/>
        </w:rPr>
        <w:t>m by X-ray Assay Laboratories (XRAL) Inc., Don Mills, Ontario. Agate mills were used so as to reduce risk of contamination of trace elements that occurs with tungsten carbide and some other materials (Jenner, 1996). Major elements were determined using X-ray fluorescence spectrometry (XRF) at XRAL laboratories, Ontario, Canada, using 2 g of sample prepared as a fused disk. In addition</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Results</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 xml:space="preserve">Five mafic suites have been identified in the St. Joseph assemblage of the Lake St. Joseph greenstone belt. The majority of St. Joseph assemblage basalts are tholeiitic with three plotting in the calc–alkaline field of Miyashiro (1974; Fig. 2A). Given the potential for mobility of K during </w:t>
      </w:r>
      <w:r w:rsidRPr="00002147">
        <w:rPr>
          <w:rFonts w:ascii="Times New Roman" w:eastAsia="Times New Roman" w:hAnsi="Times New Roman" w:cs="Times New Roman"/>
          <w:sz w:val="24"/>
          <w:szCs w:val="24"/>
          <w:lang w:val="en-US" w:eastAsia="ru-RU"/>
        </w:rPr>
        <w:lastRenderedPageBreak/>
        <w:t>seafloor hydrothermal alteration and metamorphism, as indicated by variable K</w:t>
      </w:r>
      <w:r w:rsidRPr="00002147">
        <w:rPr>
          <w:rFonts w:ascii="Times New Roman" w:eastAsia="Times New Roman" w:hAnsi="Times New Roman" w:cs="Times New Roman"/>
          <w:sz w:val="24"/>
          <w:szCs w:val="24"/>
          <w:vertAlign w:val="subscript"/>
          <w:lang w:val="en-US" w:eastAsia="ru-RU"/>
        </w:rPr>
        <w:t>2</w:t>
      </w:r>
      <w:r w:rsidRPr="00002147">
        <w:rPr>
          <w:rFonts w:ascii="Times New Roman" w:eastAsia="Times New Roman" w:hAnsi="Times New Roman" w:cs="Times New Roman"/>
          <w:sz w:val="24"/>
          <w:szCs w:val="24"/>
          <w:lang w:val="en-US" w:eastAsia="ru-RU"/>
        </w:rPr>
        <w:t>O contents of tholeiites (Table 3), use of the K</w:t>
      </w:r>
      <w:r w:rsidRPr="00002147">
        <w:rPr>
          <w:rFonts w:ascii="Times New Roman" w:eastAsia="Times New Roman" w:hAnsi="Times New Roman" w:cs="Times New Roman"/>
          <w:sz w:val="24"/>
          <w:szCs w:val="24"/>
          <w:vertAlign w:val="subscript"/>
          <w:lang w:val="en-US" w:eastAsia="ru-RU"/>
        </w:rPr>
        <w:t>2</w:t>
      </w:r>
      <w:r w:rsidRPr="00002147">
        <w:rPr>
          <w:rFonts w:ascii="Times New Roman" w:eastAsia="Times New Roman" w:hAnsi="Times New Roman" w:cs="Times New Roman"/>
          <w:sz w:val="24"/>
          <w:szCs w:val="24"/>
          <w:lang w:val="en-US" w:eastAsia="ru-RU"/>
        </w:rPr>
        <w:t>O versus SiO</w:t>
      </w:r>
      <w:r w:rsidRPr="00002147">
        <w:rPr>
          <w:rFonts w:ascii="Times New Roman" w:eastAsia="Times New Roman" w:hAnsi="Times New Roman" w:cs="Times New Roman"/>
          <w:sz w:val="24"/>
          <w:szCs w:val="24"/>
          <w:vertAlign w:val="subscript"/>
          <w:lang w:val="en-US" w:eastAsia="ru-RU"/>
        </w:rPr>
        <w:t>2</w:t>
      </w:r>
      <w:r w:rsidRPr="00002147">
        <w:rPr>
          <w:rFonts w:ascii="Times New Roman" w:eastAsia="Times New Roman" w:hAnsi="Times New Roman" w:cs="Times New Roman"/>
          <w:sz w:val="24"/>
          <w:szCs w:val="24"/>
          <w:lang w:val="en-US" w:eastAsia="ru-RU"/>
        </w:rPr>
        <w:t xml:space="preserve"> diagram of Peccerillo and Taylor (1976) for classification of these </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Alteration</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 xml:space="preserve">To minimise the effects of alteration, samples for geochemical analysis were screened for primary volcanic features, such as pillow structures, and petrographically for absence of secondary carbonate or sulphides. Compositionally the sample population was further screened for LOI, with the majority of samples having &lt; 3 wt.% (Table 3, Table 4). For Precambrian fine-grained mafic and ultramafic volcanic </w:t>
      </w:r>
      <w:proofErr w:type="gramStart"/>
      <w:r w:rsidRPr="00002147">
        <w:rPr>
          <w:rFonts w:ascii="Times New Roman" w:eastAsia="Times New Roman" w:hAnsi="Times New Roman" w:cs="Times New Roman"/>
          <w:sz w:val="24"/>
          <w:szCs w:val="24"/>
          <w:lang w:val="en-US" w:eastAsia="ru-RU"/>
        </w:rPr>
        <w:t>rocks</w:t>
      </w:r>
      <w:proofErr w:type="gramEnd"/>
      <w:r w:rsidRPr="00002147">
        <w:rPr>
          <w:rFonts w:ascii="Times New Roman" w:eastAsia="Times New Roman" w:hAnsi="Times New Roman" w:cs="Times New Roman"/>
          <w:sz w:val="24"/>
          <w:szCs w:val="24"/>
          <w:lang w:val="en-US" w:eastAsia="ru-RU"/>
        </w:rPr>
        <w:t xml:space="preserve"> it has been demonstrated that REE (Ce and Eu excepted), HFSE, Y, V, Al and Sc are least</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Implications and conclusions</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Abundances of LREE, P</w:t>
      </w:r>
      <w:r w:rsidRPr="00002147">
        <w:rPr>
          <w:rFonts w:ascii="Times New Roman" w:eastAsia="Times New Roman" w:hAnsi="Times New Roman" w:cs="Times New Roman"/>
          <w:sz w:val="24"/>
          <w:szCs w:val="24"/>
          <w:vertAlign w:val="subscript"/>
          <w:lang w:val="en-US" w:eastAsia="ru-RU"/>
        </w:rPr>
        <w:t>2</w:t>
      </w:r>
      <w:r w:rsidRPr="00002147">
        <w:rPr>
          <w:rFonts w:ascii="Times New Roman" w:eastAsia="Times New Roman" w:hAnsi="Times New Roman" w:cs="Times New Roman"/>
          <w:sz w:val="24"/>
          <w:szCs w:val="24"/>
          <w:lang w:val="en-US" w:eastAsia="ru-RU"/>
        </w:rPr>
        <w:t>O</w:t>
      </w:r>
      <w:r w:rsidRPr="00002147">
        <w:rPr>
          <w:rFonts w:ascii="Times New Roman" w:eastAsia="Times New Roman" w:hAnsi="Times New Roman" w:cs="Times New Roman"/>
          <w:sz w:val="24"/>
          <w:szCs w:val="24"/>
          <w:vertAlign w:val="subscript"/>
          <w:lang w:val="en-US" w:eastAsia="ru-RU"/>
        </w:rPr>
        <w:t>5</w:t>
      </w:r>
      <w:r w:rsidRPr="00002147">
        <w:rPr>
          <w:rFonts w:ascii="Times New Roman" w:eastAsia="Times New Roman" w:hAnsi="Times New Roman" w:cs="Times New Roman"/>
          <w:sz w:val="24"/>
          <w:szCs w:val="24"/>
          <w:lang w:val="en-US" w:eastAsia="ru-RU"/>
        </w:rPr>
        <w:t xml:space="preserve"> and HFSE in St. Joseph and Woman assemblage basalts increase progressively from tholeiitic (LKS) through calc–alkaline (MKS) to alkali basalts (HKS), shoshonites and leucitite. This compositional spectrum is present is some but not all Phanerozoic arcs. An enriched mantle source and melting of sediments on the slab can be ruled out for the more evolved basaltic rocks, such that progressively lower degrees of partial melting at greater depths is the most likely cause of</w:t>
      </w:r>
    </w:p>
    <w:p w:rsidR="00002147" w:rsidRPr="00002147" w:rsidRDefault="00002147" w:rsidP="00002147">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02147">
        <w:rPr>
          <w:rFonts w:ascii="Times New Roman" w:eastAsia="Times New Roman" w:hAnsi="Times New Roman" w:cs="Times New Roman"/>
          <w:b/>
          <w:bCs/>
          <w:sz w:val="36"/>
          <w:szCs w:val="36"/>
          <w:lang w:val="en-US" w:eastAsia="ru-RU"/>
        </w:rPr>
        <w:t>Acknowledgements</w:t>
      </w:r>
    </w:p>
    <w:p w:rsidR="00002147" w:rsidRPr="00002147" w:rsidRDefault="00002147" w:rsidP="00002147">
      <w:pPr>
        <w:spacing w:after="0" w:line="240" w:lineRule="auto"/>
        <w:rPr>
          <w:rFonts w:ascii="Times New Roman" w:eastAsia="Times New Roman" w:hAnsi="Times New Roman" w:cs="Times New Roman"/>
          <w:sz w:val="24"/>
          <w:szCs w:val="24"/>
          <w:lang w:val="en-US" w:eastAsia="ru-RU"/>
        </w:rPr>
      </w:pPr>
      <w:r w:rsidRPr="00002147">
        <w:rPr>
          <w:rFonts w:ascii="Times New Roman" w:eastAsia="Times New Roman" w:hAnsi="Times New Roman" w:cs="Times New Roman"/>
          <w:sz w:val="24"/>
          <w:szCs w:val="24"/>
          <w:lang w:val="en-US" w:eastAsia="ru-RU"/>
        </w:rPr>
        <w:t>The authors acknowledge financial support for this study from the Canadian Mining Industry Research Organization (CAMIRO) and a matching Natural Sciences and Engineering Research Council of Canada Industry Oriented Research grant. J. Dostal and an anonymous journal reviewer provided incisive critiques that greatly improved the final version. B. Morgan is thanked for assistance with ICP-MS analyses. We are grateful to K. McMullan for assistance with word processing and drafting</w:t>
      </w:r>
    </w:p>
    <w:p w:rsidR="00FE050D" w:rsidRPr="00002147" w:rsidRDefault="00FE050D">
      <w:pPr>
        <w:rPr>
          <w:lang w:val="en-US"/>
        </w:rPr>
      </w:pPr>
    </w:p>
    <w:sectPr w:rsidR="00FE050D" w:rsidRPr="00002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7"/>
    <w:rsid w:val="00002147"/>
    <w:rsid w:val="00FE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7FB6E-BB56-4488-A9B6-7BA02E53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021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21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14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2147"/>
    <w:rPr>
      <w:rFonts w:ascii="Times New Roman" w:eastAsia="Times New Roman" w:hAnsi="Times New Roman" w:cs="Times New Roman"/>
      <w:b/>
      <w:bCs/>
      <w:sz w:val="36"/>
      <w:szCs w:val="36"/>
      <w:lang w:eastAsia="ru-RU"/>
    </w:rPr>
  </w:style>
  <w:style w:type="character" w:customStyle="1" w:styleId="title-text">
    <w:name w:val="title-text"/>
    <w:basedOn w:val="a0"/>
    <w:rsid w:val="00002147"/>
  </w:style>
  <w:style w:type="character" w:customStyle="1" w:styleId="sr-only">
    <w:name w:val="sr-only"/>
    <w:basedOn w:val="a0"/>
    <w:rsid w:val="00002147"/>
  </w:style>
  <w:style w:type="character" w:styleId="a3">
    <w:name w:val="Hyperlink"/>
    <w:basedOn w:val="a0"/>
    <w:uiPriority w:val="99"/>
    <w:semiHidden/>
    <w:unhideWhenUsed/>
    <w:rsid w:val="00002147"/>
    <w:rPr>
      <w:color w:val="0000FF"/>
      <w:u w:val="single"/>
    </w:rPr>
  </w:style>
  <w:style w:type="character" w:customStyle="1" w:styleId="anchor-text">
    <w:name w:val="anchor-text"/>
    <w:basedOn w:val="a0"/>
    <w:rsid w:val="00002147"/>
  </w:style>
  <w:style w:type="character" w:customStyle="1" w:styleId="react-xocs-alternative-link">
    <w:name w:val="react-xocs-alternative-link"/>
    <w:basedOn w:val="a0"/>
    <w:rsid w:val="00002147"/>
  </w:style>
  <w:style w:type="character" w:customStyle="1" w:styleId="given-name">
    <w:name w:val="given-name"/>
    <w:basedOn w:val="a0"/>
    <w:rsid w:val="00002147"/>
  </w:style>
  <w:style w:type="character" w:customStyle="1" w:styleId="text">
    <w:name w:val="text"/>
    <w:basedOn w:val="a0"/>
    <w:rsid w:val="00002147"/>
  </w:style>
  <w:style w:type="character" w:customStyle="1" w:styleId="author-ref">
    <w:name w:val="author-ref"/>
    <w:basedOn w:val="a0"/>
    <w:rsid w:val="00002147"/>
  </w:style>
  <w:style w:type="character" w:customStyle="1" w:styleId="button-link-text">
    <w:name w:val="button-link-text"/>
    <w:basedOn w:val="a0"/>
    <w:rsid w:val="00002147"/>
  </w:style>
  <w:style w:type="paragraph" w:customStyle="1" w:styleId="text-s">
    <w:name w:val="text-s"/>
    <w:basedOn w:val="a"/>
    <w:rsid w:val="000021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8228677">
      <w:bodyDiv w:val="1"/>
      <w:marLeft w:val="0"/>
      <w:marRight w:val="0"/>
      <w:marTop w:val="0"/>
      <w:marBottom w:val="0"/>
      <w:divBdr>
        <w:top w:val="none" w:sz="0" w:space="0" w:color="auto"/>
        <w:left w:val="none" w:sz="0" w:space="0" w:color="auto"/>
        <w:bottom w:val="none" w:sz="0" w:space="0" w:color="auto"/>
        <w:right w:val="none" w:sz="0" w:space="0" w:color="auto"/>
      </w:divBdr>
      <w:divsChild>
        <w:div w:id="1419447945">
          <w:marLeft w:val="0"/>
          <w:marRight w:val="0"/>
          <w:marTop w:val="0"/>
          <w:marBottom w:val="0"/>
          <w:divBdr>
            <w:top w:val="none" w:sz="0" w:space="0" w:color="auto"/>
            <w:left w:val="none" w:sz="0" w:space="0" w:color="auto"/>
            <w:bottom w:val="none" w:sz="0" w:space="0" w:color="auto"/>
            <w:right w:val="none" w:sz="0" w:space="0" w:color="auto"/>
          </w:divBdr>
          <w:divsChild>
            <w:div w:id="1721515488">
              <w:marLeft w:val="0"/>
              <w:marRight w:val="0"/>
              <w:marTop w:val="0"/>
              <w:marBottom w:val="0"/>
              <w:divBdr>
                <w:top w:val="none" w:sz="0" w:space="0" w:color="auto"/>
                <w:left w:val="none" w:sz="0" w:space="0" w:color="auto"/>
                <w:bottom w:val="none" w:sz="0" w:space="0" w:color="auto"/>
                <w:right w:val="none" w:sz="0" w:space="0" w:color="auto"/>
              </w:divBdr>
              <w:divsChild>
                <w:div w:id="89787065">
                  <w:marLeft w:val="0"/>
                  <w:marRight w:val="0"/>
                  <w:marTop w:val="0"/>
                  <w:marBottom w:val="0"/>
                  <w:divBdr>
                    <w:top w:val="none" w:sz="0" w:space="0" w:color="auto"/>
                    <w:left w:val="none" w:sz="0" w:space="0" w:color="auto"/>
                    <w:bottom w:val="none" w:sz="0" w:space="0" w:color="auto"/>
                    <w:right w:val="none" w:sz="0" w:space="0" w:color="auto"/>
                  </w:divBdr>
                  <w:divsChild>
                    <w:div w:id="96851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50696">
          <w:marLeft w:val="0"/>
          <w:marRight w:val="0"/>
          <w:marTop w:val="0"/>
          <w:marBottom w:val="0"/>
          <w:divBdr>
            <w:top w:val="none" w:sz="0" w:space="0" w:color="auto"/>
            <w:left w:val="none" w:sz="0" w:space="0" w:color="auto"/>
            <w:bottom w:val="none" w:sz="0" w:space="0" w:color="auto"/>
            <w:right w:val="none" w:sz="0" w:space="0" w:color="auto"/>
          </w:divBdr>
          <w:divsChild>
            <w:div w:id="1324966805">
              <w:marLeft w:val="0"/>
              <w:marRight w:val="0"/>
              <w:marTop w:val="0"/>
              <w:marBottom w:val="0"/>
              <w:divBdr>
                <w:top w:val="none" w:sz="0" w:space="0" w:color="auto"/>
                <w:left w:val="none" w:sz="0" w:space="0" w:color="auto"/>
                <w:bottom w:val="none" w:sz="0" w:space="0" w:color="auto"/>
                <w:right w:val="none" w:sz="0" w:space="0" w:color="auto"/>
              </w:divBdr>
              <w:divsChild>
                <w:div w:id="8274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0797">
          <w:marLeft w:val="0"/>
          <w:marRight w:val="0"/>
          <w:marTop w:val="0"/>
          <w:marBottom w:val="0"/>
          <w:divBdr>
            <w:top w:val="none" w:sz="0" w:space="0" w:color="auto"/>
            <w:left w:val="none" w:sz="0" w:space="0" w:color="auto"/>
            <w:bottom w:val="none" w:sz="0" w:space="0" w:color="auto"/>
            <w:right w:val="none" w:sz="0" w:space="0" w:color="auto"/>
          </w:divBdr>
          <w:divsChild>
            <w:div w:id="1067722921">
              <w:marLeft w:val="0"/>
              <w:marRight w:val="0"/>
              <w:marTop w:val="0"/>
              <w:marBottom w:val="0"/>
              <w:divBdr>
                <w:top w:val="none" w:sz="0" w:space="0" w:color="auto"/>
                <w:left w:val="none" w:sz="0" w:space="0" w:color="auto"/>
                <w:bottom w:val="none" w:sz="0" w:space="0" w:color="auto"/>
                <w:right w:val="none" w:sz="0" w:space="0" w:color="auto"/>
              </w:divBdr>
              <w:divsChild>
                <w:div w:id="28535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10399">
          <w:marLeft w:val="0"/>
          <w:marRight w:val="0"/>
          <w:marTop w:val="0"/>
          <w:marBottom w:val="0"/>
          <w:divBdr>
            <w:top w:val="none" w:sz="0" w:space="0" w:color="auto"/>
            <w:left w:val="none" w:sz="0" w:space="0" w:color="auto"/>
            <w:bottom w:val="none" w:sz="0" w:space="0" w:color="auto"/>
            <w:right w:val="none" w:sz="0" w:space="0" w:color="auto"/>
          </w:divBdr>
          <w:divsChild>
            <w:div w:id="699281345">
              <w:marLeft w:val="0"/>
              <w:marRight w:val="0"/>
              <w:marTop w:val="0"/>
              <w:marBottom w:val="0"/>
              <w:divBdr>
                <w:top w:val="none" w:sz="0" w:space="0" w:color="auto"/>
                <w:left w:val="none" w:sz="0" w:space="0" w:color="auto"/>
                <w:bottom w:val="none" w:sz="0" w:space="0" w:color="auto"/>
                <w:right w:val="none" w:sz="0" w:space="0" w:color="auto"/>
              </w:divBdr>
              <w:divsChild>
                <w:div w:id="393744846">
                  <w:marLeft w:val="0"/>
                  <w:marRight w:val="0"/>
                  <w:marTop w:val="0"/>
                  <w:marBottom w:val="0"/>
                  <w:divBdr>
                    <w:top w:val="none" w:sz="0" w:space="0" w:color="auto"/>
                    <w:left w:val="none" w:sz="0" w:space="0" w:color="auto"/>
                    <w:bottom w:val="none" w:sz="0" w:space="0" w:color="auto"/>
                    <w:right w:val="none" w:sz="0" w:space="0" w:color="auto"/>
                  </w:divBdr>
                  <w:divsChild>
                    <w:div w:id="2089500093">
                      <w:marLeft w:val="0"/>
                      <w:marRight w:val="0"/>
                      <w:marTop w:val="0"/>
                      <w:marBottom w:val="0"/>
                      <w:divBdr>
                        <w:top w:val="none" w:sz="0" w:space="0" w:color="auto"/>
                        <w:left w:val="none" w:sz="0" w:space="0" w:color="auto"/>
                        <w:bottom w:val="none" w:sz="0" w:space="0" w:color="auto"/>
                        <w:right w:val="none" w:sz="0" w:space="0" w:color="auto"/>
                      </w:divBdr>
                      <w:divsChild>
                        <w:div w:id="86987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404596">
          <w:marLeft w:val="0"/>
          <w:marRight w:val="0"/>
          <w:marTop w:val="0"/>
          <w:marBottom w:val="0"/>
          <w:divBdr>
            <w:top w:val="none" w:sz="0" w:space="0" w:color="auto"/>
            <w:left w:val="none" w:sz="0" w:space="0" w:color="auto"/>
            <w:bottom w:val="none" w:sz="0" w:space="0" w:color="auto"/>
            <w:right w:val="none" w:sz="0" w:space="0" w:color="auto"/>
          </w:divBdr>
        </w:div>
        <w:div w:id="1370841674">
          <w:marLeft w:val="0"/>
          <w:marRight w:val="0"/>
          <w:marTop w:val="0"/>
          <w:marBottom w:val="0"/>
          <w:divBdr>
            <w:top w:val="none" w:sz="0" w:space="0" w:color="auto"/>
            <w:left w:val="none" w:sz="0" w:space="0" w:color="auto"/>
            <w:bottom w:val="none" w:sz="0" w:space="0" w:color="auto"/>
            <w:right w:val="none" w:sz="0" w:space="0" w:color="auto"/>
          </w:divBdr>
          <w:divsChild>
            <w:div w:id="1328705562">
              <w:marLeft w:val="0"/>
              <w:marRight w:val="0"/>
              <w:marTop w:val="0"/>
              <w:marBottom w:val="0"/>
              <w:divBdr>
                <w:top w:val="none" w:sz="0" w:space="0" w:color="auto"/>
                <w:left w:val="none" w:sz="0" w:space="0" w:color="auto"/>
                <w:bottom w:val="none" w:sz="0" w:space="0" w:color="auto"/>
                <w:right w:val="none" w:sz="0" w:space="0" w:color="auto"/>
              </w:divBdr>
              <w:divsChild>
                <w:div w:id="2098944158">
                  <w:marLeft w:val="0"/>
                  <w:marRight w:val="0"/>
                  <w:marTop w:val="0"/>
                  <w:marBottom w:val="0"/>
                  <w:divBdr>
                    <w:top w:val="none" w:sz="0" w:space="0" w:color="auto"/>
                    <w:left w:val="none" w:sz="0" w:space="0" w:color="auto"/>
                    <w:bottom w:val="none" w:sz="0" w:space="0" w:color="auto"/>
                    <w:right w:val="none" w:sz="0" w:space="0" w:color="auto"/>
                  </w:divBdr>
                  <w:divsChild>
                    <w:div w:id="626087785">
                      <w:marLeft w:val="0"/>
                      <w:marRight w:val="0"/>
                      <w:marTop w:val="0"/>
                      <w:marBottom w:val="0"/>
                      <w:divBdr>
                        <w:top w:val="none" w:sz="0" w:space="0" w:color="auto"/>
                        <w:left w:val="none" w:sz="0" w:space="0" w:color="auto"/>
                        <w:bottom w:val="none" w:sz="0" w:space="0" w:color="auto"/>
                        <w:right w:val="none" w:sz="0" w:space="0" w:color="auto"/>
                      </w:divBdr>
                      <w:divsChild>
                        <w:div w:id="188556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492553">
          <w:marLeft w:val="0"/>
          <w:marRight w:val="0"/>
          <w:marTop w:val="0"/>
          <w:marBottom w:val="0"/>
          <w:divBdr>
            <w:top w:val="none" w:sz="0" w:space="0" w:color="auto"/>
            <w:left w:val="none" w:sz="0" w:space="0" w:color="auto"/>
            <w:bottom w:val="none" w:sz="0" w:space="0" w:color="auto"/>
            <w:right w:val="none" w:sz="0" w:space="0" w:color="auto"/>
          </w:divBdr>
          <w:divsChild>
            <w:div w:id="1404643161">
              <w:marLeft w:val="0"/>
              <w:marRight w:val="0"/>
              <w:marTop w:val="0"/>
              <w:marBottom w:val="0"/>
              <w:divBdr>
                <w:top w:val="none" w:sz="0" w:space="0" w:color="auto"/>
                <w:left w:val="none" w:sz="0" w:space="0" w:color="auto"/>
                <w:bottom w:val="none" w:sz="0" w:space="0" w:color="auto"/>
                <w:right w:val="none" w:sz="0" w:space="0" w:color="auto"/>
              </w:divBdr>
              <w:divsChild>
                <w:div w:id="1157918370">
                  <w:marLeft w:val="0"/>
                  <w:marRight w:val="0"/>
                  <w:marTop w:val="0"/>
                  <w:marBottom w:val="0"/>
                  <w:divBdr>
                    <w:top w:val="none" w:sz="0" w:space="0" w:color="auto"/>
                    <w:left w:val="none" w:sz="0" w:space="0" w:color="auto"/>
                    <w:bottom w:val="none" w:sz="0" w:space="0" w:color="auto"/>
                    <w:right w:val="none" w:sz="0" w:space="0" w:color="auto"/>
                  </w:divBdr>
                </w:div>
                <w:div w:id="1394353920">
                  <w:marLeft w:val="0"/>
                  <w:marRight w:val="0"/>
                  <w:marTop w:val="0"/>
                  <w:marBottom w:val="0"/>
                  <w:divBdr>
                    <w:top w:val="none" w:sz="0" w:space="0" w:color="auto"/>
                    <w:left w:val="none" w:sz="0" w:space="0" w:color="auto"/>
                    <w:bottom w:val="none" w:sz="0" w:space="0" w:color="auto"/>
                    <w:right w:val="none" w:sz="0" w:space="0" w:color="auto"/>
                  </w:divBdr>
                </w:div>
                <w:div w:id="133622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0538">
          <w:marLeft w:val="0"/>
          <w:marRight w:val="0"/>
          <w:marTop w:val="0"/>
          <w:marBottom w:val="0"/>
          <w:divBdr>
            <w:top w:val="none" w:sz="0" w:space="0" w:color="auto"/>
            <w:left w:val="none" w:sz="0" w:space="0" w:color="auto"/>
            <w:bottom w:val="none" w:sz="0" w:space="0" w:color="auto"/>
            <w:right w:val="none" w:sz="0" w:space="0" w:color="auto"/>
          </w:divBdr>
        </w:div>
        <w:div w:id="1492480940">
          <w:marLeft w:val="0"/>
          <w:marRight w:val="0"/>
          <w:marTop w:val="0"/>
          <w:marBottom w:val="0"/>
          <w:divBdr>
            <w:top w:val="none" w:sz="0" w:space="0" w:color="auto"/>
            <w:left w:val="none" w:sz="0" w:space="0" w:color="auto"/>
            <w:bottom w:val="none" w:sz="0" w:space="0" w:color="auto"/>
            <w:right w:val="none" w:sz="0" w:space="0" w:color="auto"/>
          </w:divBdr>
          <w:divsChild>
            <w:div w:id="295527174">
              <w:marLeft w:val="0"/>
              <w:marRight w:val="0"/>
              <w:marTop w:val="0"/>
              <w:marBottom w:val="0"/>
              <w:divBdr>
                <w:top w:val="none" w:sz="0" w:space="0" w:color="auto"/>
                <w:left w:val="none" w:sz="0" w:space="0" w:color="auto"/>
                <w:bottom w:val="none" w:sz="0" w:space="0" w:color="auto"/>
                <w:right w:val="none" w:sz="0" w:space="0" w:color="auto"/>
              </w:divBdr>
            </w:div>
            <w:div w:id="249698383">
              <w:marLeft w:val="0"/>
              <w:marRight w:val="0"/>
              <w:marTop w:val="0"/>
              <w:marBottom w:val="0"/>
              <w:divBdr>
                <w:top w:val="none" w:sz="0" w:space="0" w:color="auto"/>
                <w:left w:val="none" w:sz="0" w:space="0" w:color="auto"/>
                <w:bottom w:val="none" w:sz="0" w:space="0" w:color="auto"/>
                <w:right w:val="none" w:sz="0" w:space="0" w:color="auto"/>
              </w:divBdr>
            </w:div>
            <w:div w:id="316960236">
              <w:marLeft w:val="0"/>
              <w:marRight w:val="0"/>
              <w:marTop w:val="0"/>
              <w:marBottom w:val="0"/>
              <w:divBdr>
                <w:top w:val="none" w:sz="0" w:space="0" w:color="auto"/>
                <w:left w:val="none" w:sz="0" w:space="0" w:color="auto"/>
                <w:bottom w:val="none" w:sz="0" w:space="0" w:color="auto"/>
                <w:right w:val="none" w:sz="0" w:space="0" w:color="auto"/>
              </w:divBdr>
            </w:div>
            <w:div w:id="804010959">
              <w:marLeft w:val="0"/>
              <w:marRight w:val="0"/>
              <w:marTop w:val="0"/>
              <w:marBottom w:val="0"/>
              <w:divBdr>
                <w:top w:val="none" w:sz="0" w:space="0" w:color="auto"/>
                <w:left w:val="none" w:sz="0" w:space="0" w:color="auto"/>
                <w:bottom w:val="none" w:sz="0" w:space="0" w:color="auto"/>
                <w:right w:val="none" w:sz="0" w:space="0" w:color="auto"/>
              </w:divBdr>
            </w:div>
            <w:div w:id="351565856">
              <w:marLeft w:val="0"/>
              <w:marRight w:val="0"/>
              <w:marTop w:val="0"/>
              <w:marBottom w:val="0"/>
              <w:divBdr>
                <w:top w:val="none" w:sz="0" w:space="0" w:color="auto"/>
                <w:left w:val="none" w:sz="0" w:space="0" w:color="auto"/>
                <w:bottom w:val="none" w:sz="0" w:space="0" w:color="auto"/>
                <w:right w:val="none" w:sz="0" w:space="0" w:color="auto"/>
              </w:divBdr>
            </w:div>
            <w:div w:id="776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1465</Words>
  <Characters>8351</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2024-11-24T04:20:00Z</dcterms:created>
  <dcterms:modified xsi:type="dcterms:W3CDTF">2024-11-24T04:20:00Z</dcterms:modified>
</cp:coreProperties>
</file>