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14576" w:rsidRPr="00314576" w:rsidRDefault="00314576" w:rsidP="00314576">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314576">
        <w:rPr>
          <w:rFonts w:ascii="Times New Roman" w:eastAsia="Times New Roman" w:hAnsi="Times New Roman" w:cs="Times New Roman"/>
          <w:b/>
          <w:bCs/>
          <w:kern w:val="36"/>
          <w:sz w:val="48"/>
          <w:szCs w:val="48"/>
        </w:rPr>
        <w:t xml:space="preserve">Oxygen isotope fractionation during synthesis of </w:t>
      </w:r>
      <w:proofErr w:type="spellStart"/>
      <w:r w:rsidRPr="00314576">
        <w:rPr>
          <w:rFonts w:ascii="Times New Roman" w:eastAsia="Times New Roman" w:hAnsi="Times New Roman" w:cs="Times New Roman"/>
          <w:b/>
          <w:bCs/>
          <w:kern w:val="36"/>
          <w:sz w:val="48"/>
          <w:szCs w:val="48"/>
        </w:rPr>
        <w:t>CaMg</w:t>
      </w:r>
      <w:proofErr w:type="spellEnd"/>
      <w:r w:rsidRPr="00314576">
        <w:rPr>
          <w:rFonts w:ascii="Times New Roman" w:eastAsia="Times New Roman" w:hAnsi="Times New Roman" w:cs="Times New Roman"/>
          <w:b/>
          <w:bCs/>
          <w:kern w:val="36"/>
          <w:sz w:val="48"/>
          <w:szCs w:val="48"/>
        </w:rPr>
        <w:t>-carbonate and implications for sedimentary dolomite formation</w:t>
      </w:r>
    </w:p>
    <w:p w:rsidR="00314576" w:rsidRPr="00314576" w:rsidRDefault="00314576" w:rsidP="00314576">
      <w:pPr>
        <w:spacing w:after="0" w:line="240" w:lineRule="auto"/>
        <w:rPr>
          <w:rFonts w:ascii="Times New Roman" w:eastAsia="Times New Roman" w:hAnsi="Times New Roman" w:cs="Times New Roman"/>
          <w:sz w:val="24"/>
          <w:szCs w:val="24"/>
        </w:rPr>
      </w:pPr>
      <w:r w:rsidRPr="00314576">
        <w:rPr>
          <w:rFonts w:ascii="Times New Roman" w:eastAsia="Times New Roman" w:hAnsi="Times New Roman" w:cs="Times New Roman"/>
          <w:sz w:val="24"/>
          <w:szCs w:val="24"/>
        </w:rPr>
        <w:t>Author links open overlay panel</w:t>
      </w:r>
    </w:p>
    <w:p w:rsidR="00314576" w:rsidRPr="00314576" w:rsidRDefault="00314576" w:rsidP="00314576">
      <w:pPr>
        <w:spacing w:after="0" w:line="240" w:lineRule="auto"/>
        <w:rPr>
          <w:rFonts w:ascii="Times New Roman" w:eastAsia="Times New Roman" w:hAnsi="Times New Roman" w:cs="Times New Roman"/>
          <w:sz w:val="24"/>
          <w:szCs w:val="24"/>
        </w:rPr>
      </w:pPr>
      <w:r w:rsidRPr="00314576">
        <w:rPr>
          <w:rFonts w:ascii="Times New Roman" w:eastAsia="Times New Roman" w:hAnsi="Times New Roman" w:cs="Times New Roman"/>
          <w:sz w:val="24"/>
          <w:szCs w:val="24"/>
        </w:rPr>
        <w:t xml:space="preserve">, , , </w:t>
      </w:r>
    </w:p>
    <w:p w:rsidR="00314576" w:rsidRPr="00314576" w:rsidRDefault="00314576" w:rsidP="00314576">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314576">
          <w:rPr>
            <w:rFonts w:ascii="Times New Roman" w:eastAsia="Times New Roman" w:hAnsi="Times New Roman" w:cs="Times New Roman"/>
            <w:color w:val="0000FF"/>
            <w:sz w:val="24"/>
            <w:szCs w:val="24"/>
            <w:u w:val="single"/>
          </w:rPr>
          <w:t>https://doi.org/10.1016/j.gca.2005.06.025</w:t>
        </w:r>
      </w:hyperlink>
      <w:bookmarkStart w:id="0" w:name="_GoBack"/>
      <w:bookmarkEnd w:id="0"/>
      <w:r w:rsidRPr="00314576">
        <w:rPr>
          <w:rFonts w:ascii="Times New Roman" w:eastAsia="Times New Roman" w:hAnsi="Times New Roman" w:cs="Times New Roman"/>
          <w:sz w:val="24"/>
          <w:szCs w:val="24"/>
        </w:rPr>
        <w:t xml:space="preserve"> </w:t>
      </w:r>
    </w:p>
    <w:p w:rsidR="00314576" w:rsidRPr="00314576" w:rsidRDefault="00314576" w:rsidP="00314576">
      <w:pPr>
        <w:spacing w:before="100" w:beforeAutospacing="1" w:after="100" w:afterAutospacing="1" w:line="240" w:lineRule="auto"/>
        <w:outlineLvl w:val="1"/>
        <w:rPr>
          <w:rFonts w:ascii="Times New Roman" w:eastAsia="Times New Roman" w:hAnsi="Times New Roman" w:cs="Times New Roman"/>
          <w:b/>
          <w:bCs/>
          <w:sz w:val="36"/>
          <w:szCs w:val="36"/>
        </w:rPr>
      </w:pPr>
      <w:r w:rsidRPr="00314576">
        <w:rPr>
          <w:rFonts w:ascii="Times New Roman" w:eastAsia="Times New Roman" w:hAnsi="Times New Roman" w:cs="Times New Roman"/>
          <w:b/>
          <w:bCs/>
          <w:sz w:val="36"/>
          <w:szCs w:val="36"/>
        </w:rPr>
        <w:t>Abstract</w:t>
      </w:r>
    </w:p>
    <w:p w:rsidR="00314576" w:rsidRPr="00314576" w:rsidRDefault="00314576" w:rsidP="00314576">
      <w:pPr>
        <w:spacing w:before="100" w:beforeAutospacing="1" w:after="100" w:afterAutospacing="1" w:line="240" w:lineRule="auto"/>
        <w:rPr>
          <w:rFonts w:ascii="Times New Roman" w:eastAsia="Times New Roman" w:hAnsi="Times New Roman" w:cs="Times New Roman"/>
          <w:sz w:val="24"/>
          <w:szCs w:val="24"/>
        </w:rPr>
      </w:pPr>
      <w:r w:rsidRPr="00314576">
        <w:rPr>
          <w:rFonts w:ascii="Times New Roman" w:eastAsia="Times New Roman" w:hAnsi="Times New Roman" w:cs="Times New Roman"/>
          <w:sz w:val="24"/>
          <w:szCs w:val="24"/>
        </w:rPr>
        <w:t xml:space="preserve">Hydrous </w:t>
      </w:r>
      <w:proofErr w:type="spellStart"/>
      <w:r w:rsidRPr="00314576">
        <w:rPr>
          <w:rFonts w:ascii="Times New Roman" w:eastAsia="Times New Roman" w:hAnsi="Times New Roman" w:cs="Times New Roman"/>
          <w:sz w:val="24"/>
          <w:szCs w:val="24"/>
        </w:rPr>
        <w:t>CaMg</w:t>
      </w:r>
      <w:proofErr w:type="spellEnd"/>
      <w:r w:rsidRPr="00314576">
        <w:rPr>
          <w:rFonts w:ascii="Times New Roman" w:eastAsia="Times New Roman" w:hAnsi="Times New Roman" w:cs="Times New Roman"/>
          <w:sz w:val="24"/>
          <w:szCs w:val="24"/>
        </w:rPr>
        <w:t xml:space="preserve">-carbonate was synthesized at temperatures of 40°, 60° and 80°C in the laboratory. This material has very similar mineralogical characteristics to natural disordered dolomite from the Coorong region in South Australia. Besides the dolomite variable amounts of amorphous carbonate are present in all samples. The oxygen isotope compositions of synthesized bulk carbonate samples (e.g., amorphous carbonate plus dolomite) plot significantly lower than the </w:t>
      </w:r>
      <w:hyperlink r:id="rId5" w:anchor="bib34" w:history="1">
        <w:r w:rsidRPr="00314576">
          <w:rPr>
            <w:rFonts w:ascii="Times New Roman" w:eastAsia="Times New Roman" w:hAnsi="Times New Roman" w:cs="Times New Roman"/>
            <w:color w:val="0000FF"/>
            <w:sz w:val="24"/>
            <w:szCs w:val="24"/>
            <w:u w:val="single"/>
          </w:rPr>
          <w:t>Northrop and Clayton (1966)</w:t>
        </w:r>
      </w:hyperlink>
      <w:r w:rsidRPr="00314576">
        <w:rPr>
          <w:rFonts w:ascii="Times New Roman" w:eastAsia="Times New Roman" w:hAnsi="Times New Roman" w:cs="Times New Roman"/>
          <w:sz w:val="24"/>
          <w:szCs w:val="24"/>
        </w:rPr>
        <w:t xml:space="preserve"> dolomite-water equilibrium. Fractionated degassing of the samples, however, revealed relatively low oxygen isotope values for fast-reacting (using 100% H</w:t>
      </w:r>
      <w:r w:rsidRPr="00314576">
        <w:rPr>
          <w:rFonts w:ascii="Times New Roman" w:eastAsia="Times New Roman" w:hAnsi="Times New Roman" w:cs="Times New Roman"/>
          <w:sz w:val="24"/>
          <w:szCs w:val="24"/>
          <w:vertAlign w:val="subscript"/>
        </w:rPr>
        <w:t>3</w:t>
      </w:r>
      <w:r w:rsidRPr="00314576">
        <w:rPr>
          <w:rFonts w:ascii="Times New Roman" w:eastAsia="Times New Roman" w:hAnsi="Times New Roman" w:cs="Times New Roman"/>
          <w:sz w:val="24"/>
          <w:szCs w:val="24"/>
        </w:rPr>
        <w:t>PO</w:t>
      </w:r>
      <w:r w:rsidRPr="00314576">
        <w:rPr>
          <w:rFonts w:ascii="Times New Roman" w:eastAsia="Times New Roman" w:hAnsi="Times New Roman" w:cs="Times New Roman"/>
          <w:sz w:val="24"/>
          <w:szCs w:val="24"/>
          <w:vertAlign w:val="subscript"/>
        </w:rPr>
        <w:t>4</w:t>
      </w:r>
      <w:r w:rsidRPr="00314576">
        <w:rPr>
          <w:rFonts w:ascii="Times New Roman" w:eastAsia="Times New Roman" w:hAnsi="Times New Roman" w:cs="Times New Roman"/>
          <w:sz w:val="24"/>
          <w:szCs w:val="24"/>
        </w:rPr>
        <w:t xml:space="preserve">) amorphous carbonate. In contrast, slow-reacting dolomite has more positive oxygen isotope values, and calculated carbonate-water oxygen isotope fractionation values are close to strongest known dolomite-water oxygen isotope fractionation published earlier on. Variations of reaction/stabilization temperatures during synthesis gave evidence for dolomite formation from hypersaline solutions by a dissolution/reprecipitation process. It is likely that amorphous carbonate has been a problem in defining the dolomite-water fractionation in the past. Moreover, dolomite-associated amorphous carbonate contents probably led to incorrect speculations about lower oxygen isotope fractionation in a so-called </w:t>
      </w:r>
      <w:proofErr w:type="spellStart"/>
      <w:r w:rsidRPr="00314576">
        <w:rPr>
          <w:rFonts w:ascii="Times New Roman" w:eastAsia="Times New Roman" w:hAnsi="Times New Roman" w:cs="Times New Roman"/>
          <w:sz w:val="24"/>
          <w:szCs w:val="24"/>
        </w:rPr>
        <w:t>protodolomite</w:t>
      </w:r>
      <w:proofErr w:type="spellEnd"/>
      <w:r w:rsidRPr="00314576">
        <w:rPr>
          <w:rFonts w:ascii="Times New Roman" w:eastAsia="Times New Roman" w:hAnsi="Times New Roman" w:cs="Times New Roman"/>
          <w:sz w:val="24"/>
          <w:szCs w:val="24"/>
        </w:rPr>
        <w:t>-water system.</w:t>
      </w:r>
    </w:p>
    <w:p w:rsidR="00314576" w:rsidRPr="00314576" w:rsidRDefault="00314576" w:rsidP="00314576">
      <w:pPr>
        <w:spacing w:before="100" w:beforeAutospacing="1" w:after="100" w:afterAutospacing="1" w:line="240" w:lineRule="auto"/>
        <w:outlineLvl w:val="1"/>
        <w:rPr>
          <w:rFonts w:ascii="Times New Roman" w:eastAsia="Times New Roman" w:hAnsi="Times New Roman" w:cs="Times New Roman"/>
          <w:b/>
          <w:bCs/>
          <w:sz w:val="36"/>
          <w:szCs w:val="36"/>
        </w:rPr>
      </w:pPr>
      <w:r w:rsidRPr="00314576">
        <w:rPr>
          <w:rFonts w:ascii="Times New Roman" w:eastAsia="Times New Roman" w:hAnsi="Times New Roman" w:cs="Times New Roman"/>
          <w:b/>
          <w:bCs/>
          <w:sz w:val="36"/>
          <w:szCs w:val="36"/>
        </w:rPr>
        <w:t>Introduction</w:t>
      </w:r>
    </w:p>
    <w:p w:rsidR="00314576" w:rsidRPr="00314576" w:rsidRDefault="00314576" w:rsidP="00314576">
      <w:pPr>
        <w:spacing w:before="100" w:beforeAutospacing="1" w:after="100" w:afterAutospacing="1" w:line="240" w:lineRule="auto"/>
        <w:rPr>
          <w:rFonts w:ascii="Times New Roman" w:eastAsia="Times New Roman" w:hAnsi="Times New Roman" w:cs="Times New Roman"/>
          <w:sz w:val="24"/>
          <w:szCs w:val="24"/>
        </w:rPr>
      </w:pPr>
      <w:r w:rsidRPr="00314576">
        <w:rPr>
          <w:rFonts w:ascii="Times New Roman" w:eastAsia="Times New Roman" w:hAnsi="Times New Roman" w:cs="Times New Roman"/>
          <w:sz w:val="24"/>
          <w:szCs w:val="24"/>
        </w:rPr>
        <w:t>Dolomite—</w:t>
      </w:r>
      <w:proofErr w:type="spellStart"/>
      <w:proofErr w:type="gramStart"/>
      <w:r w:rsidRPr="00314576">
        <w:rPr>
          <w:rFonts w:ascii="Times New Roman" w:eastAsia="Times New Roman" w:hAnsi="Times New Roman" w:cs="Times New Roman"/>
          <w:sz w:val="24"/>
          <w:szCs w:val="24"/>
        </w:rPr>
        <w:t>CaMg</w:t>
      </w:r>
      <w:proofErr w:type="spellEnd"/>
      <w:r w:rsidRPr="00314576">
        <w:rPr>
          <w:rFonts w:ascii="Times New Roman" w:eastAsia="Times New Roman" w:hAnsi="Times New Roman" w:cs="Times New Roman"/>
          <w:sz w:val="24"/>
          <w:szCs w:val="24"/>
        </w:rPr>
        <w:t>(</w:t>
      </w:r>
      <w:proofErr w:type="gramEnd"/>
      <w:r w:rsidRPr="00314576">
        <w:rPr>
          <w:rFonts w:ascii="Times New Roman" w:eastAsia="Times New Roman" w:hAnsi="Times New Roman" w:cs="Times New Roman"/>
          <w:sz w:val="24"/>
          <w:szCs w:val="24"/>
        </w:rPr>
        <w:t>CO</w:t>
      </w:r>
      <w:r w:rsidRPr="00314576">
        <w:rPr>
          <w:rFonts w:ascii="Times New Roman" w:eastAsia="Times New Roman" w:hAnsi="Times New Roman" w:cs="Times New Roman"/>
          <w:sz w:val="24"/>
          <w:szCs w:val="24"/>
          <w:vertAlign w:val="subscript"/>
        </w:rPr>
        <w:t>3</w:t>
      </w:r>
      <w:r w:rsidRPr="00314576">
        <w:rPr>
          <w:rFonts w:ascii="Times New Roman" w:eastAsia="Times New Roman" w:hAnsi="Times New Roman" w:cs="Times New Roman"/>
          <w:sz w:val="24"/>
          <w:szCs w:val="24"/>
        </w:rPr>
        <w:t>)</w:t>
      </w:r>
      <w:r w:rsidRPr="00314576">
        <w:rPr>
          <w:rFonts w:ascii="Times New Roman" w:eastAsia="Times New Roman" w:hAnsi="Times New Roman" w:cs="Times New Roman"/>
          <w:sz w:val="24"/>
          <w:szCs w:val="24"/>
          <w:vertAlign w:val="subscript"/>
        </w:rPr>
        <w:t>2</w:t>
      </w:r>
      <w:r w:rsidRPr="00314576">
        <w:rPr>
          <w:rFonts w:ascii="Times New Roman" w:eastAsia="Times New Roman" w:hAnsi="Times New Roman" w:cs="Times New Roman"/>
          <w:sz w:val="24"/>
          <w:szCs w:val="24"/>
        </w:rPr>
        <w:t xml:space="preserve">—is a common carbonate mineral in nature. It is still mysterious, however, why it is much more common in ancient rocks than in modern carbonate precipitating environments (Tucker and Wright, 1990). The precise mechanism of dolomite formation in the sedimentary environment is still not known (the so-called dolomite problem). This is partly because within low-temperature environments, usually Ca-rich and poorly ordered dolomite is formed (Graf and Goldsmith 1956, Müller and Fischbeck 1973, Oomori et al 1983, Morrow 1982a, Morrow 1982b, Land 1983, </w:t>
      </w:r>
      <w:proofErr w:type="spellStart"/>
      <w:r w:rsidRPr="00314576">
        <w:rPr>
          <w:rFonts w:ascii="Times New Roman" w:eastAsia="Times New Roman" w:hAnsi="Times New Roman" w:cs="Times New Roman"/>
          <w:sz w:val="24"/>
          <w:szCs w:val="24"/>
        </w:rPr>
        <w:t>Usdowski</w:t>
      </w:r>
      <w:proofErr w:type="spellEnd"/>
      <w:r w:rsidRPr="00314576">
        <w:rPr>
          <w:rFonts w:ascii="Times New Roman" w:eastAsia="Times New Roman" w:hAnsi="Times New Roman" w:cs="Times New Roman"/>
          <w:sz w:val="24"/>
          <w:szCs w:val="24"/>
        </w:rPr>
        <w:t xml:space="preserve"> 1994; and others). These dolomites possess different thermochemical properties depending on their degree of order and stoichiometry (Carpenter 1980, Land 1980, Hardie 1987).</w:t>
      </w:r>
    </w:p>
    <w:p w:rsidR="00314576" w:rsidRPr="00314576" w:rsidRDefault="00314576" w:rsidP="00314576">
      <w:pPr>
        <w:spacing w:before="100" w:beforeAutospacing="1" w:after="100" w:afterAutospacing="1" w:line="240" w:lineRule="auto"/>
        <w:rPr>
          <w:rFonts w:ascii="Times New Roman" w:eastAsia="Times New Roman" w:hAnsi="Times New Roman" w:cs="Times New Roman"/>
          <w:sz w:val="24"/>
          <w:szCs w:val="24"/>
        </w:rPr>
      </w:pPr>
      <w:r w:rsidRPr="00314576">
        <w:rPr>
          <w:rFonts w:ascii="Times New Roman" w:eastAsia="Times New Roman" w:hAnsi="Times New Roman" w:cs="Times New Roman"/>
          <w:sz w:val="24"/>
          <w:szCs w:val="24"/>
        </w:rPr>
        <w:t xml:space="preserve">After the temperature-dependent oxygen isotope fractionation of the calcite-water system was established by McCrea (1950), stable isotopic compositions of a great variety of carbonate minerals have been analyzed and conclusions concerning their genesis were drawn (e.g., </w:t>
      </w:r>
      <w:proofErr w:type="spellStart"/>
      <w:r w:rsidRPr="00314576">
        <w:rPr>
          <w:rFonts w:ascii="Times New Roman" w:eastAsia="Times New Roman" w:hAnsi="Times New Roman" w:cs="Times New Roman"/>
          <w:sz w:val="24"/>
          <w:szCs w:val="24"/>
        </w:rPr>
        <w:t>Emiliani</w:t>
      </w:r>
      <w:proofErr w:type="spellEnd"/>
      <w:r w:rsidRPr="00314576">
        <w:rPr>
          <w:rFonts w:ascii="Times New Roman" w:eastAsia="Times New Roman" w:hAnsi="Times New Roman" w:cs="Times New Roman"/>
          <w:sz w:val="24"/>
          <w:szCs w:val="24"/>
        </w:rPr>
        <w:t xml:space="preserve"> 1955, Epstein et al 1963, Anderson et al 1971, Clayton 1986; and many others). Similarly, dolomite formation takes place in the presence of water and thus, the oxygen isotope composition of dolomite is determined by the fluid composition and by the precipitation temperature. Oxygen isotope fractionation in course of dolomite formation is predicted to be 2 to 6‰ heavier compared to calcite </w:t>
      </w:r>
      <w:r w:rsidRPr="00314576">
        <w:rPr>
          <w:rFonts w:ascii="Times New Roman" w:eastAsia="Times New Roman" w:hAnsi="Times New Roman" w:cs="Times New Roman"/>
          <w:sz w:val="24"/>
          <w:szCs w:val="24"/>
        </w:rPr>
        <w:lastRenderedPageBreak/>
        <w:t xml:space="preserve">precipitation at 25°C (Humphrey, 2000). Based on extrapolations from high-temperature dolomite-water exchange reaction Northrop and Clayton (1966) proposed the highest oxygen isotope fractionation for the low-temperature range (Humphrey, 2000). However, Matthews and Katz (1977) calculated an </w:t>
      </w:r>
      <w:r w:rsidRPr="00314576">
        <w:rPr>
          <w:rFonts w:ascii="Cambria Math" w:eastAsia="Times New Roman" w:hAnsi="Cambria Math" w:cs="Cambria Math"/>
          <w:sz w:val="24"/>
          <w:szCs w:val="24"/>
        </w:rPr>
        <w:t>∼</w:t>
      </w:r>
      <w:r w:rsidRPr="00314576">
        <w:rPr>
          <w:rFonts w:ascii="Times New Roman" w:eastAsia="Times New Roman" w:hAnsi="Times New Roman" w:cs="Times New Roman"/>
          <w:sz w:val="24"/>
          <w:szCs w:val="24"/>
        </w:rPr>
        <w:t xml:space="preserve">3‰ lower dolomite-water oxygen isotope fractionation value at 25°C from high-temperature dolomitization experiments compared to Northrop and Clayton (1966). Low-temperature </w:t>
      </w:r>
      <w:proofErr w:type="spellStart"/>
      <w:r w:rsidRPr="00314576">
        <w:rPr>
          <w:rFonts w:ascii="Times New Roman" w:eastAsia="Times New Roman" w:hAnsi="Times New Roman" w:cs="Times New Roman"/>
          <w:sz w:val="24"/>
          <w:szCs w:val="24"/>
        </w:rPr>
        <w:t>CaMg</w:t>
      </w:r>
      <w:proofErr w:type="spellEnd"/>
      <w:r w:rsidRPr="00314576">
        <w:rPr>
          <w:rFonts w:ascii="Times New Roman" w:eastAsia="Times New Roman" w:hAnsi="Times New Roman" w:cs="Times New Roman"/>
          <w:sz w:val="24"/>
          <w:szCs w:val="24"/>
        </w:rPr>
        <w:t xml:space="preserve">-carbonate formation experiments were conducted by, e.g., Fritz and Smith (1970). They concluded that Ca-rich (Mg/Ca </w:t>
      </w:r>
      <w:r w:rsidRPr="00314576">
        <w:rPr>
          <w:rFonts w:ascii="Cambria Math" w:eastAsia="Times New Roman" w:hAnsi="Cambria Math" w:cs="Cambria Math"/>
          <w:sz w:val="24"/>
          <w:szCs w:val="24"/>
        </w:rPr>
        <w:t>∼</w:t>
      </w:r>
      <w:r w:rsidRPr="00314576">
        <w:rPr>
          <w:rFonts w:ascii="Times New Roman" w:eastAsia="Times New Roman" w:hAnsi="Times New Roman" w:cs="Times New Roman"/>
          <w:sz w:val="24"/>
          <w:szCs w:val="24"/>
        </w:rPr>
        <w:t xml:space="preserve"> 0.6–0.7) disordered dolomite (without superlattice ordering peaks), might be a precursor mineral of secondary dolomite formation from limestone. Moreover, the 0.5–2.5‰ lower oxygen isotope fractionation (25 to 78°C), compared to Northrop and Clayton (1966), was defined as a new </w:t>
      </w:r>
      <w:proofErr w:type="spellStart"/>
      <w:r w:rsidRPr="00314576">
        <w:rPr>
          <w:rFonts w:ascii="Times New Roman" w:eastAsia="Times New Roman" w:hAnsi="Times New Roman" w:cs="Times New Roman"/>
          <w:sz w:val="24"/>
          <w:szCs w:val="24"/>
        </w:rPr>
        <w:t>protodolomite</w:t>
      </w:r>
      <w:proofErr w:type="spellEnd"/>
      <w:r w:rsidRPr="00314576">
        <w:rPr>
          <w:rFonts w:ascii="Times New Roman" w:eastAsia="Times New Roman" w:hAnsi="Times New Roman" w:cs="Times New Roman"/>
          <w:sz w:val="24"/>
          <w:szCs w:val="24"/>
        </w:rPr>
        <w:t>-water fractionation line.</w:t>
      </w:r>
    </w:p>
    <w:p w:rsidR="00314576" w:rsidRPr="00314576" w:rsidRDefault="00314576" w:rsidP="00314576">
      <w:pPr>
        <w:spacing w:before="100" w:beforeAutospacing="1" w:after="100" w:afterAutospacing="1" w:line="240" w:lineRule="auto"/>
        <w:rPr>
          <w:rFonts w:ascii="Times New Roman" w:eastAsia="Times New Roman" w:hAnsi="Times New Roman" w:cs="Times New Roman"/>
          <w:sz w:val="24"/>
          <w:szCs w:val="24"/>
        </w:rPr>
      </w:pPr>
      <w:r w:rsidRPr="00314576">
        <w:rPr>
          <w:rFonts w:ascii="Times New Roman" w:eastAsia="Times New Roman" w:hAnsi="Times New Roman" w:cs="Times New Roman"/>
          <w:sz w:val="24"/>
          <w:szCs w:val="24"/>
        </w:rPr>
        <w:t xml:space="preserve">Based on studies of natural </w:t>
      </w:r>
      <w:proofErr w:type="spellStart"/>
      <w:r w:rsidRPr="00314576">
        <w:rPr>
          <w:rFonts w:ascii="Times New Roman" w:eastAsia="Times New Roman" w:hAnsi="Times New Roman" w:cs="Times New Roman"/>
          <w:sz w:val="24"/>
          <w:szCs w:val="24"/>
        </w:rPr>
        <w:t>allochems</w:t>
      </w:r>
      <w:proofErr w:type="spellEnd"/>
      <w:r w:rsidRPr="00314576">
        <w:rPr>
          <w:rFonts w:ascii="Times New Roman" w:eastAsia="Times New Roman" w:hAnsi="Times New Roman" w:cs="Times New Roman"/>
          <w:sz w:val="24"/>
          <w:szCs w:val="24"/>
        </w:rPr>
        <w:t xml:space="preserve"> during diagenesis Land and Epstein (1970) and on experimental data, Fritz and Smith (1970) pointed out that dolomitization takes place under open rather than closed systems. Land (1980) concluded that the equilibrium value of Δ</w:t>
      </w:r>
      <w:r w:rsidRPr="00314576">
        <w:rPr>
          <w:rFonts w:ascii="Times New Roman" w:eastAsia="Times New Roman" w:hAnsi="Times New Roman" w:cs="Times New Roman"/>
          <w:sz w:val="24"/>
          <w:szCs w:val="24"/>
          <w:vertAlign w:val="superscript"/>
        </w:rPr>
        <w:t>18</w:t>
      </w:r>
      <w:r w:rsidRPr="00314576">
        <w:rPr>
          <w:rFonts w:ascii="Times New Roman" w:eastAsia="Times New Roman" w:hAnsi="Times New Roman" w:cs="Times New Roman"/>
          <w:sz w:val="24"/>
          <w:szCs w:val="24"/>
        </w:rPr>
        <w:t>O</w:t>
      </w:r>
      <w:r w:rsidRPr="00314576">
        <w:rPr>
          <w:rFonts w:ascii="Times New Roman" w:eastAsia="Times New Roman" w:hAnsi="Times New Roman" w:cs="Times New Roman"/>
          <w:sz w:val="24"/>
          <w:szCs w:val="24"/>
          <w:vertAlign w:val="subscript"/>
        </w:rPr>
        <w:t>dolomite-calcite</w:t>
      </w:r>
      <w:r w:rsidRPr="00314576">
        <w:rPr>
          <w:rFonts w:ascii="Times New Roman" w:eastAsia="Times New Roman" w:hAnsi="Times New Roman" w:cs="Times New Roman"/>
          <w:sz w:val="24"/>
          <w:szCs w:val="24"/>
        </w:rPr>
        <w:t xml:space="preserve"> is most likely 3 ± 1‰ at 25°C, a value which was confirmed for naturally occurring dolomite-calcite mixtures of the Persian Gulf (McKenzie, 1981).</w:t>
      </w:r>
    </w:p>
    <w:p w:rsidR="00314576" w:rsidRPr="00314576" w:rsidRDefault="00314576" w:rsidP="00314576">
      <w:pPr>
        <w:spacing w:before="100" w:beforeAutospacing="1" w:after="100" w:afterAutospacing="1" w:line="240" w:lineRule="auto"/>
        <w:rPr>
          <w:rFonts w:ascii="Times New Roman" w:eastAsia="Times New Roman" w:hAnsi="Times New Roman" w:cs="Times New Roman"/>
          <w:sz w:val="24"/>
          <w:szCs w:val="24"/>
        </w:rPr>
      </w:pPr>
      <w:r w:rsidRPr="00314576">
        <w:rPr>
          <w:rFonts w:ascii="Times New Roman" w:eastAsia="Times New Roman" w:hAnsi="Times New Roman" w:cs="Times New Roman"/>
          <w:sz w:val="24"/>
          <w:szCs w:val="24"/>
        </w:rPr>
        <w:t xml:space="preserve">Our knowledge on the actual mechanism of dolomite formation in low-temperature sedimentary environment could significantly be improved by a direct determination of the equilibrium oxygen isotope fractionation factor between dolomite and water at sedimentary temperature. Low-temperature kinetic barriers in oxygen isotope fractionation experiments can be overcome by microbially mediated dolomite precipitation (Vasconcelos et al., 2005). In contrast, low-temperature inorganic synthesis of dolomite is problematic (Land, 1998). Kelleher and Redfern (2002) modified numerous earlier synthesis experiments of </w:t>
      </w:r>
      <w:proofErr w:type="spellStart"/>
      <w:r w:rsidRPr="00314576">
        <w:rPr>
          <w:rFonts w:ascii="Times New Roman" w:eastAsia="Times New Roman" w:hAnsi="Times New Roman" w:cs="Times New Roman"/>
          <w:sz w:val="24"/>
          <w:szCs w:val="24"/>
        </w:rPr>
        <w:t>CaMg</w:t>
      </w:r>
      <w:proofErr w:type="spellEnd"/>
      <w:r w:rsidRPr="00314576">
        <w:rPr>
          <w:rFonts w:ascii="Times New Roman" w:eastAsia="Times New Roman" w:hAnsi="Times New Roman" w:cs="Times New Roman"/>
          <w:sz w:val="24"/>
          <w:szCs w:val="24"/>
        </w:rPr>
        <w:t>-carbonate under defined laboratory conditions (see references cited by Kelleher and Redfern, 2002). They found a mineral with a composition of Ca</w:t>
      </w:r>
      <w:r w:rsidRPr="00314576">
        <w:rPr>
          <w:rFonts w:ascii="Times New Roman" w:eastAsia="Times New Roman" w:hAnsi="Times New Roman" w:cs="Times New Roman"/>
          <w:sz w:val="24"/>
          <w:szCs w:val="24"/>
          <w:vertAlign w:val="subscript"/>
        </w:rPr>
        <w:t>1.056</w:t>
      </w:r>
      <w:r w:rsidRPr="00314576">
        <w:rPr>
          <w:rFonts w:ascii="Times New Roman" w:eastAsia="Times New Roman" w:hAnsi="Times New Roman" w:cs="Times New Roman"/>
          <w:sz w:val="24"/>
          <w:szCs w:val="24"/>
        </w:rPr>
        <w:t>Mg</w:t>
      </w:r>
      <w:r w:rsidRPr="00314576">
        <w:rPr>
          <w:rFonts w:ascii="Times New Roman" w:eastAsia="Times New Roman" w:hAnsi="Times New Roman" w:cs="Times New Roman"/>
          <w:sz w:val="24"/>
          <w:szCs w:val="24"/>
          <w:vertAlign w:val="subscript"/>
        </w:rPr>
        <w:t>0.944</w:t>
      </w:r>
      <w:r w:rsidRPr="00314576">
        <w:rPr>
          <w:rFonts w:ascii="Times New Roman" w:eastAsia="Times New Roman" w:hAnsi="Times New Roman" w:cs="Times New Roman"/>
          <w:sz w:val="24"/>
          <w:szCs w:val="24"/>
        </w:rPr>
        <w:t>(SO</w:t>
      </w:r>
      <w:r w:rsidRPr="00314576">
        <w:rPr>
          <w:rFonts w:ascii="Times New Roman" w:eastAsia="Times New Roman" w:hAnsi="Times New Roman" w:cs="Times New Roman"/>
          <w:sz w:val="24"/>
          <w:szCs w:val="24"/>
          <w:vertAlign w:val="subscript"/>
        </w:rPr>
        <w:t>4</w:t>
      </w:r>
      <w:r w:rsidRPr="00314576">
        <w:rPr>
          <w:rFonts w:ascii="Times New Roman" w:eastAsia="Times New Roman" w:hAnsi="Times New Roman" w:cs="Times New Roman"/>
          <w:sz w:val="24"/>
          <w:szCs w:val="24"/>
        </w:rPr>
        <w:t>)</w:t>
      </w:r>
      <w:r w:rsidRPr="00314576">
        <w:rPr>
          <w:rFonts w:ascii="Times New Roman" w:eastAsia="Times New Roman" w:hAnsi="Times New Roman" w:cs="Times New Roman"/>
          <w:sz w:val="24"/>
          <w:szCs w:val="24"/>
          <w:vertAlign w:val="subscript"/>
        </w:rPr>
        <w:t>0.035</w:t>
      </w:r>
      <w:r w:rsidRPr="00314576">
        <w:rPr>
          <w:rFonts w:ascii="Times New Roman" w:eastAsia="Times New Roman" w:hAnsi="Times New Roman" w:cs="Times New Roman"/>
          <w:sz w:val="24"/>
          <w:szCs w:val="24"/>
        </w:rPr>
        <w:t>(CO</w:t>
      </w:r>
      <w:r w:rsidRPr="00314576">
        <w:rPr>
          <w:rFonts w:ascii="Times New Roman" w:eastAsia="Times New Roman" w:hAnsi="Times New Roman" w:cs="Times New Roman"/>
          <w:sz w:val="24"/>
          <w:szCs w:val="24"/>
          <w:vertAlign w:val="subscript"/>
        </w:rPr>
        <w:t>3</w:t>
      </w:r>
      <w:r w:rsidRPr="00314576">
        <w:rPr>
          <w:rFonts w:ascii="Times New Roman" w:eastAsia="Times New Roman" w:hAnsi="Times New Roman" w:cs="Times New Roman"/>
          <w:sz w:val="24"/>
          <w:szCs w:val="24"/>
        </w:rPr>
        <w:t>)</w:t>
      </w:r>
      <w:r w:rsidRPr="00314576">
        <w:rPr>
          <w:rFonts w:ascii="Times New Roman" w:eastAsia="Times New Roman" w:hAnsi="Times New Roman" w:cs="Times New Roman"/>
          <w:sz w:val="24"/>
          <w:szCs w:val="24"/>
          <w:vertAlign w:val="subscript"/>
        </w:rPr>
        <w:t>1.965</w:t>
      </w:r>
      <w:r w:rsidRPr="00314576">
        <w:rPr>
          <w:rFonts w:ascii="Times New Roman" w:eastAsia="Times New Roman" w:hAnsi="Times New Roman" w:cs="Times New Roman"/>
          <w:sz w:val="24"/>
          <w:szCs w:val="24"/>
        </w:rPr>
        <w:t>×0.26H</w:t>
      </w:r>
      <w:r w:rsidRPr="00314576">
        <w:rPr>
          <w:rFonts w:ascii="Times New Roman" w:eastAsia="Times New Roman" w:hAnsi="Times New Roman" w:cs="Times New Roman"/>
          <w:sz w:val="24"/>
          <w:szCs w:val="24"/>
          <w:vertAlign w:val="subscript"/>
        </w:rPr>
        <w:t>2</w:t>
      </w:r>
      <w:r w:rsidRPr="00314576">
        <w:rPr>
          <w:rFonts w:ascii="Times New Roman" w:eastAsia="Times New Roman" w:hAnsi="Times New Roman" w:cs="Times New Roman"/>
          <w:sz w:val="24"/>
          <w:szCs w:val="24"/>
        </w:rPr>
        <w:t xml:space="preserve">O. The structure of this mineral was found to be related to dolomite but is hydrous, retaining water to beyond 200°C on heating. They proposed that synthesized </w:t>
      </w:r>
      <w:proofErr w:type="spellStart"/>
      <w:r w:rsidRPr="00314576">
        <w:rPr>
          <w:rFonts w:ascii="Times New Roman" w:eastAsia="Times New Roman" w:hAnsi="Times New Roman" w:cs="Times New Roman"/>
          <w:sz w:val="24"/>
          <w:szCs w:val="24"/>
        </w:rPr>
        <w:t>protodolomite</w:t>
      </w:r>
      <w:proofErr w:type="spellEnd"/>
      <w:r w:rsidRPr="00314576">
        <w:rPr>
          <w:rFonts w:ascii="Times New Roman" w:eastAsia="Times New Roman" w:hAnsi="Times New Roman" w:cs="Times New Roman"/>
          <w:sz w:val="24"/>
          <w:szCs w:val="24"/>
        </w:rPr>
        <w:t xml:space="preserve"> is a likely precursor of dolomite formed in low-temperature environments. Kelleher and Redfern (2002), however, did not provide data on the oxygen isotope composition of their synthetic product.</w:t>
      </w:r>
    </w:p>
    <w:p w:rsidR="00314576" w:rsidRPr="00314576" w:rsidRDefault="00314576" w:rsidP="00314576">
      <w:pPr>
        <w:spacing w:before="100" w:beforeAutospacing="1" w:after="100" w:afterAutospacing="1" w:line="240" w:lineRule="auto"/>
        <w:rPr>
          <w:rFonts w:ascii="Times New Roman" w:eastAsia="Times New Roman" w:hAnsi="Times New Roman" w:cs="Times New Roman"/>
          <w:sz w:val="24"/>
          <w:szCs w:val="24"/>
        </w:rPr>
      </w:pPr>
      <w:r w:rsidRPr="00314576">
        <w:rPr>
          <w:rFonts w:ascii="Times New Roman" w:eastAsia="Times New Roman" w:hAnsi="Times New Roman" w:cs="Times New Roman"/>
          <w:sz w:val="24"/>
          <w:szCs w:val="24"/>
        </w:rPr>
        <w:t xml:space="preserve">We precisely repeated the synthesis experiments of Kelleher and Redfern (2002) and measured the oxygen isotope fractionation between the synthetic </w:t>
      </w:r>
      <w:proofErr w:type="spellStart"/>
      <w:r w:rsidRPr="00314576">
        <w:rPr>
          <w:rFonts w:ascii="Times New Roman" w:eastAsia="Times New Roman" w:hAnsi="Times New Roman" w:cs="Times New Roman"/>
          <w:sz w:val="24"/>
          <w:szCs w:val="24"/>
        </w:rPr>
        <w:t>protodolomite</w:t>
      </w:r>
      <w:proofErr w:type="spellEnd"/>
      <w:r w:rsidRPr="00314576">
        <w:rPr>
          <w:rFonts w:ascii="Times New Roman" w:eastAsia="Times New Roman" w:hAnsi="Times New Roman" w:cs="Times New Roman"/>
          <w:sz w:val="24"/>
          <w:szCs w:val="24"/>
        </w:rPr>
        <w:t xml:space="preserve"> and water. Our data suggest that the presence of variable amounts of amorphous carbonate is most likely responsible for the deviation of the </w:t>
      </w:r>
      <w:proofErr w:type="spellStart"/>
      <w:r w:rsidRPr="00314576">
        <w:rPr>
          <w:rFonts w:ascii="Times New Roman" w:eastAsia="Times New Roman" w:hAnsi="Times New Roman" w:cs="Times New Roman"/>
          <w:sz w:val="24"/>
          <w:szCs w:val="24"/>
        </w:rPr>
        <w:t>protodolomite</w:t>
      </w:r>
      <w:proofErr w:type="spellEnd"/>
      <w:r w:rsidRPr="00314576">
        <w:rPr>
          <w:rFonts w:ascii="Times New Roman" w:eastAsia="Times New Roman" w:hAnsi="Times New Roman" w:cs="Times New Roman"/>
          <w:sz w:val="24"/>
          <w:szCs w:val="24"/>
        </w:rPr>
        <w:t>-water oxygen isotope fractionation from the (extrapolated) dolomite-water oxygen isotope equilibrium established by Northrop and Clayton (1966).</w:t>
      </w:r>
    </w:p>
    <w:p w:rsidR="00314576" w:rsidRPr="00314576" w:rsidRDefault="00314576" w:rsidP="00314576">
      <w:pPr>
        <w:spacing w:before="100" w:beforeAutospacing="1" w:after="100" w:afterAutospacing="1" w:line="240" w:lineRule="auto"/>
        <w:outlineLvl w:val="1"/>
        <w:rPr>
          <w:rFonts w:ascii="Times New Roman" w:eastAsia="Times New Roman" w:hAnsi="Times New Roman" w:cs="Times New Roman"/>
          <w:b/>
          <w:bCs/>
          <w:sz w:val="36"/>
          <w:szCs w:val="36"/>
        </w:rPr>
      </w:pPr>
      <w:r w:rsidRPr="00314576">
        <w:rPr>
          <w:rFonts w:ascii="Times New Roman" w:eastAsia="Times New Roman" w:hAnsi="Times New Roman" w:cs="Times New Roman"/>
          <w:b/>
          <w:bCs/>
          <w:sz w:val="36"/>
          <w:szCs w:val="36"/>
        </w:rPr>
        <w:t>Section snippets</w:t>
      </w:r>
    </w:p>
    <w:p w:rsidR="00314576" w:rsidRPr="00314576" w:rsidRDefault="00314576" w:rsidP="00314576">
      <w:pPr>
        <w:spacing w:before="100" w:beforeAutospacing="1" w:after="100" w:afterAutospacing="1" w:line="240" w:lineRule="auto"/>
        <w:outlineLvl w:val="1"/>
        <w:rPr>
          <w:rFonts w:ascii="Times New Roman" w:eastAsia="Times New Roman" w:hAnsi="Times New Roman" w:cs="Times New Roman"/>
          <w:b/>
          <w:bCs/>
          <w:sz w:val="36"/>
          <w:szCs w:val="36"/>
        </w:rPr>
      </w:pPr>
      <w:proofErr w:type="spellStart"/>
      <w:r w:rsidRPr="00314576">
        <w:rPr>
          <w:rFonts w:ascii="Times New Roman" w:eastAsia="Times New Roman" w:hAnsi="Times New Roman" w:cs="Times New Roman"/>
          <w:b/>
          <w:bCs/>
          <w:sz w:val="36"/>
          <w:szCs w:val="36"/>
        </w:rPr>
        <w:t>CaMg</w:t>
      </w:r>
      <w:proofErr w:type="spellEnd"/>
      <w:r w:rsidRPr="00314576">
        <w:rPr>
          <w:rFonts w:ascii="Times New Roman" w:eastAsia="Times New Roman" w:hAnsi="Times New Roman" w:cs="Times New Roman"/>
          <w:b/>
          <w:bCs/>
          <w:sz w:val="36"/>
          <w:szCs w:val="36"/>
        </w:rPr>
        <w:t>-Carbonate Samples</w:t>
      </w:r>
    </w:p>
    <w:p w:rsidR="00314576" w:rsidRPr="00314576" w:rsidRDefault="00314576" w:rsidP="00314576">
      <w:pPr>
        <w:spacing w:before="100" w:beforeAutospacing="1" w:after="100" w:afterAutospacing="1" w:line="240" w:lineRule="auto"/>
        <w:rPr>
          <w:rFonts w:ascii="Times New Roman" w:eastAsia="Times New Roman" w:hAnsi="Times New Roman" w:cs="Times New Roman"/>
          <w:sz w:val="24"/>
          <w:szCs w:val="24"/>
        </w:rPr>
      </w:pPr>
      <w:r w:rsidRPr="00314576">
        <w:rPr>
          <w:rFonts w:ascii="Times New Roman" w:eastAsia="Times New Roman" w:hAnsi="Times New Roman" w:cs="Times New Roman"/>
          <w:sz w:val="24"/>
          <w:szCs w:val="24"/>
        </w:rPr>
        <w:t>Calcium magnesium carbonate samples were synthesized according to the method described in detail by Kelleher and Redfern (2002). Mixtures of the following ionic concentrations were prepared in 30 mL sealed reaction vessels: Ca</w:t>
      </w:r>
      <w:r w:rsidRPr="00314576">
        <w:rPr>
          <w:rFonts w:ascii="Times New Roman" w:eastAsia="Times New Roman" w:hAnsi="Times New Roman" w:cs="Times New Roman"/>
          <w:sz w:val="24"/>
          <w:szCs w:val="24"/>
          <w:vertAlign w:val="superscript"/>
        </w:rPr>
        <w:t>2+</w:t>
      </w:r>
      <w:r w:rsidRPr="00314576">
        <w:rPr>
          <w:rFonts w:ascii="Times New Roman" w:eastAsia="Times New Roman" w:hAnsi="Times New Roman" w:cs="Times New Roman"/>
          <w:sz w:val="24"/>
          <w:szCs w:val="24"/>
        </w:rPr>
        <w:t>, 0.23 M; Mg</w:t>
      </w:r>
      <w:r w:rsidRPr="00314576">
        <w:rPr>
          <w:rFonts w:ascii="Times New Roman" w:eastAsia="Times New Roman" w:hAnsi="Times New Roman" w:cs="Times New Roman"/>
          <w:sz w:val="24"/>
          <w:szCs w:val="24"/>
          <w:vertAlign w:val="superscript"/>
        </w:rPr>
        <w:t>2+</w:t>
      </w:r>
      <w:r w:rsidRPr="00314576">
        <w:rPr>
          <w:rFonts w:ascii="Times New Roman" w:eastAsia="Times New Roman" w:hAnsi="Times New Roman" w:cs="Times New Roman"/>
          <w:sz w:val="24"/>
          <w:szCs w:val="24"/>
        </w:rPr>
        <w:t>, 0.28 M; Na</w:t>
      </w:r>
      <w:r w:rsidRPr="00314576">
        <w:rPr>
          <w:rFonts w:ascii="Times New Roman" w:eastAsia="Times New Roman" w:hAnsi="Times New Roman" w:cs="Times New Roman"/>
          <w:sz w:val="24"/>
          <w:szCs w:val="24"/>
          <w:vertAlign w:val="superscript"/>
        </w:rPr>
        <w:t>+</w:t>
      </w:r>
      <w:r w:rsidRPr="00314576">
        <w:rPr>
          <w:rFonts w:ascii="Times New Roman" w:eastAsia="Times New Roman" w:hAnsi="Times New Roman" w:cs="Times New Roman"/>
          <w:sz w:val="24"/>
          <w:szCs w:val="24"/>
        </w:rPr>
        <w:t>, 0.98 M; NO</w:t>
      </w:r>
      <w:r w:rsidRPr="00314576">
        <w:rPr>
          <w:rFonts w:ascii="Times New Roman" w:eastAsia="Times New Roman" w:hAnsi="Times New Roman" w:cs="Times New Roman"/>
          <w:sz w:val="24"/>
          <w:szCs w:val="24"/>
          <w:vertAlign w:val="subscript"/>
        </w:rPr>
        <w:t>3</w:t>
      </w:r>
      <w:r w:rsidRPr="00314576">
        <w:rPr>
          <w:rFonts w:ascii="Times New Roman" w:eastAsia="Times New Roman" w:hAnsi="Times New Roman" w:cs="Times New Roman"/>
          <w:sz w:val="24"/>
          <w:szCs w:val="24"/>
          <w:vertAlign w:val="superscript"/>
        </w:rPr>
        <w:t>−</w:t>
      </w:r>
      <w:r w:rsidRPr="00314576">
        <w:rPr>
          <w:rFonts w:ascii="Times New Roman" w:eastAsia="Times New Roman" w:hAnsi="Times New Roman" w:cs="Times New Roman"/>
          <w:sz w:val="24"/>
          <w:szCs w:val="24"/>
        </w:rPr>
        <w:t>, 0.46 M; SO</w:t>
      </w:r>
      <w:r w:rsidRPr="00314576">
        <w:rPr>
          <w:rFonts w:ascii="Times New Roman" w:eastAsia="Times New Roman" w:hAnsi="Times New Roman" w:cs="Times New Roman"/>
          <w:sz w:val="24"/>
          <w:szCs w:val="24"/>
          <w:vertAlign w:val="subscript"/>
        </w:rPr>
        <w:t>4</w:t>
      </w:r>
      <w:r w:rsidRPr="00314576">
        <w:rPr>
          <w:rFonts w:ascii="Times New Roman" w:eastAsia="Times New Roman" w:hAnsi="Times New Roman" w:cs="Times New Roman"/>
          <w:sz w:val="24"/>
          <w:szCs w:val="24"/>
          <w:vertAlign w:val="superscript"/>
        </w:rPr>
        <w:t>2−</w:t>
      </w:r>
      <w:r w:rsidRPr="00314576">
        <w:rPr>
          <w:rFonts w:ascii="Times New Roman" w:eastAsia="Times New Roman" w:hAnsi="Times New Roman" w:cs="Times New Roman"/>
          <w:sz w:val="24"/>
          <w:szCs w:val="24"/>
        </w:rPr>
        <w:t>, 0.28 M; CO</w:t>
      </w:r>
      <w:r w:rsidRPr="00314576">
        <w:rPr>
          <w:rFonts w:ascii="Times New Roman" w:eastAsia="Times New Roman" w:hAnsi="Times New Roman" w:cs="Times New Roman"/>
          <w:sz w:val="24"/>
          <w:szCs w:val="24"/>
          <w:vertAlign w:val="subscript"/>
        </w:rPr>
        <w:t>3</w:t>
      </w:r>
      <w:r w:rsidRPr="00314576">
        <w:rPr>
          <w:rFonts w:ascii="Times New Roman" w:eastAsia="Times New Roman" w:hAnsi="Times New Roman" w:cs="Times New Roman"/>
          <w:sz w:val="24"/>
          <w:szCs w:val="24"/>
          <w:vertAlign w:val="superscript"/>
        </w:rPr>
        <w:t>2−</w:t>
      </w:r>
      <w:r w:rsidRPr="00314576">
        <w:rPr>
          <w:rFonts w:ascii="Times New Roman" w:eastAsia="Times New Roman" w:hAnsi="Times New Roman" w:cs="Times New Roman"/>
          <w:sz w:val="24"/>
          <w:szCs w:val="24"/>
        </w:rPr>
        <w:t xml:space="preserve">, 0.49 M. The reaction vessels were frequently shaken and equilibrated at temperatures of 40°, 60°, and 80°C for 1 to 23 d (Table 1). Precipitates were cleaned and dried after equilibration by 0.45 mm </w:t>
      </w:r>
    </w:p>
    <w:p w:rsidR="00314576" w:rsidRPr="00314576" w:rsidRDefault="00314576" w:rsidP="00314576">
      <w:pPr>
        <w:spacing w:before="100" w:beforeAutospacing="1" w:after="100" w:afterAutospacing="1" w:line="240" w:lineRule="auto"/>
        <w:outlineLvl w:val="1"/>
        <w:rPr>
          <w:rFonts w:ascii="Times New Roman" w:eastAsia="Times New Roman" w:hAnsi="Times New Roman" w:cs="Times New Roman"/>
          <w:b/>
          <w:bCs/>
          <w:sz w:val="36"/>
          <w:szCs w:val="36"/>
        </w:rPr>
      </w:pPr>
      <w:r w:rsidRPr="00314576">
        <w:rPr>
          <w:rFonts w:ascii="Times New Roman" w:eastAsia="Times New Roman" w:hAnsi="Times New Roman" w:cs="Times New Roman"/>
          <w:b/>
          <w:bCs/>
          <w:sz w:val="36"/>
          <w:szCs w:val="36"/>
        </w:rPr>
        <w:lastRenderedPageBreak/>
        <w:t>Sample Characterization</w:t>
      </w:r>
    </w:p>
    <w:p w:rsidR="00314576" w:rsidRPr="00314576" w:rsidRDefault="00314576" w:rsidP="00314576">
      <w:pPr>
        <w:spacing w:before="100" w:beforeAutospacing="1" w:after="100" w:afterAutospacing="1" w:line="240" w:lineRule="auto"/>
        <w:rPr>
          <w:rFonts w:ascii="Times New Roman" w:eastAsia="Times New Roman" w:hAnsi="Times New Roman" w:cs="Times New Roman"/>
          <w:sz w:val="24"/>
          <w:szCs w:val="24"/>
        </w:rPr>
      </w:pPr>
      <w:r w:rsidRPr="00314576">
        <w:rPr>
          <w:rFonts w:ascii="Times New Roman" w:eastAsia="Times New Roman" w:hAnsi="Times New Roman" w:cs="Times New Roman"/>
          <w:sz w:val="24"/>
          <w:szCs w:val="24"/>
        </w:rPr>
        <w:t xml:space="preserve">SEM observations of the synthesized </w:t>
      </w:r>
      <w:proofErr w:type="spellStart"/>
      <w:r w:rsidRPr="00314576">
        <w:rPr>
          <w:rFonts w:ascii="Times New Roman" w:eastAsia="Times New Roman" w:hAnsi="Times New Roman" w:cs="Times New Roman"/>
          <w:sz w:val="24"/>
          <w:szCs w:val="24"/>
        </w:rPr>
        <w:t>protodolomites</w:t>
      </w:r>
      <w:proofErr w:type="spellEnd"/>
      <w:r w:rsidRPr="00314576">
        <w:rPr>
          <w:rFonts w:ascii="Times New Roman" w:eastAsia="Times New Roman" w:hAnsi="Times New Roman" w:cs="Times New Roman"/>
          <w:sz w:val="24"/>
          <w:szCs w:val="24"/>
        </w:rPr>
        <w:t xml:space="preserve"> (Fig. 1a) revealed spheroidal particles similar to inorganic carbonate precipitates observed in both, natural and synthetic samples reported by other authors (Müller and Fischbeck 1973, </w:t>
      </w:r>
      <w:proofErr w:type="spellStart"/>
      <w:r w:rsidRPr="00314576">
        <w:rPr>
          <w:rFonts w:ascii="Times New Roman" w:eastAsia="Times New Roman" w:hAnsi="Times New Roman" w:cs="Times New Roman"/>
          <w:sz w:val="24"/>
          <w:szCs w:val="24"/>
        </w:rPr>
        <w:t>Botz</w:t>
      </w:r>
      <w:proofErr w:type="spellEnd"/>
      <w:r w:rsidRPr="00314576">
        <w:rPr>
          <w:rFonts w:ascii="Times New Roman" w:eastAsia="Times New Roman" w:hAnsi="Times New Roman" w:cs="Times New Roman"/>
          <w:sz w:val="24"/>
          <w:szCs w:val="24"/>
        </w:rPr>
        <w:t xml:space="preserve"> and von der </w:t>
      </w:r>
      <w:proofErr w:type="spellStart"/>
      <w:r w:rsidRPr="00314576">
        <w:rPr>
          <w:rFonts w:ascii="Times New Roman" w:eastAsia="Times New Roman" w:hAnsi="Times New Roman" w:cs="Times New Roman"/>
          <w:sz w:val="24"/>
          <w:szCs w:val="24"/>
        </w:rPr>
        <w:t>Borch</w:t>
      </w:r>
      <w:proofErr w:type="spellEnd"/>
      <w:r w:rsidRPr="00314576">
        <w:rPr>
          <w:rFonts w:ascii="Times New Roman" w:eastAsia="Times New Roman" w:hAnsi="Times New Roman" w:cs="Times New Roman"/>
          <w:sz w:val="24"/>
          <w:szCs w:val="24"/>
        </w:rPr>
        <w:t xml:space="preserve"> 1984, Carballo et al 1987, Raz et al 2000, Kelleher and Redfern 2002, Becker et al 2003). The spheroidal particles are overgrown with 100–300 nm (euhedral) crystals (Fig. 1</w:t>
      </w:r>
      <w:proofErr w:type="gramStart"/>
      <w:r w:rsidRPr="00314576">
        <w:rPr>
          <w:rFonts w:ascii="Times New Roman" w:eastAsia="Times New Roman" w:hAnsi="Times New Roman" w:cs="Times New Roman"/>
          <w:sz w:val="24"/>
          <w:szCs w:val="24"/>
        </w:rPr>
        <w:t>b,c</w:t>
      </w:r>
      <w:proofErr w:type="gramEnd"/>
      <w:r w:rsidRPr="00314576">
        <w:rPr>
          <w:rFonts w:ascii="Times New Roman" w:eastAsia="Times New Roman" w:hAnsi="Times New Roman" w:cs="Times New Roman"/>
          <w:sz w:val="24"/>
          <w:szCs w:val="24"/>
        </w:rPr>
        <w:t>), indicating dissolution/reprecipitation processes (Kelleher</w:t>
      </w:r>
    </w:p>
    <w:p w:rsidR="00314576" w:rsidRPr="00314576" w:rsidRDefault="00314576" w:rsidP="00314576">
      <w:pPr>
        <w:spacing w:before="100" w:beforeAutospacing="1" w:after="100" w:afterAutospacing="1" w:line="240" w:lineRule="auto"/>
        <w:outlineLvl w:val="1"/>
        <w:rPr>
          <w:rFonts w:ascii="Times New Roman" w:eastAsia="Times New Roman" w:hAnsi="Times New Roman" w:cs="Times New Roman"/>
          <w:b/>
          <w:bCs/>
          <w:sz w:val="36"/>
          <w:szCs w:val="36"/>
        </w:rPr>
      </w:pPr>
      <w:r w:rsidRPr="00314576">
        <w:rPr>
          <w:rFonts w:ascii="Times New Roman" w:eastAsia="Times New Roman" w:hAnsi="Times New Roman" w:cs="Times New Roman"/>
          <w:b/>
          <w:bCs/>
          <w:sz w:val="36"/>
          <w:szCs w:val="36"/>
        </w:rPr>
        <w:t>Conclusion</w:t>
      </w:r>
    </w:p>
    <w:p w:rsidR="00314576" w:rsidRPr="00314576" w:rsidRDefault="00314576" w:rsidP="00314576">
      <w:pPr>
        <w:spacing w:before="100" w:beforeAutospacing="1" w:after="100" w:afterAutospacing="1" w:line="240" w:lineRule="auto"/>
        <w:rPr>
          <w:rFonts w:ascii="Times New Roman" w:eastAsia="Times New Roman" w:hAnsi="Times New Roman" w:cs="Times New Roman"/>
          <w:sz w:val="24"/>
          <w:szCs w:val="24"/>
        </w:rPr>
      </w:pPr>
      <w:r w:rsidRPr="00314576">
        <w:rPr>
          <w:rFonts w:ascii="Times New Roman" w:eastAsia="Times New Roman" w:hAnsi="Times New Roman" w:cs="Times New Roman"/>
          <w:sz w:val="24"/>
          <w:szCs w:val="24"/>
        </w:rPr>
        <w:t xml:space="preserve">Despite their differences in structural order </w:t>
      </w:r>
      <w:proofErr w:type="spellStart"/>
      <w:r w:rsidRPr="00314576">
        <w:rPr>
          <w:rFonts w:ascii="Times New Roman" w:eastAsia="Times New Roman" w:hAnsi="Times New Roman" w:cs="Times New Roman"/>
          <w:sz w:val="24"/>
          <w:szCs w:val="24"/>
        </w:rPr>
        <w:t>CaMg</w:t>
      </w:r>
      <w:proofErr w:type="spellEnd"/>
      <w:r w:rsidRPr="00314576">
        <w:rPr>
          <w:rFonts w:ascii="Times New Roman" w:eastAsia="Times New Roman" w:hAnsi="Times New Roman" w:cs="Times New Roman"/>
          <w:sz w:val="24"/>
          <w:szCs w:val="24"/>
        </w:rPr>
        <w:t>-carbonate synthesized in the laboratory at 40°, 60° and 80°C has similar mineralogical characteristics as disordered natural dolomite from the Coorong region in South Australia. Both the synthesized material and the Coorong dolomite are always associated with variable amounts of amorphous calcium carbonate. The amorphous carbonate is isotopically light and thus, the isotope composition of bulk samples consisting of both amorphous carbonate and</w:t>
      </w:r>
    </w:p>
    <w:p w:rsidR="00314576" w:rsidRPr="00314576" w:rsidRDefault="00314576" w:rsidP="00314576">
      <w:pPr>
        <w:spacing w:before="100" w:beforeAutospacing="1" w:after="100" w:afterAutospacing="1" w:line="240" w:lineRule="auto"/>
        <w:outlineLvl w:val="1"/>
        <w:rPr>
          <w:rFonts w:ascii="Times New Roman" w:eastAsia="Times New Roman" w:hAnsi="Times New Roman" w:cs="Times New Roman"/>
          <w:b/>
          <w:bCs/>
          <w:sz w:val="36"/>
          <w:szCs w:val="36"/>
        </w:rPr>
      </w:pPr>
      <w:r w:rsidRPr="00314576">
        <w:rPr>
          <w:rFonts w:ascii="Times New Roman" w:eastAsia="Times New Roman" w:hAnsi="Times New Roman" w:cs="Times New Roman"/>
          <w:b/>
          <w:bCs/>
          <w:sz w:val="36"/>
          <w:szCs w:val="36"/>
        </w:rPr>
        <w:t>Acknowledgments</w:t>
      </w:r>
    </w:p>
    <w:p w:rsidR="00314576" w:rsidRPr="00314576" w:rsidRDefault="00314576" w:rsidP="00314576">
      <w:pPr>
        <w:spacing w:before="100" w:beforeAutospacing="1" w:after="100" w:afterAutospacing="1" w:line="240" w:lineRule="auto"/>
        <w:rPr>
          <w:rFonts w:ascii="Times New Roman" w:eastAsia="Times New Roman" w:hAnsi="Times New Roman" w:cs="Times New Roman"/>
          <w:sz w:val="24"/>
          <w:szCs w:val="24"/>
        </w:rPr>
      </w:pPr>
      <w:r w:rsidRPr="00314576">
        <w:rPr>
          <w:rFonts w:ascii="Times New Roman" w:eastAsia="Times New Roman" w:hAnsi="Times New Roman" w:cs="Times New Roman"/>
          <w:sz w:val="24"/>
          <w:szCs w:val="24"/>
        </w:rPr>
        <w:t xml:space="preserve">We are grateful to C. C. von der </w:t>
      </w:r>
      <w:proofErr w:type="spellStart"/>
      <w:r w:rsidRPr="00314576">
        <w:rPr>
          <w:rFonts w:ascii="Times New Roman" w:eastAsia="Times New Roman" w:hAnsi="Times New Roman" w:cs="Times New Roman"/>
          <w:sz w:val="24"/>
          <w:szCs w:val="24"/>
        </w:rPr>
        <w:t>Borch</w:t>
      </w:r>
      <w:proofErr w:type="spellEnd"/>
      <w:r w:rsidRPr="00314576">
        <w:rPr>
          <w:rFonts w:ascii="Times New Roman" w:eastAsia="Times New Roman" w:hAnsi="Times New Roman" w:cs="Times New Roman"/>
          <w:sz w:val="24"/>
          <w:szCs w:val="24"/>
        </w:rPr>
        <w:t xml:space="preserve">, who provided us with dolomite samples from the Coorong region, South Australia. TEM analyses were conducted by M. </w:t>
      </w:r>
      <w:proofErr w:type="spellStart"/>
      <w:r w:rsidRPr="00314576">
        <w:rPr>
          <w:rFonts w:ascii="Times New Roman" w:eastAsia="Times New Roman" w:hAnsi="Times New Roman" w:cs="Times New Roman"/>
          <w:sz w:val="24"/>
          <w:szCs w:val="24"/>
        </w:rPr>
        <w:t>Czank</w:t>
      </w:r>
      <w:proofErr w:type="spellEnd"/>
      <w:r w:rsidRPr="00314576">
        <w:rPr>
          <w:rFonts w:ascii="Times New Roman" w:eastAsia="Times New Roman" w:hAnsi="Times New Roman" w:cs="Times New Roman"/>
          <w:sz w:val="24"/>
          <w:szCs w:val="24"/>
        </w:rPr>
        <w:t xml:space="preserve"> (IFG-Mineralogy, University of Kiel). B. Bader assisted us with SEM. We thank S. </w:t>
      </w:r>
      <w:proofErr w:type="spellStart"/>
      <w:r w:rsidRPr="00314576">
        <w:rPr>
          <w:rFonts w:ascii="Times New Roman" w:eastAsia="Times New Roman" w:hAnsi="Times New Roman" w:cs="Times New Roman"/>
          <w:sz w:val="24"/>
          <w:szCs w:val="24"/>
        </w:rPr>
        <w:t>Ismar</w:t>
      </w:r>
      <w:proofErr w:type="spellEnd"/>
      <w:r w:rsidRPr="00314576">
        <w:rPr>
          <w:rFonts w:ascii="Times New Roman" w:eastAsia="Times New Roman" w:hAnsi="Times New Roman" w:cs="Times New Roman"/>
          <w:sz w:val="24"/>
          <w:szCs w:val="24"/>
        </w:rPr>
        <w:t xml:space="preserve"> and N.-S. </w:t>
      </w:r>
      <w:proofErr w:type="spellStart"/>
      <w:r w:rsidRPr="00314576">
        <w:rPr>
          <w:rFonts w:ascii="Times New Roman" w:eastAsia="Times New Roman" w:hAnsi="Times New Roman" w:cs="Times New Roman"/>
          <w:sz w:val="24"/>
          <w:szCs w:val="24"/>
        </w:rPr>
        <w:t>Rahmoun</w:t>
      </w:r>
      <w:proofErr w:type="spellEnd"/>
      <w:r w:rsidRPr="00314576">
        <w:rPr>
          <w:rFonts w:ascii="Times New Roman" w:eastAsia="Times New Roman" w:hAnsi="Times New Roman" w:cs="Times New Roman"/>
          <w:sz w:val="24"/>
          <w:szCs w:val="24"/>
        </w:rPr>
        <w:t xml:space="preserve"> for their assistance in running the FTIR spectrometer. Laboratory help was provided by I. </w:t>
      </w:r>
      <w:proofErr w:type="spellStart"/>
      <w:r w:rsidRPr="00314576">
        <w:rPr>
          <w:rFonts w:ascii="Times New Roman" w:eastAsia="Times New Roman" w:hAnsi="Times New Roman" w:cs="Times New Roman"/>
          <w:sz w:val="24"/>
          <w:szCs w:val="24"/>
        </w:rPr>
        <w:t>Dold</w:t>
      </w:r>
      <w:proofErr w:type="spellEnd"/>
      <w:r w:rsidRPr="00314576">
        <w:rPr>
          <w:rFonts w:ascii="Times New Roman" w:eastAsia="Times New Roman" w:hAnsi="Times New Roman" w:cs="Times New Roman"/>
          <w:sz w:val="24"/>
          <w:szCs w:val="24"/>
        </w:rPr>
        <w:t xml:space="preserve">, P. Fiedler, U. Schacht (IFG-Geology, Kiel), and C. L. </w:t>
      </w:r>
      <w:proofErr w:type="spellStart"/>
      <w:r w:rsidRPr="00314576">
        <w:rPr>
          <w:rFonts w:ascii="Times New Roman" w:eastAsia="Times New Roman" w:hAnsi="Times New Roman" w:cs="Times New Roman"/>
          <w:sz w:val="24"/>
          <w:szCs w:val="24"/>
        </w:rPr>
        <w:t>Teske</w:t>
      </w:r>
      <w:proofErr w:type="spellEnd"/>
      <w:r w:rsidRPr="00314576">
        <w:rPr>
          <w:rFonts w:ascii="Times New Roman" w:eastAsia="Times New Roman" w:hAnsi="Times New Roman" w:cs="Times New Roman"/>
          <w:sz w:val="24"/>
          <w:szCs w:val="24"/>
        </w:rPr>
        <w:t xml:space="preserve"> (Department of Inorganic Chemistry, Kiel).</w:t>
      </w:r>
    </w:p>
    <w:p w:rsidR="00A6180B" w:rsidRDefault="00A6180B"/>
    <w:sectPr w:rsidR="00A6180B">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4576"/>
    <w:rsid w:val="00314576"/>
    <w:rsid w:val="00A618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F1F303"/>
  <w15:chartTrackingRefBased/>
  <w15:docId w15:val="{7E21D7CC-BF97-4501-BAE4-65C0CBA5E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22314130">
      <w:bodyDiv w:val="1"/>
      <w:marLeft w:val="0"/>
      <w:marRight w:val="0"/>
      <w:marTop w:val="0"/>
      <w:marBottom w:val="0"/>
      <w:divBdr>
        <w:top w:val="none" w:sz="0" w:space="0" w:color="auto"/>
        <w:left w:val="none" w:sz="0" w:space="0" w:color="auto"/>
        <w:bottom w:val="none" w:sz="0" w:space="0" w:color="auto"/>
        <w:right w:val="none" w:sz="0" w:space="0" w:color="auto"/>
      </w:divBdr>
      <w:divsChild>
        <w:div w:id="226232596">
          <w:marLeft w:val="0"/>
          <w:marRight w:val="0"/>
          <w:marTop w:val="0"/>
          <w:marBottom w:val="0"/>
          <w:divBdr>
            <w:top w:val="none" w:sz="0" w:space="0" w:color="auto"/>
            <w:left w:val="none" w:sz="0" w:space="0" w:color="auto"/>
            <w:bottom w:val="none" w:sz="0" w:space="0" w:color="auto"/>
            <w:right w:val="none" w:sz="0" w:space="0" w:color="auto"/>
          </w:divBdr>
          <w:divsChild>
            <w:div w:id="1958246355">
              <w:marLeft w:val="0"/>
              <w:marRight w:val="0"/>
              <w:marTop w:val="0"/>
              <w:marBottom w:val="0"/>
              <w:divBdr>
                <w:top w:val="none" w:sz="0" w:space="0" w:color="auto"/>
                <w:left w:val="none" w:sz="0" w:space="0" w:color="auto"/>
                <w:bottom w:val="none" w:sz="0" w:space="0" w:color="auto"/>
                <w:right w:val="none" w:sz="0" w:space="0" w:color="auto"/>
              </w:divBdr>
              <w:divsChild>
                <w:div w:id="401415003">
                  <w:marLeft w:val="0"/>
                  <w:marRight w:val="0"/>
                  <w:marTop w:val="0"/>
                  <w:marBottom w:val="0"/>
                  <w:divBdr>
                    <w:top w:val="none" w:sz="0" w:space="0" w:color="auto"/>
                    <w:left w:val="none" w:sz="0" w:space="0" w:color="auto"/>
                    <w:bottom w:val="none" w:sz="0" w:space="0" w:color="auto"/>
                    <w:right w:val="none" w:sz="0" w:space="0" w:color="auto"/>
                  </w:divBdr>
                  <w:divsChild>
                    <w:div w:id="183664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29733">
          <w:marLeft w:val="0"/>
          <w:marRight w:val="0"/>
          <w:marTop w:val="0"/>
          <w:marBottom w:val="0"/>
          <w:divBdr>
            <w:top w:val="none" w:sz="0" w:space="0" w:color="auto"/>
            <w:left w:val="none" w:sz="0" w:space="0" w:color="auto"/>
            <w:bottom w:val="none" w:sz="0" w:space="0" w:color="auto"/>
            <w:right w:val="none" w:sz="0" w:space="0" w:color="auto"/>
          </w:divBdr>
          <w:divsChild>
            <w:div w:id="1039671258">
              <w:marLeft w:val="0"/>
              <w:marRight w:val="0"/>
              <w:marTop w:val="0"/>
              <w:marBottom w:val="0"/>
              <w:divBdr>
                <w:top w:val="none" w:sz="0" w:space="0" w:color="auto"/>
                <w:left w:val="none" w:sz="0" w:space="0" w:color="auto"/>
                <w:bottom w:val="none" w:sz="0" w:space="0" w:color="auto"/>
                <w:right w:val="none" w:sz="0" w:space="0" w:color="auto"/>
              </w:divBdr>
              <w:divsChild>
                <w:div w:id="1222641893">
                  <w:marLeft w:val="0"/>
                  <w:marRight w:val="0"/>
                  <w:marTop w:val="0"/>
                  <w:marBottom w:val="0"/>
                  <w:divBdr>
                    <w:top w:val="none" w:sz="0" w:space="0" w:color="auto"/>
                    <w:left w:val="none" w:sz="0" w:space="0" w:color="auto"/>
                    <w:bottom w:val="none" w:sz="0" w:space="0" w:color="auto"/>
                    <w:right w:val="none" w:sz="0" w:space="0" w:color="auto"/>
                  </w:divBdr>
                  <w:divsChild>
                    <w:div w:id="1412506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0592835">
          <w:marLeft w:val="0"/>
          <w:marRight w:val="0"/>
          <w:marTop w:val="0"/>
          <w:marBottom w:val="0"/>
          <w:divBdr>
            <w:top w:val="none" w:sz="0" w:space="0" w:color="auto"/>
            <w:left w:val="none" w:sz="0" w:space="0" w:color="auto"/>
            <w:bottom w:val="none" w:sz="0" w:space="0" w:color="auto"/>
            <w:right w:val="none" w:sz="0" w:space="0" w:color="auto"/>
          </w:divBdr>
          <w:divsChild>
            <w:div w:id="274602597">
              <w:marLeft w:val="0"/>
              <w:marRight w:val="0"/>
              <w:marTop w:val="0"/>
              <w:marBottom w:val="0"/>
              <w:divBdr>
                <w:top w:val="none" w:sz="0" w:space="0" w:color="auto"/>
                <w:left w:val="none" w:sz="0" w:space="0" w:color="auto"/>
                <w:bottom w:val="none" w:sz="0" w:space="0" w:color="auto"/>
                <w:right w:val="none" w:sz="0" w:space="0" w:color="auto"/>
              </w:divBdr>
            </w:div>
          </w:divsChild>
        </w:div>
        <w:div w:id="1276788540">
          <w:marLeft w:val="0"/>
          <w:marRight w:val="0"/>
          <w:marTop w:val="0"/>
          <w:marBottom w:val="0"/>
          <w:divBdr>
            <w:top w:val="none" w:sz="0" w:space="0" w:color="auto"/>
            <w:left w:val="none" w:sz="0" w:space="0" w:color="auto"/>
            <w:bottom w:val="none" w:sz="0" w:space="0" w:color="auto"/>
            <w:right w:val="none" w:sz="0" w:space="0" w:color="auto"/>
          </w:divBdr>
          <w:divsChild>
            <w:div w:id="575356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sciencedirect.com/science/article/abs/pii/S0016703705005533?via%3Dihub" TargetMode="External"/><Relationship Id="rId4" Type="http://schemas.openxmlformats.org/officeDocument/2006/relationships/hyperlink" Target="https://doi.org/10.1016/j.gca.2005.06.02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1236</Words>
  <Characters>7046</Characters>
  <Application>Microsoft Office Word</Application>
  <DocSecurity>0</DocSecurity>
  <Lines>58</Lines>
  <Paragraphs>16</Paragraphs>
  <ScaleCrop>false</ScaleCrop>
  <Company/>
  <LinksUpToDate>false</LinksUpToDate>
  <CharactersWithSpaces>8266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2023-11-18T00:37:00Z</dcterms:created>
  <dcterms:modified xsi:type="dcterms:W3CDTF">2023-11-18T00:37:00Z</dcterms:modified>
</cp:coreProperties>
</file>