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A7AB4" w:rsidRDefault="009A7AB4" w:rsidP="009A7AB4">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9A7AB4">
        <w:rPr>
          <w:rFonts w:ascii="Times New Roman" w:eastAsia="Times New Roman" w:hAnsi="Times New Roman" w:cs="Times New Roman"/>
          <w:b/>
          <w:bCs/>
          <w:kern w:val="36"/>
          <w:sz w:val="48"/>
          <w:szCs w:val="48"/>
        </w:rPr>
        <w:t>MineralImage5k: A benchmark for zero-shot raw mineral visual recognition and description</w:t>
      </w:r>
    </w:p>
    <w:p w:rsidR="00C56D94" w:rsidRPr="009A7AB4" w:rsidRDefault="00C56D94" w:rsidP="009A7AB4">
      <w:pPr>
        <w:spacing w:before="100" w:beforeAutospacing="1" w:after="100" w:afterAutospacing="1" w:line="240" w:lineRule="auto"/>
        <w:outlineLvl w:val="0"/>
        <w:rPr>
          <w:rFonts w:ascii="Times New Roman" w:eastAsia="Times New Roman" w:hAnsi="Times New Roman" w:cs="Times New Roman"/>
          <w:b/>
          <w:bCs/>
          <w:kern w:val="36"/>
          <w:sz w:val="48"/>
          <w:szCs w:val="48"/>
        </w:rPr>
      </w:pPr>
      <w:proofErr w:type="spellStart"/>
      <w:r w:rsidRPr="00BF6223">
        <w:rPr>
          <w:rFonts w:ascii="Times New Roman" w:hAnsi="Times New Roman"/>
          <w:sz w:val="24"/>
          <w:szCs w:val="24"/>
        </w:rPr>
        <w:t>Nesteruk</w:t>
      </w:r>
      <w:proofErr w:type="spellEnd"/>
      <w:r w:rsidRPr="00BF6223">
        <w:rPr>
          <w:rFonts w:ascii="Times New Roman" w:hAnsi="Times New Roman"/>
          <w:sz w:val="24"/>
          <w:szCs w:val="24"/>
        </w:rPr>
        <w:t xml:space="preserve"> S., </w:t>
      </w:r>
      <w:proofErr w:type="spellStart"/>
      <w:r w:rsidRPr="00BF6223">
        <w:rPr>
          <w:rFonts w:ascii="Times New Roman" w:hAnsi="Times New Roman"/>
          <w:sz w:val="24"/>
          <w:szCs w:val="24"/>
        </w:rPr>
        <w:t>Agafonova</w:t>
      </w:r>
      <w:proofErr w:type="spellEnd"/>
      <w:r w:rsidRPr="00BF6223">
        <w:rPr>
          <w:rFonts w:ascii="Times New Roman" w:hAnsi="Times New Roman"/>
          <w:sz w:val="24"/>
          <w:szCs w:val="24"/>
        </w:rPr>
        <w:t xml:space="preserve"> J., Pavlov I., Gerasimov M., </w:t>
      </w:r>
      <w:proofErr w:type="spellStart"/>
      <w:r w:rsidRPr="00BF6223">
        <w:rPr>
          <w:rFonts w:ascii="Times New Roman" w:hAnsi="Times New Roman"/>
          <w:sz w:val="24"/>
          <w:szCs w:val="24"/>
        </w:rPr>
        <w:t>Latyshev</w:t>
      </w:r>
      <w:proofErr w:type="spellEnd"/>
      <w:r w:rsidRPr="00BF6223">
        <w:rPr>
          <w:rFonts w:ascii="Times New Roman" w:hAnsi="Times New Roman"/>
          <w:sz w:val="24"/>
          <w:szCs w:val="24"/>
        </w:rPr>
        <w:t xml:space="preserve"> N., Dimitrov D., </w:t>
      </w:r>
      <w:proofErr w:type="spellStart"/>
      <w:r w:rsidRPr="00BF6223">
        <w:rPr>
          <w:rFonts w:ascii="Times New Roman" w:hAnsi="Times New Roman"/>
          <w:sz w:val="24"/>
          <w:szCs w:val="24"/>
        </w:rPr>
        <w:t>Kuznetsov</w:t>
      </w:r>
      <w:proofErr w:type="spellEnd"/>
      <w:r w:rsidRPr="00BF6223">
        <w:rPr>
          <w:rFonts w:ascii="Times New Roman" w:hAnsi="Times New Roman"/>
          <w:sz w:val="24"/>
          <w:szCs w:val="24"/>
        </w:rPr>
        <w:t xml:space="preserve"> A., </w:t>
      </w:r>
      <w:proofErr w:type="spellStart"/>
      <w:r w:rsidRPr="00BF6223">
        <w:rPr>
          <w:rFonts w:ascii="Times New Roman" w:hAnsi="Times New Roman"/>
          <w:sz w:val="24"/>
          <w:szCs w:val="24"/>
        </w:rPr>
        <w:t>Kadurin</w:t>
      </w:r>
      <w:proofErr w:type="spellEnd"/>
      <w:r w:rsidRPr="00BF6223">
        <w:rPr>
          <w:rFonts w:ascii="Times New Roman" w:hAnsi="Times New Roman"/>
          <w:sz w:val="24"/>
          <w:szCs w:val="24"/>
        </w:rPr>
        <w:t xml:space="preserve"> A., </w:t>
      </w:r>
      <w:proofErr w:type="spellStart"/>
      <w:r w:rsidRPr="00BF6223">
        <w:rPr>
          <w:rFonts w:ascii="Times New Roman" w:hAnsi="Times New Roman"/>
          <w:sz w:val="24"/>
          <w:szCs w:val="24"/>
        </w:rPr>
        <w:t>Plechov</w:t>
      </w:r>
      <w:proofErr w:type="spellEnd"/>
      <w:r w:rsidRPr="00BF6223">
        <w:rPr>
          <w:rFonts w:ascii="Times New Roman" w:hAnsi="Times New Roman"/>
          <w:sz w:val="24"/>
          <w:szCs w:val="24"/>
        </w:rPr>
        <w:t xml:space="preserve"> P.,</w:t>
      </w:r>
    </w:p>
    <w:p w:rsidR="009A7AB4" w:rsidRPr="009A7AB4" w:rsidRDefault="009A7AB4" w:rsidP="009A7AB4">
      <w:pPr>
        <w:spacing w:after="0" w:line="240" w:lineRule="auto"/>
        <w:rPr>
          <w:rFonts w:ascii="Times New Roman" w:eastAsia="Times New Roman" w:hAnsi="Times New Roman" w:cs="Times New Roman"/>
          <w:sz w:val="24"/>
          <w:szCs w:val="24"/>
        </w:rPr>
      </w:pPr>
      <w:hyperlink r:id="rId5" w:tgtFrame="_blank" w:tooltip="Persistent link using digital object identifier" w:history="1">
        <w:r w:rsidRPr="009A7AB4">
          <w:rPr>
            <w:rFonts w:ascii="Times New Roman" w:eastAsia="Times New Roman" w:hAnsi="Times New Roman" w:cs="Times New Roman"/>
            <w:color w:val="0000FF"/>
            <w:sz w:val="24"/>
            <w:szCs w:val="24"/>
            <w:u w:val="single"/>
          </w:rPr>
          <w:t>https://doi.org/10.1016/j.cageo.2023.105414</w:t>
        </w:r>
      </w:hyperlink>
      <w:r w:rsidR="00C56D94" w:rsidRPr="009A7AB4">
        <w:rPr>
          <w:rFonts w:ascii="Times New Roman" w:eastAsia="Times New Roman" w:hAnsi="Times New Roman" w:cs="Times New Roman"/>
          <w:sz w:val="24"/>
          <w:szCs w:val="24"/>
        </w:rPr>
        <w:t xml:space="preserve"> </w:t>
      </w:r>
    </w:p>
    <w:p w:rsidR="009A7AB4" w:rsidRPr="009A7AB4" w:rsidRDefault="009A7AB4" w:rsidP="009A7AB4">
      <w:pPr>
        <w:spacing w:before="100" w:beforeAutospacing="1" w:after="100" w:afterAutospacing="1" w:line="240" w:lineRule="auto"/>
        <w:outlineLvl w:val="1"/>
        <w:rPr>
          <w:rFonts w:ascii="Times New Roman" w:eastAsia="Times New Roman" w:hAnsi="Times New Roman" w:cs="Times New Roman"/>
          <w:b/>
          <w:bCs/>
          <w:sz w:val="36"/>
          <w:szCs w:val="36"/>
        </w:rPr>
      </w:pPr>
      <w:r w:rsidRPr="009A7AB4">
        <w:rPr>
          <w:rFonts w:ascii="Times New Roman" w:eastAsia="Times New Roman" w:hAnsi="Times New Roman" w:cs="Times New Roman"/>
          <w:b/>
          <w:bCs/>
          <w:sz w:val="36"/>
          <w:szCs w:val="36"/>
        </w:rPr>
        <w:t>Abstract</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Mineral image recognition is a challenging computer vision problem. Without external tools, even a human expert cannot distinguish some mineral species accurately. Previous research was mainly focused on processed mineral recognition. This is considered to be a simplified statement of a problem because processed minerals are more visually expressive. On the contrary, in a raw sample, the target mineral can appear in the form of thinly represented inclusions. In real life, the raw samples usually require automatic mineral species identification.</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 xml:space="preserve">Another difficulty in raw mineral recognition is the shortage of publicly available training and validation data. It is impossible to compare different </w:t>
      </w:r>
      <w:hyperlink r:id="rId6" w:tooltip="Learn more about deep learning from ScienceDirect's AI-generated Topic Pages" w:history="1">
        <w:r w:rsidRPr="009A7AB4">
          <w:rPr>
            <w:rFonts w:ascii="Times New Roman" w:eastAsia="Times New Roman" w:hAnsi="Times New Roman" w:cs="Times New Roman"/>
            <w:color w:val="0000FF"/>
            <w:sz w:val="24"/>
            <w:szCs w:val="24"/>
            <w:u w:val="single"/>
          </w:rPr>
          <w:t>deep learning</w:t>
        </w:r>
      </w:hyperlink>
      <w:r w:rsidRPr="009A7AB4">
        <w:rPr>
          <w:rFonts w:ascii="Times New Roman" w:eastAsia="Times New Roman" w:hAnsi="Times New Roman" w:cs="Times New Roman"/>
          <w:sz w:val="24"/>
          <w:szCs w:val="24"/>
        </w:rPr>
        <w:t xml:space="preserve"> approaches when the results are evaluated on dissimilar data.</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 xml:space="preserve">The main contribution of this paper is providing an open benchmark for zero-shot raw mineral visual recognition. Besides the evaluation-only zero-shot classification dataset, we publish subsets for </w:t>
      </w:r>
      <w:hyperlink r:id="rId7" w:tooltip="Learn more about segmentation from ScienceDirect's AI-generated Topic Pages" w:history="1">
        <w:r w:rsidRPr="009A7AB4">
          <w:rPr>
            <w:rFonts w:ascii="Times New Roman" w:eastAsia="Times New Roman" w:hAnsi="Times New Roman" w:cs="Times New Roman"/>
            <w:color w:val="0000FF"/>
            <w:sz w:val="24"/>
            <w:szCs w:val="24"/>
            <w:u w:val="single"/>
          </w:rPr>
          <w:t>segmentation</w:t>
        </w:r>
      </w:hyperlink>
      <w:r w:rsidRPr="009A7AB4">
        <w:rPr>
          <w:rFonts w:ascii="Times New Roman" w:eastAsia="Times New Roman" w:hAnsi="Times New Roman" w:cs="Times New Roman"/>
          <w:sz w:val="24"/>
          <w:szCs w:val="24"/>
        </w:rPr>
        <w:t>, mineral size estimation, and few-shot classification. For all of the provided computer vision problems, we publish baseline solutions we offer for the community to beat.</w:t>
      </w:r>
    </w:p>
    <w:p w:rsidR="009A7AB4" w:rsidRPr="009A7AB4" w:rsidRDefault="009A7AB4" w:rsidP="009A7AB4">
      <w:pPr>
        <w:spacing w:before="100" w:beforeAutospacing="1" w:after="100" w:afterAutospacing="1" w:line="240" w:lineRule="auto"/>
        <w:outlineLvl w:val="1"/>
        <w:rPr>
          <w:rFonts w:ascii="Times New Roman" w:eastAsia="Times New Roman" w:hAnsi="Times New Roman" w:cs="Times New Roman"/>
          <w:b/>
          <w:bCs/>
          <w:sz w:val="36"/>
          <w:szCs w:val="36"/>
        </w:rPr>
      </w:pPr>
      <w:r w:rsidRPr="009A7AB4">
        <w:rPr>
          <w:rFonts w:ascii="Times New Roman" w:eastAsia="Times New Roman" w:hAnsi="Times New Roman" w:cs="Times New Roman"/>
          <w:b/>
          <w:bCs/>
          <w:sz w:val="36"/>
          <w:szCs w:val="36"/>
        </w:rPr>
        <w:t>Introduction</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About 6000 minerals and their varieties are known in nature. Only a couple of hundred of these are rock-forming, and a few hundred more are of interest to industry. The remaining minerals are so rare that they have so far been found only in single grains. Most mineralogists have never seen these rare minerals or have only seen such minerals in photographs.</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 xml:space="preserve">Mineral diagnostics is an essential part of geological work. With it, geological mapping and the search for deposits are possible. However, the exact identification of a mineral is a complex and time-consuming task that requires high skill. Geologists spend from 30 min to several days per item on the sample preparations and various types of analysis. With a huge volume of geological samples, any optimization of this process seems attractive. In geology, visual diagnostics of minerals and rocks with further selective instrumental verification is very common. This approach provides a significant saving in time. However, simple visual diagnostics contain 10%–20% errors even if performed by experienced mineralogists. The involvement of machine intelligence in visual diagnostics can help solve two problems: (1) free up the time of professional mineralogists in solving routine tasks, and (2) help identify obvious errors in visual diagnostics. For these purposes, the most relevant is the diagnosis of minerals in raw samples since it does not require additional labor costs for their preparation. If it is possible to solve such a problem and create an algorithm that allows visual diagnostics of minerals at the level of an ordinary geologist, then this would make it </w:t>
      </w:r>
      <w:r w:rsidRPr="009A7AB4">
        <w:rPr>
          <w:rFonts w:ascii="Times New Roman" w:eastAsia="Times New Roman" w:hAnsi="Times New Roman" w:cs="Times New Roman"/>
          <w:sz w:val="24"/>
          <w:szCs w:val="24"/>
        </w:rPr>
        <w:lastRenderedPageBreak/>
        <w:t>possible in the future to create search robots that could automatically explore hard-to-reach places on Earth, and possibly on other planets. The methods of IR spectroscopy, Raman spectroscopy, and remote chemical analysis of rocks and minerals are actively used to study other planets. The addition of the possibility of visual diagnostics of minerals will help in the selection of objects for analysis and will significantly expand the possibilities of research programs.</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The contributions of this paper are as follows: we provide an open benchmark for zero-shot raw mineral visual recognition; we publish subsets for segmentation, mineral size estimation, and few-shot classification; for all of the provided computer vision problems, we publish baseline solutions.</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The novelty is in the large-scale multi-task dataset accompanied with baseline solutions. To the best of our knowledge, we are the first to apply zero-shot methods for mineral recognition. In the paper we show that for the correct comparison of mineral recognition methods, it is necessary to have unified data for the experiments. Knowledge transfers between mineral datasets poorly because of the domain shift.</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Wherein, the most of the papers use different subsets with different sizes. Some of the reasons for that is in limited computational resources of the researchers. Our dataset allows choosing a subset of different size and complexity. Therefore, for the cost of mineral recognition experiments, researchers can find a subset of our dataset that suits their needs.</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The rest of the paper is organized as follows. Section 2 provides a comprehensive review of existing mineral image datasets and visual mineral recognition methods. Section 3 describes the presented dataset including data collection, data filtering, image pre-processing, and available annotations. Section 4 provides the results of few-shot and zero-shot mineral classifications. Section 5 shows a baseline pipeline for zero-shot mineral size estimation. Section 6 contains the results of zero-shot mineral segmentation.</w:t>
      </w:r>
    </w:p>
    <w:p w:rsidR="009A7AB4" w:rsidRPr="009A7AB4" w:rsidRDefault="009A7AB4" w:rsidP="009A7AB4">
      <w:pPr>
        <w:spacing w:before="100" w:beforeAutospacing="1" w:after="100" w:afterAutospacing="1" w:line="240" w:lineRule="auto"/>
        <w:outlineLvl w:val="1"/>
        <w:rPr>
          <w:rFonts w:ascii="Times New Roman" w:eastAsia="Times New Roman" w:hAnsi="Times New Roman" w:cs="Times New Roman"/>
          <w:b/>
          <w:bCs/>
          <w:sz w:val="36"/>
          <w:szCs w:val="36"/>
        </w:rPr>
      </w:pPr>
      <w:r w:rsidRPr="009A7AB4">
        <w:rPr>
          <w:rFonts w:ascii="Times New Roman" w:eastAsia="Times New Roman" w:hAnsi="Times New Roman" w:cs="Times New Roman"/>
          <w:b/>
          <w:bCs/>
          <w:sz w:val="36"/>
          <w:szCs w:val="36"/>
        </w:rPr>
        <w:t>Section snippets</w:t>
      </w:r>
    </w:p>
    <w:p w:rsidR="009A7AB4" w:rsidRPr="009A7AB4" w:rsidRDefault="009A7AB4" w:rsidP="009A7AB4">
      <w:pPr>
        <w:spacing w:before="100" w:beforeAutospacing="1" w:after="100" w:afterAutospacing="1" w:line="240" w:lineRule="auto"/>
        <w:outlineLvl w:val="1"/>
        <w:rPr>
          <w:rFonts w:ascii="Times New Roman" w:eastAsia="Times New Roman" w:hAnsi="Times New Roman" w:cs="Times New Roman"/>
          <w:b/>
          <w:bCs/>
          <w:sz w:val="36"/>
          <w:szCs w:val="36"/>
        </w:rPr>
      </w:pPr>
      <w:r w:rsidRPr="009A7AB4">
        <w:rPr>
          <w:rFonts w:ascii="Times New Roman" w:eastAsia="Times New Roman" w:hAnsi="Times New Roman" w:cs="Times New Roman"/>
          <w:b/>
          <w:bCs/>
          <w:sz w:val="36"/>
          <w:szCs w:val="36"/>
        </w:rPr>
        <w:t>Literature review</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Deep learning methods prove their efficiency for automatic object recognition. In general domain, neural networks are usually easier to apply that in domain-specific cases (</w:t>
      </w:r>
      <w:proofErr w:type="spellStart"/>
      <w:r w:rsidRPr="009A7AB4">
        <w:rPr>
          <w:rFonts w:ascii="Times New Roman" w:eastAsia="Times New Roman" w:hAnsi="Times New Roman" w:cs="Times New Roman"/>
          <w:sz w:val="24"/>
          <w:szCs w:val="24"/>
        </w:rPr>
        <w:t>Illarionova</w:t>
      </w:r>
      <w:proofErr w:type="spellEnd"/>
      <w:r w:rsidRPr="009A7AB4">
        <w:rPr>
          <w:rFonts w:ascii="Times New Roman" w:eastAsia="Times New Roman" w:hAnsi="Times New Roman" w:cs="Times New Roman"/>
          <w:sz w:val="24"/>
          <w:szCs w:val="24"/>
        </w:rPr>
        <w:t xml:space="preserve"> et al., 2022b). The core limitation for their successful appliance is the shortage of task-specific training data (</w:t>
      </w:r>
      <w:proofErr w:type="spellStart"/>
      <w:r w:rsidRPr="009A7AB4">
        <w:rPr>
          <w:rFonts w:ascii="Times New Roman" w:eastAsia="Times New Roman" w:hAnsi="Times New Roman" w:cs="Times New Roman"/>
          <w:sz w:val="24"/>
          <w:szCs w:val="24"/>
        </w:rPr>
        <w:t>Nesteruk</w:t>
      </w:r>
      <w:proofErr w:type="spellEnd"/>
      <w:r w:rsidRPr="009A7AB4">
        <w:rPr>
          <w:rFonts w:ascii="Times New Roman" w:eastAsia="Times New Roman" w:hAnsi="Times New Roman" w:cs="Times New Roman"/>
          <w:sz w:val="24"/>
          <w:szCs w:val="24"/>
        </w:rPr>
        <w:t xml:space="preserve"> et al., 2022). The availability of domain-specific datasets is very important (</w:t>
      </w:r>
      <w:proofErr w:type="spellStart"/>
      <w:r w:rsidRPr="009A7AB4">
        <w:rPr>
          <w:rFonts w:ascii="Times New Roman" w:eastAsia="Times New Roman" w:hAnsi="Times New Roman" w:cs="Times New Roman"/>
          <w:sz w:val="24"/>
          <w:szCs w:val="24"/>
        </w:rPr>
        <w:t>Illarionova</w:t>
      </w:r>
      <w:proofErr w:type="spellEnd"/>
      <w:r w:rsidRPr="009A7AB4">
        <w:rPr>
          <w:rFonts w:ascii="Times New Roman" w:eastAsia="Times New Roman" w:hAnsi="Times New Roman" w:cs="Times New Roman"/>
          <w:sz w:val="24"/>
          <w:szCs w:val="24"/>
        </w:rPr>
        <w:t xml:space="preserve"> et al., 2023). For many computer vision problems, transfer learning from a related dataset is more</w:t>
      </w:r>
      <w:r w:rsidR="00C56D94">
        <w:rPr>
          <w:rFonts w:ascii="Times New Roman" w:eastAsia="Times New Roman" w:hAnsi="Times New Roman" w:cs="Times New Roman"/>
          <w:sz w:val="24"/>
          <w:szCs w:val="24"/>
        </w:rPr>
        <w:t>…</w:t>
      </w:r>
    </w:p>
    <w:p w:rsidR="009A7AB4" w:rsidRPr="009A7AB4" w:rsidRDefault="009A7AB4" w:rsidP="009A7AB4">
      <w:pPr>
        <w:spacing w:before="100" w:beforeAutospacing="1" w:after="100" w:afterAutospacing="1" w:line="240" w:lineRule="auto"/>
        <w:outlineLvl w:val="1"/>
        <w:rPr>
          <w:rFonts w:ascii="Times New Roman" w:eastAsia="Times New Roman" w:hAnsi="Times New Roman" w:cs="Times New Roman"/>
          <w:b/>
          <w:bCs/>
          <w:sz w:val="36"/>
          <w:szCs w:val="36"/>
        </w:rPr>
      </w:pPr>
      <w:r w:rsidRPr="009A7AB4">
        <w:rPr>
          <w:rFonts w:ascii="Times New Roman" w:eastAsia="Times New Roman" w:hAnsi="Times New Roman" w:cs="Times New Roman"/>
          <w:b/>
          <w:bCs/>
          <w:sz w:val="36"/>
          <w:szCs w:val="36"/>
        </w:rPr>
        <w:t>Dataset collection</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 xml:space="preserve">We used the dataset of the </w:t>
      </w:r>
      <w:proofErr w:type="spellStart"/>
      <w:r w:rsidRPr="009A7AB4">
        <w:rPr>
          <w:rFonts w:ascii="Times New Roman" w:eastAsia="Times New Roman" w:hAnsi="Times New Roman" w:cs="Times New Roman"/>
          <w:sz w:val="24"/>
          <w:szCs w:val="24"/>
        </w:rPr>
        <w:t>Fersman</w:t>
      </w:r>
      <w:proofErr w:type="spellEnd"/>
      <w:r w:rsidRPr="009A7AB4">
        <w:rPr>
          <w:rFonts w:ascii="Times New Roman" w:eastAsia="Times New Roman" w:hAnsi="Times New Roman" w:cs="Times New Roman"/>
          <w:sz w:val="24"/>
          <w:szCs w:val="24"/>
        </w:rPr>
        <w:t xml:space="preserve"> mineralogical museum (</w:t>
      </w:r>
      <w:hyperlink r:id="rId8" w:tgtFrame="_blank" w:history="1">
        <w:r w:rsidRPr="009A7AB4">
          <w:rPr>
            <w:rFonts w:ascii="Times New Roman" w:eastAsia="Times New Roman" w:hAnsi="Times New Roman" w:cs="Times New Roman"/>
            <w:color w:val="0000FF"/>
            <w:sz w:val="24"/>
            <w:szCs w:val="24"/>
            <w:u w:val="single"/>
          </w:rPr>
          <w:t>http://www.fmm.ru</w:t>
        </w:r>
      </w:hyperlink>
      <w:r w:rsidRPr="009A7AB4">
        <w:rPr>
          <w:rFonts w:ascii="Times New Roman" w:eastAsia="Times New Roman" w:hAnsi="Times New Roman" w:cs="Times New Roman"/>
          <w:sz w:val="24"/>
          <w:szCs w:val="24"/>
        </w:rPr>
        <w:t>). The museum funds contain more than 170 thousand samples (about 5000 mineral species). This is one of the largest mineralogical collections in the world. The first electronic database containing sample descriptions was created in 1996. For several years, records from old file cabinets were transferred to it. In 2017, the Museum created a new information system based on the semantic web (</w:t>
      </w:r>
      <w:proofErr w:type="spellStart"/>
      <w:r w:rsidRPr="009A7AB4">
        <w:rPr>
          <w:rFonts w:ascii="Times New Roman" w:eastAsia="Times New Roman" w:hAnsi="Times New Roman" w:cs="Times New Roman"/>
          <w:sz w:val="24"/>
          <w:szCs w:val="24"/>
        </w:rPr>
        <w:t>Plechov</w:t>
      </w:r>
      <w:proofErr w:type="spellEnd"/>
      <w:r w:rsidRPr="009A7AB4">
        <w:rPr>
          <w:rFonts w:ascii="Times New Roman" w:eastAsia="Times New Roman" w:hAnsi="Times New Roman" w:cs="Times New Roman"/>
          <w:sz w:val="24"/>
          <w:szCs w:val="24"/>
        </w:rPr>
        <w:t xml:space="preserve"> et al., 2019). The new</w:t>
      </w:r>
      <w:r w:rsidR="00C56D94">
        <w:rPr>
          <w:rFonts w:ascii="Times New Roman" w:eastAsia="Times New Roman" w:hAnsi="Times New Roman" w:cs="Times New Roman"/>
          <w:sz w:val="24"/>
          <w:szCs w:val="24"/>
        </w:rPr>
        <w:t>…</w:t>
      </w:r>
    </w:p>
    <w:p w:rsidR="009A7AB4" w:rsidRPr="009A7AB4" w:rsidRDefault="009A7AB4" w:rsidP="009A7AB4">
      <w:pPr>
        <w:spacing w:before="100" w:beforeAutospacing="1" w:after="100" w:afterAutospacing="1" w:line="240" w:lineRule="auto"/>
        <w:outlineLvl w:val="1"/>
        <w:rPr>
          <w:rFonts w:ascii="Times New Roman" w:eastAsia="Times New Roman" w:hAnsi="Times New Roman" w:cs="Times New Roman"/>
          <w:b/>
          <w:bCs/>
          <w:sz w:val="36"/>
          <w:szCs w:val="36"/>
        </w:rPr>
      </w:pPr>
      <w:r w:rsidRPr="009A7AB4">
        <w:rPr>
          <w:rFonts w:ascii="Times New Roman" w:eastAsia="Times New Roman" w:hAnsi="Times New Roman" w:cs="Times New Roman"/>
          <w:b/>
          <w:bCs/>
          <w:sz w:val="36"/>
          <w:szCs w:val="36"/>
        </w:rPr>
        <w:lastRenderedPageBreak/>
        <w:t>Few-shot mineral classification</w:t>
      </w:r>
    </w:p>
    <w:p w:rsidR="00AB1900" w:rsidRDefault="009A7AB4" w:rsidP="00AB1900">
      <w:pPr>
        <w:autoSpaceDE w:val="0"/>
        <w:autoSpaceDN w:val="0"/>
        <w:adjustRightInd w:val="0"/>
        <w:spacing w:after="0"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 xml:space="preserve">In Table 3 we report the classification results for 10, 98, and 360 classes datasets. We compare different types of models and various input resolutions. The reported metric is top-N accuracy with </w:t>
      </w:r>
      <w:r w:rsidR="00AB1900">
        <w:rPr>
          <w:rFonts w:ascii="Times New Roman" w:eastAsia="Times New Roman" w:hAnsi="Times New Roman" w:cs="Times New Roman"/>
          <w:sz w:val="24"/>
          <w:szCs w:val="24"/>
        </w:rPr>
        <w:t xml:space="preserve">N </w:t>
      </w:r>
      <w:r w:rsidR="00AB1900">
        <w:rPr>
          <w:rFonts w:ascii="Arial" w:hAnsi="Arial" w:cs="Arial"/>
          <w:sz w:val="26"/>
          <w:szCs w:val="26"/>
        </w:rPr>
        <w:t>ϵ</w:t>
      </w:r>
      <w:r w:rsidR="00AB1900">
        <w:rPr>
          <w:rFonts w:ascii="Arial" w:hAnsi="Arial" w:cs="Arial"/>
          <w:sz w:val="26"/>
          <w:szCs w:val="26"/>
        </w:rPr>
        <w:t xml:space="preserve"> {1,3,5,10}</w:t>
      </w:r>
      <w:r w:rsidRPr="009A7AB4">
        <w:rPr>
          <w:rFonts w:ascii="Times New Roman" w:eastAsia="Times New Roman" w:hAnsi="Times New Roman" w:cs="Times New Roman"/>
          <w:sz w:val="24"/>
          <w:szCs w:val="24"/>
        </w:rPr>
        <w:t>. Conventional classification models sort the possible answers according to their confidence. Top-N metrics for a given sample consider being if the correct answer is within the model’s first predictions, and otherwise.</w:t>
      </w:r>
      <w:r w:rsidR="00AB1900">
        <w:rPr>
          <w:rFonts w:ascii="Times New Roman" w:eastAsia="Times New Roman" w:hAnsi="Times New Roman" w:cs="Times New Roman"/>
          <w:sz w:val="24"/>
          <w:szCs w:val="24"/>
        </w:rPr>
        <w:t xml:space="preserve"> </w:t>
      </w:r>
    </w:p>
    <w:p w:rsidR="009A7AB4" w:rsidRPr="009A7AB4" w:rsidRDefault="009A7AB4" w:rsidP="00AB1900">
      <w:pPr>
        <w:autoSpaceDE w:val="0"/>
        <w:autoSpaceDN w:val="0"/>
        <w:adjustRightInd w:val="0"/>
        <w:spacing w:after="0"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We compare the following classification models: ResNet50 (He et</w:t>
      </w:r>
      <w:r w:rsidR="00AB1900">
        <w:rPr>
          <w:rFonts w:ascii="Times New Roman" w:eastAsia="Times New Roman" w:hAnsi="Times New Roman" w:cs="Times New Roman"/>
          <w:sz w:val="24"/>
          <w:szCs w:val="24"/>
        </w:rPr>
        <w:t>…</w:t>
      </w:r>
    </w:p>
    <w:p w:rsidR="009A7AB4" w:rsidRPr="009A7AB4" w:rsidRDefault="009A7AB4" w:rsidP="009A7AB4">
      <w:pPr>
        <w:spacing w:before="100" w:beforeAutospacing="1" w:after="100" w:afterAutospacing="1" w:line="240" w:lineRule="auto"/>
        <w:outlineLvl w:val="1"/>
        <w:rPr>
          <w:rFonts w:ascii="Times New Roman" w:eastAsia="Times New Roman" w:hAnsi="Times New Roman" w:cs="Times New Roman"/>
          <w:b/>
          <w:bCs/>
          <w:sz w:val="36"/>
          <w:szCs w:val="36"/>
        </w:rPr>
      </w:pPr>
      <w:r w:rsidRPr="009A7AB4">
        <w:rPr>
          <w:rFonts w:ascii="Times New Roman" w:eastAsia="Times New Roman" w:hAnsi="Times New Roman" w:cs="Times New Roman"/>
          <w:b/>
          <w:bCs/>
          <w:sz w:val="36"/>
          <w:szCs w:val="36"/>
        </w:rPr>
        <w:t>Zero-shot mineral size estimation</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Beyond classification, we study zero-shot mineral size estimation. Automatic specimen size estimation is important for museum specimen storage procedures. We can get the approximate length and width of the sample from the photo, which corresponds to the minimum size of the box in which this sample can be stored. Having these data for all samples, we can think over the optimal storage system, as well as purchase or manufacture boxes of the right size in the correct quantity. Now, measuring the</w:t>
      </w:r>
      <w:r w:rsidR="00AB1900">
        <w:rPr>
          <w:rFonts w:ascii="Times New Roman" w:eastAsia="Times New Roman" w:hAnsi="Times New Roman" w:cs="Times New Roman"/>
          <w:sz w:val="24"/>
          <w:szCs w:val="24"/>
        </w:rPr>
        <w:t>…</w:t>
      </w:r>
    </w:p>
    <w:p w:rsidR="009A7AB4" w:rsidRPr="009A7AB4" w:rsidRDefault="009A7AB4" w:rsidP="009A7AB4">
      <w:pPr>
        <w:spacing w:before="100" w:beforeAutospacing="1" w:after="100" w:afterAutospacing="1" w:line="240" w:lineRule="auto"/>
        <w:outlineLvl w:val="1"/>
        <w:rPr>
          <w:rFonts w:ascii="Times New Roman" w:eastAsia="Times New Roman" w:hAnsi="Times New Roman" w:cs="Times New Roman"/>
          <w:b/>
          <w:bCs/>
          <w:sz w:val="36"/>
          <w:szCs w:val="36"/>
        </w:rPr>
      </w:pPr>
      <w:r w:rsidRPr="009A7AB4">
        <w:rPr>
          <w:rFonts w:ascii="Times New Roman" w:eastAsia="Times New Roman" w:hAnsi="Times New Roman" w:cs="Times New Roman"/>
          <w:b/>
          <w:bCs/>
          <w:sz w:val="36"/>
          <w:szCs w:val="36"/>
        </w:rPr>
        <w:t>Zero-shot mineral segmentation</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 xml:space="preserve">In Liu et al. (2021) and Jia et al. (2021) they already proposed to apply </w:t>
      </w:r>
      <w:proofErr w:type="spellStart"/>
      <w:r w:rsidRPr="009A7AB4">
        <w:rPr>
          <w:rFonts w:ascii="Times New Roman" w:eastAsia="Times New Roman" w:hAnsi="Times New Roman" w:cs="Times New Roman"/>
          <w:sz w:val="24"/>
          <w:szCs w:val="24"/>
        </w:rPr>
        <w:t>GradCAM</w:t>
      </w:r>
      <w:proofErr w:type="spellEnd"/>
      <w:r w:rsidRPr="009A7AB4">
        <w:rPr>
          <w:rFonts w:ascii="Times New Roman" w:eastAsia="Times New Roman" w:hAnsi="Times New Roman" w:cs="Times New Roman"/>
          <w:sz w:val="24"/>
          <w:szCs w:val="24"/>
        </w:rPr>
        <w:t xml:space="preserve">-based methods for mineral classification model visualization. However, to the best of our knowledge, we are the first to propose zero-shot mineral segmentation via </w:t>
      </w:r>
      <w:proofErr w:type="spellStart"/>
      <w:r w:rsidRPr="009A7AB4">
        <w:rPr>
          <w:rFonts w:ascii="Times New Roman" w:eastAsia="Times New Roman" w:hAnsi="Times New Roman" w:cs="Times New Roman"/>
          <w:sz w:val="24"/>
          <w:szCs w:val="24"/>
        </w:rPr>
        <w:t>GradCAM</w:t>
      </w:r>
      <w:proofErr w:type="spellEnd"/>
      <w:r w:rsidRPr="009A7AB4">
        <w:rPr>
          <w:rFonts w:ascii="Times New Roman" w:eastAsia="Times New Roman" w:hAnsi="Times New Roman" w:cs="Times New Roman"/>
          <w:sz w:val="24"/>
          <w:szCs w:val="24"/>
        </w:rPr>
        <w:t>.</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proofErr w:type="spellStart"/>
      <w:r w:rsidRPr="009A7AB4">
        <w:rPr>
          <w:rFonts w:ascii="Times New Roman" w:eastAsia="Times New Roman" w:hAnsi="Times New Roman" w:cs="Times New Roman"/>
          <w:sz w:val="24"/>
          <w:szCs w:val="24"/>
        </w:rPr>
        <w:t>GradCAM</w:t>
      </w:r>
      <w:proofErr w:type="spellEnd"/>
      <w:r w:rsidRPr="009A7AB4">
        <w:rPr>
          <w:rFonts w:ascii="Times New Roman" w:eastAsia="Times New Roman" w:hAnsi="Times New Roman" w:cs="Times New Roman"/>
          <w:sz w:val="24"/>
          <w:szCs w:val="24"/>
        </w:rPr>
        <w:t xml:space="preserve"> is a method that attempts to explain the prediction of a classifier model for a particular image. The idea behind it is to identify the pixels that strongly influence the classifier decision. We assume that important pixels are more</w:t>
      </w:r>
      <w:r w:rsidR="00AB1900">
        <w:rPr>
          <w:rFonts w:ascii="Times New Roman" w:eastAsia="Times New Roman" w:hAnsi="Times New Roman" w:cs="Times New Roman"/>
          <w:sz w:val="24"/>
          <w:szCs w:val="24"/>
        </w:rPr>
        <w:t>…</w:t>
      </w:r>
    </w:p>
    <w:p w:rsidR="009A7AB4" w:rsidRPr="009A7AB4" w:rsidRDefault="009A7AB4" w:rsidP="009A7AB4">
      <w:pPr>
        <w:spacing w:before="100" w:beforeAutospacing="1" w:after="100" w:afterAutospacing="1" w:line="240" w:lineRule="auto"/>
        <w:outlineLvl w:val="1"/>
        <w:rPr>
          <w:rFonts w:ascii="Times New Roman" w:eastAsia="Times New Roman" w:hAnsi="Times New Roman" w:cs="Times New Roman"/>
          <w:b/>
          <w:bCs/>
          <w:sz w:val="36"/>
          <w:szCs w:val="36"/>
        </w:rPr>
      </w:pPr>
      <w:r w:rsidRPr="009A7AB4">
        <w:rPr>
          <w:rFonts w:ascii="Times New Roman" w:eastAsia="Times New Roman" w:hAnsi="Times New Roman" w:cs="Times New Roman"/>
          <w:b/>
          <w:bCs/>
          <w:sz w:val="36"/>
          <w:szCs w:val="36"/>
        </w:rPr>
        <w:t>Conclusion</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Mineral recognition in the real-world scenario remains a challenging problem. To help a geologist or a non-professional with its automation, we need a robust and non-invasive method. The most affordable approach is to apply computer vision. A regular camera available in any smartphone is enough to examine a sample without destruction.</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 xml:space="preserve">However, many complications do not allow us to obtain a perfect score. They include high interclass variability in conjunction with the low difference between some </w:t>
      </w:r>
      <w:r w:rsidR="00AB1900">
        <w:rPr>
          <w:rFonts w:ascii="Times New Roman" w:eastAsia="Times New Roman" w:hAnsi="Times New Roman" w:cs="Times New Roman"/>
          <w:sz w:val="24"/>
          <w:szCs w:val="24"/>
        </w:rPr>
        <w:t>…</w:t>
      </w:r>
      <w:bookmarkStart w:id="0" w:name="_GoBack"/>
      <w:bookmarkEnd w:id="0"/>
    </w:p>
    <w:p w:rsidR="009A7AB4" w:rsidRPr="009A7AB4" w:rsidRDefault="009A7AB4" w:rsidP="009A7AB4">
      <w:pPr>
        <w:spacing w:before="100" w:beforeAutospacing="1" w:after="100" w:afterAutospacing="1" w:line="240" w:lineRule="auto"/>
        <w:outlineLvl w:val="1"/>
        <w:rPr>
          <w:rFonts w:ascii="Times New Roman" w:eastAsia="Times New Roman" w:hAnsi="Times New Roman" w:cs="Times New Roman"/>
          <w:b/>
          <w:bCs/>
          <w:sz w:val="36"/>
          <w:szCs w:val="36"/>
        </w:rPr>
      </w:pPr>
      <w:proofErr w:type="spellStart"/>
      <w:r w:rsidRPr="009A7AB4">
        <w:rPr>
          <w:rFonts w:ascii="Times New Roman" w:eastAsia="Times New Roman" w:hAnsi="Times New Roman" w:cs="Times New Roman"/>
          <w:b/>
          <w:bCs/>
          <w:sz w:val="36"/>
          <w:szCs w:val="36"/>
        </w:rPr>
        <w:t>CRediT</w:t>
      </w:r>
      <w:proofErr w:type="spellEnd"/>
      <w:r w:rsidRPr="009A7AB4">
        <w:rPr>
          <w:rFonts w:ascii="Times New Roman" w:eastAsia="Times New Roman" w:hAnsi="Times New Roman" w:cs="Times New Roman"/>
          <w:b/>
          <w:bCs/>
          <w:sz w:val="36"/>
          <w:szCs w:val="36"/>
        </w:rPr>
        <w:t xml:space="preserve"> authorship contribution statement</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b/>
          <w:bCs/>
          <w:sz w:val="24"/>
          <w:szCs w:val="24"/>
        </w:rPr>
        <w:t xml:space="preserve">Sergey </w:t>
      </w:r>
      <w:proofErr w:type="spellStart"/>
      <w:r w:rsidRPr="009A7AB4">
        <w:rPr>
          <w:rFonts w:ascii="Times New Roman" w:eastAsia="Times New Roman" w:hAnsi="Times New Roman" w:cs="Times New Roman"/>
          <w:b/>
          <w:bCs/>
          <w:sz w:val="24"/>
          <w:szCs w:val="24"/>
        </w:rPr>
        <w:t>Nesteruk</w:t>
      </w:r>
      <w:proofErr w:type="spellEnd"/>
      <w:r w:rsidRPr="009A7AB4">
        <w:rPr>
          <w:rFonts w:ascii="Times New Roman" w:eastAsia="Times New Roman" w:hAnsi="Times New Roman" w:cs="Times New Roman"/>
          <w:b/>
          <w:bCs/>
          <w:sz w:val="24"/>
          <w:szCs w:val="24"/>
        </w:rPr>
        <w:t>:</w:t>
      </w:r>
      <w:r w:rsidRPr="009A7AB4">
        <w:rPr>
          <w:rFonts w:ascii="Times New Roman" w:eastAsia="Times New Roman" w:hAnsi="Times New Roman" w:cs="Times New Roman"/>
          <w:sz w:val="24"/>
          <w:szCs w:val="24"/>
        </w:rPr>
        <w:t xml:space="preserve"> Project administration, Conceptualization, Methodology, Validation, Data curation, Writing – original draft, Visualization. </w:t>
      </w:r>
      <w:r w:rsidRPr="009A7AB4">
        <w:rPr>
          <w:rFonts w:ascii="Times New Roman" w:eastAsia="Times New Roman" w:hAnsi="Times New Roman" w:cs="Times New Roman"/>
          <w:b/>
          <w:bCs/>
          <w:sz w:val="24"/>
          <w:szCs w:val="24"/>
        </w:rPr>
        <w:t xml:space="preserve">Julia </w:t>
      </w:r>
      <w:proofErr w:type="spellStart"/>
      <w:r w:rsidRPr="009A7AB4">
        <w:rPr>
          <w:rFonts w:ascii="Times New Roman" w:eastAsia="Times New Roman" w:hAnsi="Times New Roman" w:cs="Times New Roman"/>
          <w:b/>
          <w:bCs/>
          <w:sz w:val="24"/>
          <w:szCs w:val="24"/>
        </w:rPr>
        <w:t>Agafonova</w:t>
      </w:r>
      <w:proofErr w:type="spellEnd"/>
      <w:r w:rsidRPr="009A7AB4">
        <w:rPr>
          <w:rFonts w:ascii="Times New Roman" w:eastAsia="Times New Roman" w:hAnsi="Times New Roman" w:cs="Times New Roman"/>
          <w:b/>
          <w:bCs/>
          <w:sz w:val="24"/>
          <w:szCs w:val="24"/>
        </w:rPr>
        <w:t>:</w:t>
      </w:r>
      <w:r w:rsidRPr="009A7AB4">
        <w:rPr>
          <w:rFonts w:ascii="Times New Roman" w:eastAsia="Times New Roman" w:hAnsi="Times New Roman" w:cs="Times New Roman"/>
          <w:sz w:val="24"/>
          <w:szCs w:val="24"/>
        </w:rPr>
        <w:t xml:space="preserve"> Software, Formal analysis, Investigation, Visualization. </w:t>
      </w:r>
      <w:r w:rsidRPr="009A7AB4">
        <w:rPr>
          <w:rFonts w:ascii="Times New Roman" w:eastAsia="Times New Roman" w:hAnsi="Times New Roman" w:cs="Times New Roman"/>
          <w:b/>
          <w:bCs/>
          <w:sz w:val="24"/>
          <w:szCs w:val="24"/>
        </w:rPr>
        <w:t>Igor Pavlov:</w:t>
      </w:r>
      <w:r w:rsidRPr="009A7AB4">
        <w:rPr>
          <w:rFonts w:ascii="Times New Roman" w:eastAsia="Times New Roman" w:hAnsi="Times New Roman" w:cs="Times New Roman"/>
          <w:sz w:val="24"/>
          <w:szCs w:val="24"/>
        </w:rPr>
        <w:t xml:space="preserve"> Data curation, Software, Formal analysis, Investigation. </w:t>
      </w:r>
      <w:r w:rsidRPr="009A7AB4">
        <w:rPr>
          <w:rFonts w:ascii="Times New Roman" w:eastAsia="Times New Roman" w:hAnsi="Times New Roman" w:cs="Times New Roman"/>
          <w:b/>
          <w:bCs/>
          <w:sz w:val="24"/>
          <w:szCs w:val="24"/>
        </w:rPr>
        <w:t>Maxim Gerasimov:</w:t>
      </w:r>
      <w:r w:rsidRPr="009A7AB4">
        <w:rPr>
          <w:rFonts w:ascii="Times New Roman" w:eastAsia="Times New Roman" w:hAnsi="Times New Roman" w:cs="Times New Roman"/>
          <w:sz w:val="24"/>
          <w:szCs w:val="24"/>
        </w:rPr>
        <w:t xml:space="preserve"> Software, Formal analysis, Investigation, Visualization. </w:t>
      </w:r>
      <w:r w:rsidRPr="009A7AB4">
        <w:rPr>
          <w:rFonts w:ascii="Times New Roman" w:eastAsia="Times New Roman" w:hAnsi="Times New Roman" w:cs="Times New Roman"/>
          <w:b/>
          <w:bCs/>
          <w:sz w:val="24"/>
          <w:szCs w:val="24"/>
        </w:rPr>
        <w:t xml:space="preserve">Nikolay </w:t>
      </w:r>
      <w:proofErr w:type="spellStart"/>
      <w:r w:rsidRPr="009A7AB4">
        <w:rPr>
          <w:rFonts w:ascii="Times New Roman" w:eastAsia="Times New Roman" w:hAnsi="Times New Roman" w:cs="Times New Roman"/>
          <w:b/>
          <w:bCs/>
          <w:sz w:val="24"/>
          <w:szCs w:val="24"/>
        </w:rPr>
        <w:t>Latyshev</w:t>
      </w:r>
      <w:proofErr w:type="spellEnd"/>
      <w:r w:rsidRPr="009A7AB4">
        <w:rPr>
          <w:rFonts w:ascii="Times New Roman" w:eastAsia="Times New Roman" w:hAnsi="Times New Roman" w:cs="Times New Roman"/>
          <w:b/>
          <w:bCs/>
          <w:sz w:val="24"/>
          <w:szCs w:val="24"/>
        </w:rPr>
        <w:t>:</w:t>
      </w:r>
      <w:r w:rsidRPr="009A7AB4">
        <w:rPr>
          <w:rFonts w:ascii="Times New Roman" w:eastAsia="Times New Roman" w:hAnsi="Times New Roman" w:cs="Times New Roman"/>
          <w:sz w:val="24"/>
          <w:szCs w:val="24"/>
        </w:rPr>
        <w:t xml:space="preserve"> Resources, Validation. </w:t>
      </w:r>
      <w:r w:rsidRPr="009A7AB4">
        <w:rPr>
          <w:rFonts w:ascii="Times New Roman" w:eastAsia="Times New Roman" w:hAnsi="Times New Roman" w:cs="Times New Roman"/>
          <w:b/>
          <w:bCs/>
          <w:sz w:val="24"/>
          <w:szCs w:val="24"/>
        </w:rPr>
        <w:t>Denis Dimitrov:</w:t>
      </w:r>
      <w:r w:rsidRPr="009A7AB4">
        <w:rPr>
          <w:rFonts w:ascii="Times New Roman" w:eastAsia="Times New Roman" w:hAnsi="Times New Roman" w:cs="Times New Roman"/>
          <w:sz w:val="24"/>
          <w:szCs w:val="24"/>
        </w:rPr>
        <w:t xml:space="preserve"> Supervision, Validation. </w:t>
      </w:r>
      <w:r w:rsidRPr="009A7AB4">
        <w:rPr>
          <w:rFonts w:ascii="Times New Roman" w:eastAsia="Times New Roman" w:hAnsi="Times New Roman" w:cs="Times New Roman"/>
          <w:b/>
          <w:bCs/>
          <w:sz w:val="24"/>
          <w:szCs w:val="24"/>
        </w:rPr>
        <w:t xml:space="preserve">Andrey </w:t>
      </w:r>
      <w:proofErr w:type="spellStart"/>
      <w:r w:rsidRPr="009A7AB4">
        <w:rPr>
          <w:rFonts w:ascii="Times New Roman" w:eastAsia="Times New Roman" w:hAnsi="Times New Roman" w:cs="Times New Roman"/>
          <w:b/>
          <w:bCs/>
          <w:sz w:val="24"/>
          <w:szCs w:val="24"/>
        </w:rPr>
        <w:t>Kuznetsov</w:t>
      </w:r>
      <w:proofErr w:type="spellEnd"/>
      <w:r w:rsidRPr="009A7AB4">
        <w:rPr>
          <w:rFonts w:ascii="Times New Roman" w:eastAsia="Times New Roman" w:hAnsi="Times New Roman" w:cs="Times New Roman"/>
          <w:b/>
          <w:bCs/>
          <w:sz w:val="24"/>
          <w:szCs w:val="24"/>
        </w:rPr>
        <w:t>:</w:t>
      </w:r>
      <w:r w:rsidRPr="009A7AB4">
        <w:rPr>
          <w:rFonts w:ascii="Times New Roman" w:eastAsia="Times New Roman" w:hAnsi="Times New Roman" w:cs="Times New Roman"/>
          <w:sz w:val="24"/>
          <w:szCs w:val="24"/>
        </w:rPr>
        <w:t xml:space="preserve"> Supervision, Validation. </w:t>
      </w:r>
      <w:r w:rsidRPr="009A7AB4">
        <w:rPr>
          <w:rFonts w:ascii="Times New Roman" w:eastAsia="Times New Roman" w:hAnsi="Times New Roman" w:cs="Times New Roman"/>
          <w:b/>
          <w:bCs/>
          <w:sz w:val="24"/>
          <w:szCs w:val="24"/>
        </w:rPr>
        <w:t xml:space="preserve">Artur </w:t>
      </w:r>
      <w:proofErr w:type="spellStart"/>
      <w:r w:rsidRPr="009A7AB4">
        <w:rPr>
          <w:rFonts w:ascii="Times New Roman" w:eastAsia="Times New Roman" w:hAnsi="Times New Roman" w:cs="Times New Roman"/>
          <w:b/>
          <w:bCs/>
          <w:sz w:val="24"/>
          <w:szCs w:val="24"/>
        </w:rPr>
        <w:t>Kadurin</w:t>
      </w:r>
      <w:proofErr w:type="spellEnd"/>
      <w:r w:rsidRPr="009A7AB4">
        <w:rPr>
          <w:rFonts w:ascii="Times New Roman" w:eastAsia="Times New Roman" w:hAnsi="Times New Roman" w:cs="Times New Roman"/>
          <w:b/>
          <w:bCs/>
          <w:sz w:val="24"/>
          <w:szCs w:val="24"/>
        </w:rPr>
        <w:t>:</w:t>
      </w:r>
    </w:p>
    <w:p w:rsidR="009A7AB4" w:rsidRPr="009A7AB4" w:rsidRDefault="009A7AB4" w:rsidP="009A7AB4">
      <w:pPr>
        <w:spacing w:before="100" w:beforeAutospacing="1" w:after="100" w:afterAutospacing="1" w:line="240" w:lineRule="auto"/>
        <w:outlineLvl w:val="1"/>
        <w:rPr>
          <w:rFonts w:ascii="Times New Roman" w:eastAsia="Times New Roman" w:hAnsi="Times New Roman" w:cs="Times New Roman"/>
          <w:b/>
          <w:bCs/>
          <w:sz w:val="36"/>
          <w:szCs w:val="36"/>
        </w:rPr>
      </w:pPr>
      <w:r w:rsidRPr="009A7AB4">
        <w:rPr>
          <w:rFonts w:ascii="Times New Roman" w:eastAsia="Times New Roman" w:hAnsi="Times New Roman" w:cs="Times New Roman"/>
          <w:b/>
          <w:bCs/>
          <w:sz w:val="36"/>
          <w:szCs w:val="36"/>
        </w:rPr>
        <w:lastRenderedPageBreak/>
        <w:t>Declaration of competing interest</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The authors declare that they have no known competing financial interests or personal relationships that could have appeared to influence the work reported in this paper.</w:t>
      </w:r>
    </w:p>
    <w:p w:rsidR="009A7AB4" w:rsidRPr="009A7AB4" w:rsidRDefault="009A7AB4" w:rsidP="009A7AB4">
      <w:pPr>
        <w:spacing w:before="100" w:beforeAutospacing="1" w:after="100" w:afterAutospacing="1" w:line="240" w:lineRule="auto"/>
        <w:outlineLvl w:val="1"/>
        <w:rPr>
          <w:rFonts w:ascii="Times New Roman" w:eastAsia="Times New Roman" w:hAnsi="Times New Roman" w:cs="Times New Roman"/>
          <w:b/>
          <w:bCs/>
          <w:sz w:val="36"/>
          <w:szCs w:val="36"/>
        </w:rPr>
      </w:pPr>
      <w:r w:rsidRPr="009A7AB4">
        <w:rPr>
          <w:rFonts w:ascii="Times New Roman" w:eastAsia="Times New Roman" w:hAnsi="Times New Roman" w:cs="Times New Roman"/>
          <w:b/>
          <w:bCs/>
          <w:sz w:val="36"/>
          <w:szCs w:val="36"/>
        </w:rPr>
        <w:t>Code availability section</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Name of the code: Zero-Shot Raw Mineral Visual Recognition and Description.</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Contact: SVNesteruk@sberbank.ru</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Program language: Python3</w:t>
      </w:r>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 xml:space="preserve">The source codes are available for download at the link: </w:t>
      </w:r>
      <w:hyperlink r:id="rId9" w:tgtFrame="_blank" w:history="1">
        <w:r w:rsidRPr="009A7AB4">
          <w:rPr>
            <w:rFonts w:ascii="Times New Roman" w:eastAsia="Times New Roman" w:hAnsi="Times New Roman" w:cs="Times New Roman"/>
            <w:color w:val="0000FF"/>
            <w:sz w:val="24"/>
            <w:szCs w:val="24"/>
            <w:u w:val="single"/>
          </w:rPr>
          <w:t>https://github.com/ai-forever/mineral-recognition</w:t>
        </w:r>
      </w:hyperlink>
    </w:p>
    <w:p w:rsidR="009A7AB4" w:rsidRPr="009A7AB4" w:rsidRDefault="009A7AB4" w:rsidP="009A7AB4">
      <w:pPr>
        <w:spacing w:before="100" w:beforeAutospacing="1" w:after="100" w:afterAutospacing="1" w:line="240" w:lineRule="auto"/>
        <w:rPr>
          <w:rFonts w:ascii="Times New Roman" w:eastAsia="Times New Roman" w:hAnsi="Times New Roman" w:cs="Times New Roman"/>
          <w:sz w:val="24"/>
          <w:szCs w:val="24"/>
        </w:rPr>
      </w:pPr>
      <w:r w:rsidRPr="009A7AB4">
        <w:rPr>
          <w:rFonts w:ascii="Times New Roman" w:eastAsia="Times New Roman" w:hAnsi="Times New Roman" w:cs="Times New Roman"/>
          <w:sz w:val="24"/>
          <w:szCs w:val="24"/>
        </w:rPr>
        <w:t xml:space="preserve">The dataset is available at the link: </w:t>
      </w:r>
      <w:hyperlink r:id="rId10" w:tgtFrame="_blank" w:history="1">
        <w:r w:rsidRPr="009A7AB4">
          <w:rPr>
            <w:rFonts w:ascii="Times New Roman" w:eastAsia="Times New Roman" w:hAnsi="Times New Roman" w:cs="Times New Roman"/>
            <w:color w:val="0000FF"/>
            <w:sz w:val="24"/>
            <w:szCs w:val="24"/>
            <w:u w:val="single"/>
          </w:rPr>
          <w:t>https://disk.yandex.ru/d/KapicF_MEysifg</w:t>
        </w:r>
      </w:hyperlink>
    </w:p>
    <w:p w:rsidR="00AE42AF" w:rsidRDefault="00AE42AF"/>
    <w:sectPr w:rsidR="00AE42AF">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DF81E64"/>
    <w:multiLevelType w:val="multilevel"/>
    <w:tmpl w:val="47BA3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7AB4"/>
    <w:rsid w:val="009A7AB4"/>
    <w:rsid w:val="00AB1900"/>
    <w:rsid w:val="00AE42AF"/>
    <w:rsid w:val="00C56D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4B20E"/>
  <w15:chartTrackingRefBased/>
  <w15:docId w15:val="{5AF6D52A-2CA0-4F9E-BD65-E0BEEE0321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70688720">
      <w:bodyDiv w:val="1"/>
      <w:marLeft w:val="0"/>
      <w:marRight w:val="0"/>
      <w:marTop w:val="0"/>
      <w:marBottom w:val="0"/>
      <w:divBdr>
        <w:top w:val="none" w:sz="0" w:space="0" w:color="auto"/>
        <w:left w:val="none" w:sz="0" w:space="0" w:color="auto"/>
        <w:bottom w:val="none" w:sz="0" w:space="0" w:color="auto"/>
        <w:right w:val="none" w:sz="0" w:space="0" w:color="auto"/>
      </w:divBdr>
      <w:divsChild>
        <w:div w:id="2011637630">
          <w:marLeft w:val="0"/>
          <w:marRight w:val="0"/>
          <w:marTop w:val="0"/>
          <w:marBottom w:val="0"/>
          <w:divBdr>
            <w:top w:val="none" w:sz="0" w:space="0" w:color="auto"/>
            <w:left w:val="none" w:sz="0" w:space="0" w:color="auto"/>
            <w:bottom w:val="none" w:sz="0" w:space="0" w:color="auto"/>
            <w:right w:val="none" w:sz="0" w:space="0" w:color="auto"/>
          </w:divBdr>
          <w:divsChild>
            <w:div w:id="323051613">
              <w:marLeft w:val="0"/>
              <w:marRight w:val="0"/>
              <w:marTop w:val="0"/>
              <w:marBottom w:val="0"/>
              <w:divBdr>
                <w:top w:val="none" w:sz="0" w:space="0" w:color="auto"/>
                <w:left w:val="none" w:sz="0" w:space="0" w:color="auto"/>
                <w:bottom w:val="none" w:sz="0" w:space="0" w:color="auto"/>
                <w:right w:val="none" w:sz="0" w:space="0" w:color="auto"/>
              </w:divBdr>
              <w:divsChild>
                <w:div w:id="1988317083">
                  <w:marLeft w:val="0"/>
                  <w:marRight w:val="0"/>
                  <w:marTop w:val="0"/>
                  <w:marBottom w:val="0"/>
                  <w:divBdr>
                    <w:top w:val="none" w:sz="0" w:space="0" w:color="auto"/>
                    <w:left w:val="none" w:sz="0" w:space="0" w:color="auto"/>
                    <w:bottom w:val="none" w:sz="0" w:space="0" w:color="auto"/>
                    <w:right w:val="none" w:sz="0" w:space="0" w:color="auto"/>
                  </w:divBdr>
                  <w:divsChild>
                    <w:div w:id="401757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033360">
          <w:marLeft w:val="0"/>
          <w:marRight w:val="0"/>
          <w:marTop w:val="0"/>
          <w:marBottom w:val="0"/>
          <w:divBdr>
            <w:top w:val="none" w:sz="0" w:space="0" w:color="auto"/>
            <w:left w:val="none" w:sz="0" w:space="0" w:color="auto"/>
            <w:bottom w:val="none" w:sz="0" w:space="0" w:color="auto"/>
            <w:right w:val="none" w:sz="0" w:space="0" w:color="auto"/>
          </w:divBdr>
          <w:divsChild>
            <w:div w:id="307519478">
              <w:marLeft w:val="0"/>
              <w:marRight w:val="0"/>
              <w:marTop w:val="0"/>
              <w:marBottom w:val="0"/>
              <w:divBdr>
                <w:top w:val="none" w:sz="0" w:space="0" w:color="auto"/>
                <w:left w:val="none" w:sz="0" w:space="0" w:color="auto"/>
                <w:bottom w:val="none" w:sz="0" w:space="0" w:color="auto"/>
                <w:right w:val="none" w:sz="0" w:space="0" w:color="auto"/>
              </w:divBdr>
              <w:divsChild>
                <w:div w:id="875242118">
                  <w:marLeft w:val="0"/>
                  <w:marRight w:val="0"/>
                  <w:marTop w:val="0"/>
                  <w:marBottom w:val="0"/>
                  <w:divBdr>
                    <w:top w:val="none" w:sz="0" w:space="0" w:color="auto"/>
                    <w:left w:val="none" w:sz="0" w:space="0" w:color="auto"/>
                    <w:bottom w:val="none" w:sz="0" w:space="0" w:color="auto"/>
                    <w:right w:val="none" w:sz="0" w:space="0" w:color="auto"/>
                  </w:divBdr>
                  <w:divsChild>
                    <w:div w:id="40457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8222743">
          <w:marLeft w:val="0"/>
          <w:marRight w:val="0"/>
          <w:marTop w:val="0"/>
          <w:marBottom w:val="0"/>
          <w:divBdr>
            <w:top w:val="none" w:sz="0" w:space="0" w:color="auto"/>
            <w:left w:val="none" w:sz="0" w:space="0" w:color="auto"/>
            <w:bottom w:val="none" w:sz="0" w:space="0" w:color="auto"/>
            <w:right w:val="none" w:sz="0" w:space="0" w:color="auto"/>
          </w:divBdr>
          <w:divsChild>
            <w:div w:id="1942181608">
              <w:marLeft w:val="0"/>
              <w:marRight w:val="0"/>
              <w:marTop w:val="0"/>
              <w:marBottom w:val="0"/>
              <w:divBdr>
                <w:top w:val="none" w:sz="0" w:space="0" w:color="auto"/>
                <w:left w:val="none" w:sz="0" w:space="0" w:color="auto"/>
                <w:bottom w:val="none" w:sz="0" w:space="0" w:color="auto"/>
                <w:right w:val="none" w:sz="0" w:space="0" w:color="auto"/>
              </w:divBdr>
            </w:div>
          </w:divsChild>
        </w:div>
        <w:div w:id="2060199905">
          <w:marLeft w:val="0"/>
          <w:marRight w:val="0"/>
          <w:marTop w:val="0"/>
          <w:marBottom w:val="0"/>
          <w:divBdr>
            <w:top w:val="none" w:sz="0" w:space="0" w:color="auto"/>
            <w:left w:val="none" w:sz="0" w:space="0" w:color="auto"/>
            <w:bottom w:val="none" w:sz="0" w:space="0" w:color="auto"/>
            <w:right w:val="none" w:sz="0" w:space="0" w:color="auto"/>
          </w:divBdr>
          <w:divsChild>
            <w:div w:id="1952130307">
              <w:marLeft w:val="0"/>
              <w:marRight w:val="0"/>
              <w:marTop w:val="0"/>
              <w:marBottom w:val="0"/>
              <w:divBdr>
                <w:top w:val="none" w:sz="0" w:space="0" w:color="auto"/>
                <w:left w:val="none" w:sz="0" w:space="0" w:color="auto"/>
                <w:bottom w:val="none" w:sz="0" w:space="0" w:color="auto"/>
                <w:right w:val="none" w:sz="0" w:space="0" w:color="auto"/>
              </w:divBdr>
            </w:div>
          </w:divsChild>
        </w:div>
        <w:div w:id="1870684269">
          <w:marLeft w:val="0"/>
          <w:marRight w:val="0"/>
          <w:marTop w:val="0"/>
          <w:marBottom w:val="0"/>
          <w:divBdr>
            <w:top w:val="none" w:sz="0" w:space="0" w:color="auto"/>
            <w:left w:val="none" w:sz="0" w:space="0" w:color="auto"/>
            <w:bottom w:val="none" w:sz="0" w:space="0" w:color="auto"/>
            <w:right w:val="none" w:sz="0" w:space="0" w:color="auto"/>
          </w:divBdr>
          <w:divsChild>
            <w:div w:id="4869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mm.ru" TargetMode="External"/><Relationship Id="rId3" Type="http://schemas.openxmlformats.org/officeDocument/2006/relationships/settings" Target="settings.xml"/><Relationship Id="rId7" Type="http://schemas.openxmlformats.org/officeDocument/2006/relationships/hyperlink" Target="https://www.sciencedirect.com/topics/earth-and-planetary-sciences/segmentation"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encedirect.com/topics/computer-science/deep-learning" TargetMode="External"/><Relationship Id="rId11" Type="http://schemas.openxmlformats.org/officeDocument/2006/relationships/fontTable" Target="fontTable.xml"/><Relationship Id="rId5" Type="http://schemas.openxmlformats.org/officeDocument/2006/relationships/hyperlink" Target="https://doi.org/10.1016/j.cageo.2023.105414" TargetMode="External"/><Relationship Id="rId10" Type="http://schemas.openxmlformats.org/officeDocument/2006/relationships/hyperlink" Target="https://disk.yandex.ru/d/KapicF_MEysifg" TargetMode="External"/><Relationship Id="rId4" Type="http://schemas.openxmlformats.org/officeDocument/2006/relationships/webSettings" Target="webSettings.xml"/><Relationship Id="rId9" Type="http://schemas.openxmlformats.org/officeDocument/2006/relationships/hyperlink" Target="https://github.com/ai-forever/mineral-recogni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4</Pages>
  <Words>1498</Words>
  <Characters>8543</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2023-09-11T08:23:00Z</dcterms:created>
  <dcterms:modified xsi:type="dcterms:W3CDTF">2023-09-11T08:57:00Z</dcterms:modified>
</cp:coreProperties>
</file>