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E5E85" w:rsidRPr="00EE5E85" w:rsidRDefault="00EE5E85" w:rsidP="00EE5E8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E5E85">
        <w:rPr>
          <w:rFonts w:ascii="Times New Roman" w:eastAsia="Times New Roman" w:hAnsi="Times New Roman" w:cs="Times New Roman"/>
          <w:b/>
          <w:bCs/>
          <w:kern w:val="36"/>
          <w:sz w:val="48"/>
          <w:szCs w:val="48"/>
        </w:rPr>
        <w:t>Early crustal building processes on the moon: Models for the petrogenesis of the magnesian suite</w:t>
      </w:r>
    </w:p>
    <w:p w:rsidR="00EE5E85" w:rsidRPr="00EE5E85" w:rsidRDefault="00EE5E85" w:rsidP="00EE5E85">
      <w:pPr>
        <w:spacing w:after="0"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Author links open overlay panel</w:t>
      </w:r>
    </w:p>
    <w:p w:rsidR="00EE5E85" w:rsidRPr="00EE5E85" w:rsidRDefault="00EE5E85" w:rsidP="00EE5E85">
      <w:pPr>
        <w:spacing w:after="0"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 </w:t>
      </w:r>
    </w:p>
    <w:p w:rsidR="00EE5E85" w:rsidRPr="00EE5E85" w:rsidRDefault="00EE5E85" w:rsidP="00EE5E8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EE5E85">
          <w:rPr>
            <w:rFonts w:ascii="Times New Roman" w:eastAsia="Times New Roman" w:hAnsi="Times New Roman" w:cs="Times New Roman"/>
            <w:color w:val="0000FF"/>
            <w:sz w:val="24"/>
            <w:szCs w:val="24"/>
            <w:u w:val="single"/>
          </w:rPr>
          <w:t>https://doi.org/10.1016/j.gca.2005.02.025</w:t>
        </w:r>
      </w:hyperlink>
      <w:bookmarkStart w:id="0" w:name="_GoBack"/>
      <w:bookmarkEnd w:id="0"/>
      <w:r w:rsidRPr="00EE5E85">
        <w:rPr>
          <w:rFonts w:ascii="Times New Roman" w:eastAsia="Times New Roman" w:hAnsi="Times New Roman" w:cs="Times New Roman"/>
          <w:sz w:val="24"/>
          <w:szCs w:val="24"/>
        </w:rPr>
        <w:t xml:space="preserve"> </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Abstract</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The </w:t>
      </w:r>
      <w:hyperlink r:id="rId5" w:tooltip="Learn more about plutonic rocks from ScienceDirect's AI-generated Topic Pages" w:history="1">
        <w:r w:rsidRPr="00EE5E85">
          <w:rPr>
            <w:rFonts w:ascii="Times New Roman" w:eastAsia="Times New Roman" w:hAnsi="Times New Roman" w:cs="Times New Roman"/>
            <w:color w:val="0000FF"/>
            <w:sz w:val="24"/>
            <w:szCs w:val="24"/>
            <w:u w:val="single"/>
          </w:rPr>
          <w:t>plutonic rocks</w:t>
        </w:r>
      </w:hyperlink>
      <w:r w:rsidRPr="00EE5E85">
        <w:rPr>
          <w:rFonts w:ascii="Times New Roman" w:eastAsia="Times New Roman" w:hAnsi="Times New Roman" w:cs="Times New Roman"/>
          <w:sz w:val="24"/>
          <w:szCs w:val="24"/>
        </w:rPr>
        <w:t xml:space="preserve"> of the magnesian suite (Mg-suite) represent the period of lunar basaltic </w:t>
      </w:r>
      <w:hyperlink r:id="rId6" w:tooltip="Learn more about magmatism from ScienceDirect's AI-generated Topic Pages" w:history="1">
        <w:r w:rsidRPr="00EE5E85">
          <w:rPr>
            <w:rFonts w:ascii="Times New Roman" w:eastAsia="Times New Roman" w:hAnsi="Times New Roman" w:cs="Times New Roman"/>
            <w:color w:val="0000FF"/>
            <w:sz w:val="24"/>
            <w:szCs w:val="24"/>
            <w:u w:val="single"/>
          </w:rPr>
          <w:t>magmatism</w:t>
        </w:r>
      </w:hyperlink>
      <w:r w:rsidRPr="00EE5E85">
        <w:rPr>
          <w:rFonts w:ascii="Times New Roman" w:eastAsia="Times New Roman" w:hAnsi="Times New Roman" w:cs="Times New Roman"/>
          <w:sz w:val="24"/>
          <w:szCs w:val="24"/>
        </w:rPr>
        <w:t xml:space="preserve"> and crustal growth (</w:t>
      </w:r>
      <w:r w:rsidRPr="00EE5E85">
        <w:rPr>
          <w:rFonts w:ascii="Cambria Math" w:eastAsia="Times New Roman" w:hAnsi="Cambria Math" w:cs="Cambria Math"/>
          <w:sz w:val="24"/>
          <w:szCs w:val="24"/>
        </w:rPr>
        <w:t>∼</w:t>
      </w:r>
      <w:r w:rsidRPr="00EE5E85">
        <w:rPr>
          <w:rFonts w:ascii="Times New Roman" w:eastAsia="Times New Roman" w:hAnsi="Times New Roman" w:cs="Times New Roman"/>
          <w:sz w:val="24"/>
          <w:szCs w:val="24"/>
        </w:rPr>
        <w:t xml:space="preserve">4.46 to 4.1 Ga) that immediately followed the initial differentiation of the Moon by </w:t>
      </w:r>
      <w:hyperlink r:id="rId7" w:tooltip="Learn more about magma from ScienceDirect's AI-generated Topic Pages" w:history="1">
        <w:r w:rsidRPr="00EE5E85">
          <w:rPr>
            <w:rFonts w:ascii="Times New Roman" w:eastAsia="Times New Roman" w:hAnsi="Times New Roman" w:cs="Times New Roman"/>
            <w:color w:val="0000FF"/>
            <w:sz w:val="24"/>
            <w:szCs w:val="24"/>
            <w:u w:val="single"/>
          </w:rPr>
          <w:t>magma</w:t>
        </w:r>
      </w:hyperlink>
      <w:r w:rsidRPr="00EE5E85">
        <w:rPr>
          <w:rFonts w:ascii="Times New Roman" w:eastAsia="Times New Roman" w:hAnsi="Times New Roman" w:cs="Times New Roman"/>
          <w:sz w:val="24"/>
          <w:szCs w:val="24"/>
        </w:rPr>
        <w:t xml:space="preserve"> ocean (LMO) formation and crystallization. The volume and distribution of the Mg-suite and its petrogenetic relationship to latter stages of lunar magmatism (mare basalts) remains obscure. These plutonic rocks exhibit a range of compositions and include </w:t>
      </w:r>
      <w:proofErr w:type="spellStart"/>
      <w:r w:rsidRPr="00EE5E85">
        <w:rPr>
          <w:rFonts w:ascii="Times New Roman" w:eastAsia="Times New Roman" w:hAnsi="Times New Roman" w:cs="Times New Roman"/>
          <w:sz w:val="24"/>
          <w:szCs w:val="24"/>
        </w:rPr>
        <w:t>ultramafics</w:t>
      </w:r>
      <w:proofErr w:type="spellEnd"/>
      <w:r w:rsidRPr="00EE5E85">
        <w:rPr>
          <w:rFonts w:ascii="Times New Roman" w:eastAsia="Times New Roman" w:hAnsi="Times New Roman" w:cs="Times New Roman"/>
          <w:sz w:val="24"/>
          <w:szCs w:val="24"/>
        </w:rPr>
        <w:t xml:space="preserve">, troctolites, spinel troctolites, </w:t>
      </w:r>
      <w:hyperlink r:id="rId8" w:tooltip="Learn more about norites from ScienceDirect's AI-generated Topic Pages" w:history="1">
        <w:r w:rsidRPr="00EE5E85">
          <w:rPr>
            <w:rFonts w:ascii="Times New Roman" w:eastAsia="Times New Roman" w:hAnsi="Times New Roman" w:cs="Times New Roman"/>
            <w:color w:val="0000FF"/>
            <w:sz w:val="24"/>
            <w:szCs w:val="24"/>
            <w:u w:val="single"/>
          </w:rPr>
          <w:t>norites</w:t>
        </w:r>
      </w:hyperlink>
      <w:r w:rsidRPr="00EE5E85">
        <w:rPr>
          <w:rFonts w:ascii="Times New Roman" w:eastAsia="Times New Roman" w:hAnsi="Times New Roman" w:cs="Times New Roman"/>
          <w:sz w:val="24"/>
          <w:szCs w:val="24"/>
        </w:rPr>
        <w:t>, and gabbronorites. A distinguishing characteristic of this suite is that they contain some of the most magnesium-rich phases (Fo</w:t>
      </w:r>
      <w:r w:rsidRPr="00EE5E85">
        <w:rPr>
          <w:rFonts w:ascii="Times New Roman" w:eastAsia="Times New Roman" w:hAnsi="Times New Roman" w:cs="Times New Roman"/>
          <w:sz w:val="24"/>
          <w:szCs w:val="24"/>
          <w:vertAlign w:val="subscript"/>
        </w:rPr>
        <w:t>95–90</w:t>
      </w:r>
      <w:r w:rsidRPr="00EE5E85">
        <w:rPr>
          <w:rFonts w:ascii="Times New Roman" w:eastAsia="Times New Roman" w:hAnsi="Times New Roman" w:cs="Times New Roman"/>
          <w:sz w:val="24"/>
          <w:szCs w:val="24"/>
        </w:rPr>
        <w:t xml:space="preserve">) that had crystallized from lunar magmas, yet they also are significantly enriched in an incompatible element component referred to as KREEP (a late-stage product of LMO crystallization containing abundant potassium (K), </w:t>
      </w:r>
      <w:hyperlink r:id="rId9" w:tooltip="Learn more about rare earth elements from ScienceDirect's AI-generated Topic Pages" w:history="1">
        <w:r w:rsidRPr="00EE5E85">
          <w:rPr>
            <w:rFonts w:ascii="Times New Roman" w:eastAsia="Times New Roman" w:hAnsi="Times New Roman" w:cs="Times New Roman"/>
            <w:color w:val="0000FF"/>
            <w:sz w:val="24"/>
            <w:szCs w:val="24"/>
            <w:u w:val="single"/>
          </w:rPr>
          <w:t>rare earth elements</w:t>
        </w:r>
      </w:hyperlink>
      <w:r w:rsidRPr="00EE5E85">
        <w:rPr>
          <w:rFonts w:ascii="Times New Roman" w:eastAsia="Times New Roman" w:hAnsi="Times New Roman" w:cs="Times New Roman"/>
          <w:sz w:val="24"/>
          <w:szCs w:val="24"/>
        </w:rPr>
        <w:t xml:space="preserve"> (REE), phosphorous (P), uranium, and thorium). </w:t>
      </w:r>
      <w:hyperlink r:id="rId10" w:tooltip="Learn more about Ion microprobe from ScienceDirect's AI-generated Topic Pages" w:history="1">
        <w:r w:rsidRPr="00EE5E85">
          <w:rPr>
            <w:rFonts w:ascii="Times New Roman" w:eastAsia="Times New Roman" w:hAnsi="Times New Roman" w:cs="Times New Roman"/>
            <w:color w:val="0000FF"/>
            <w:sz w:val="24"/>
            <w:szCs w:val="24"/>
            <w:u w:val="single"/>
          </w:rPr>
          <w:t>Ion microprobe</w:t>
        </w:r>
      </w:hyperlink>
      <w:r w:rsidRPr="00EE5E85">
        <w:rPr>
          <w:rFonts w:ascii="Times New Roman" w:eastAsia="Times New Roman" w:hAnsi="Times New Roman" w:cs="Times New Roman"/>
          <w:sz w:val="24"/>
          <w:szCs w:val="24"/>
        </w:rPr>
        <w:t xml:space="preserve"> analyses of individual mineral phases (olivine, </w:t>
      </w:r>
      <w:hyperlink r:id="rId11" w:tooltip="Learn more about pyroxene from ScienceDirect's AI-generated Topic Pages" w:history="1">
        <w:r w:rsidRPr="00EE5E85">
          <w:rPr>
            <w:rFonts w:ascii="Times New Roman" w:eastAsia="Times New Roman" w:hAnsi="Times New Roman" w:cs="Times New Roman"/>
            <w:color w:val="0000FF"/>
            <w:sz w:val="24"/>
            <w:szCs w:val="24"/>
            <w:u w:val="single"/>
          </w:rPr>
          <w:t>pyroxene</w:t>
        </w:r>
      </w:hyperlink>
      <w:r w:rsidRPr="00EE5E85">
        <w:rPr>
          <w:rFonts w:ascii="Times New Roman" w:eastAsia="Times New Roman" w:hAnsi="Times New Roman" w:cs="Times New Roman"/>
          <w:sz w:val="24"/>
          <w:szCs w:val="24"/>
        </w:rPr>
        <w:t xml:space="preserve">, and plagioclase) from the Mg-suite have shown some very unexpected characteristics that have profound implications on the origin of these basaltic magmas. Although the Mg-suite </w:t>
      </w:r>
      <w:hyperlink r:id="rId12" w:tooltip="Learn more about lithologies from ScienceDirect's AI-generated Topic Pages" w:history="1">
        <w:r w:rsidRPr="00EE5E85">
          <w:rPr>
            <w:rFonts w:ascii="Times New Roman" w:eastAsia="Times New Roman" w:hAnsi="Times New Roman" w:cs="Times New Roman"/>
            <w:color w:val="0000FF"/>
            <w:sz w:val="24"/>
            <w:szCs w:val="24"/>
            <w:u w:val="single"/>
          </w:rPr>
          <w:t>lithologies</w:t>
        </w:r>
      </w:hyperlink>
      <w:r w:rsidRPr="00EE5E85">
        <w:rPr>
          <w:rFonts w:ascii="Times New Roman" w:eastAsia="Times New Roman" w:hAnsi="Times New Roman" w:cs="Times New Roman"/>
          <w:sz w:val="24"/>
          <w:szCs w:val="24"/>
        </w:rPr>
        <w:t xml:space="preserve"> are typified by silicates with relatively high Mg′, early liquidus phases such as olivine are fairly low in Ni, Co, and Cr relative to more iron-rich </w:t>
      </w:r>
      <w:proofErr w:type="spellStart"/>
      <w:r w:rsidRPr="00EE5E85">
        <w:rPr>
          <w:rFonts w:ascii="Times New Roman" w:eastAsia="Times New Roman" w:hAnsi="Times New Roman" w:cs="Times New Roman"/>
          <w:sz w:val="24"/>
          <w:szCs w:val="24"/>
        </w:rPr>
        <w:t>olivines</w:t>
      </w:r>
      <w:proofErr w:type="spellEnd"/>
      <w:r w:rsidRPr="00EE5E85">
        <w:rPr>
          <w:rFonts w:ascii="Times New Roman" w:eastAsia="Times New Roman" w:hAnsi="Times New Roman" w:cs="Times New Roman"/>
          <w:sz w:val="24"/>
          <w:szCs w:val="24"/>
        </w:rPr>
        <w:t xml:space="preserve"> in the younger </w:t>
      </w:r>
      <w:hyperlink r:id="rId13" w:tooltip="Learn more about mare basalts from ScienceDirect's AI-generated Topic Pages" w:history="1">
        <w:r w:rsidRPr="00EE5E85">
          <w:rPr>
            <w:rFonts w:ascii="Times New Roman" w:eastAsia="Times New Roman" w:hAnsi="Times New Roman" w:cs="Times New Roman"/>
            <w:color w:val="0000FF"/>
            <w:sz w:val="24"/>
            <w:szCs w:val="24"/>
            <w:u w:val="single"/>
          </w:rPr>
          <w:t>mare basalts</w:t>
        </w:r>
      </w:hyperlink>
      <w:r w:rsidRPr="00EE5E85">
        <w:rPr>
          <w:rFonts w:ascii="Times New Roman" w:eastAsia="Times New Roman" w:hAnsi="Times New Roman" w:cs="Times New Roman"/>
          <w:sz w:val="24"/>
          <w:szCs w:val="24"/>
        </w:rPr>
        <w:t xml:space="preserve">. The high Y and </w:t>
      </w:r>
      <w:proofErr w:type="spellStart"/>
      <w:r w:rsidRPr="00EE5E85">
        <w:rPr>
          <w:rFonts w:ascii="Times New Roman" w:eastAsia="Times New Roman" w:hAnsi="Times New Roman" w:cs="Times New Roman"/>
          <w:sz w:val="24"/>
          <w:szCs w:val="24"/>
        </w:rPr>
        <w:t>Ti</w:t>
      </w:r>
      <w:proofErr w:type="spellEnd"/>
      <w:r w:rsidRPr="00EE5E85">
        <w:rPr>
          <w:rFonts w:ascii="Times New Roman" w:eastAsia="Times New Roman" w:hAnsi="Times New Roman" w:cs="Times New Roman"/>
          <w:sz w:val="24"/>
          <w:szCs w:val="24"/>
        </w:rPr>
        <w:t xml:space="preserve">/Y in early phases such as olivine and </w:t>
      </w:r>
      <w:hyperlink r:id="rId14" w:tooltip="Learn more about orthopyroxene from ScienceDirect's AI-generated Topic Pages" w:history="1">
        <w:r w:rsidRPr="00EE5E85">
          <w:rPr>
            <w:rFonts w:ascii="Times New Roman" w:eastAsia="Times New Roman" w:hAnsi="Times New Roman" w:cs="Times New Roman"/>
            <w:color w:val="0000FF"/>
            <w:sz w:val="24"/>
            <w:szCs w:val="24"/>
            <w:u w:val="single"/>
          </w:rPr>
          <w:t>orthopyroxene</w:t>
        </w:r>
      </w:hyperlink>
      <w:r w:rsidRPr="00EE5E85">
        <w:rPr>
          <w:rFonts w:ascii="Times New Roman" w:eastAsia="Times New Roman" w:hAnsi="Times New Roman" w:cs="Times New Roman"/>
          <w:sz w:val="24"/>
          <w:szCs w:val="24"/>
        </w:rPr>
        <w:t xml:space="preserve"> indicate that the parental basaltic melts were high in incompatible elements and contained an “ilmenite fractionation” signature. However, the Y in olivine from many of the troctolites and ultramafic lithologies are only slightly greater than that of the olivine in the mare basalts whereas olivine in the norites, gabbronorites, and Apollo 14 troctolites are exceedingly high. The KREEP component may have been added to the Mg-suite parent magmas by assimilation or mixing into the </w:t>
      </w:r>
      <w:hyperlink r:id="rId15" w:tooltip="Learn more about mantle source from ScienceDirect's AI-generated Topic Pages" w:history="1">
        <w:r w:rsidRPr="00EE5E85">
          <w:rPr>
            <w:rFonts w:ascii="Times New Roman" w:eastAsia="Times New Roman" w:hAnsi="Times New Roman" w:cs="Times New Roman"/>
            <w:color w:val="0000FF"/>
            <w:sz w:val="24"/>
            <w:szCs w:val="24"/>
            <w:u w:val="single"/>
          </w:rPr>
          <w:t>mantle source</w:t>
        </w:r>
      </w:hyperlink>
      <w:r w:rsidRPr="00EE5E85">
        <w:rPr>
          <w:rFonts w:ascii="Times New Roman" w:eastAsia="Times New Roman" w:hAnsi="Times New Roman" w:cs="Times New Roman"/>
          <w:sz w:val="24"/>
          <w:szCs w:val="24"/>
        </w:rPr>
        <w:t xml:space="preserve">. The volume of KREEP required to be added to the parental magmas of the Mg-suite tends to favor the latter mechanism for KREEP incorporation. The extremely high abundances of KREEP in the norites and gabbronorites are a product of substantial crystallization (40% to 70%) of KREEP-enriched Mg-suite parental magmas. Basaltic magmatism associated with KREEP extended for over 1.5 billion years and appears to have changed over time. The early stages of this style of lunar magmatism (Mg-suite) appear to represent melting of early LMO cumulates with low abundances of Ni, Co, Cr, and V. Later stages of KREEP-rich basaltic magmatism seemed to clearly involve melting of a variety of LMO cumulate assemblages with higher incompatible element enrichment. It appears that the heat derived from the KREEP component was instrumental in at least initiating melting of the </w:t>
      </w:r>
      <w:hyperlink r:id="rId16" w:tooltip="Learn more about lunar mantle from ScienceDirect's AI-generated Topic Pages" w:history="1">
        <w:r w:rsidRPr="00EE5E85">
          <w:rPr>
            <w:rFonts w:ascii="Times New Roman" w:eastAsia="Times New Roman" w:hAnsi="Times New Roman" w:cs="Times New Roman"/>
            <w:color w:val="0000FF"/>
            <w:sz w:val="24"/>
            <w:szCs w:val="24"/>
            <w:u w:val="single"/>
          </w:rPr>
          <w:t>lunar mantle</w:t>
        </w:r>
      </w:hyperlink>
      <w:r w:rsidRPr="00EE5E85">
        <w:rPr>
          <w:rFonts w:ascii="Times New Roman" w:eastAsia="Times New Roman" w:hAnsi="Times New Roman" w:cs="Times New Roman"/>
          <w:sz w:val="24"/>
          <w:szCs w:val="24"/>
        </w:rPr>
        <w:t xml:space="preserve"> over this period of time.</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Introduction</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The record (distribution, duration, composition) of basaltic magmatism on the Moon has been well defined for the period following extensive bombardment of the lunar surface that resulted in the </w:t>
      </w:r>
      <w:r w:rsidRPr="00EE5E85">
        <w:rPr>
          <w:rFonts w:ascii="Times New Roman" w:eastAsia="Times New Roman" w:hAnsi="Times New Roman" w:cs="Times New Roman"/>
          <w:sz w:val="24"/>
          <w:szCs w:val="24"/>
        </w:rPr>
        <w:lastRenderedPageBreak/>
        <w:t xml:space="preserve">formation of large “catch basins” for the mare basalts. Reconstruction of lunar basaltic magmatism from samples and remotely sensed observations of the mare basalts indicates that mare magmatism peaked between 4.0 and 3.8 Ga (Head and Wilson, 1992) and extended to perhaps 1.2–0.9 Ga (Schultz and </w:t>
      </w:r>
      <w:proofErr w:type="spellStart"/>
      <w:r w:rsidRPr="00EE5E85">
        <w:rPr>
          <w:rFonts w:ascii="Times New Roman" w:eastAsia="Times New Roman" w:hAnsi="Times New Roman" w:cs="Times New Roman"/>
          <w:sz w:val="24"/>
          <w:szCs w:val="24"/>
        </w:rPr>
        <w:t>Spudis</w:t>
      </w:r>
      <w:proofErr w:type="spellEnd"/>
      <w:r w:rsidRPr="00EE5E85">
        <w:rPr>
          <w:rFonts w:ascii="Times New Roman" w:eastAsia="Times New Roman" w:hAnsi="Times New Roman" w:cs="Times New Roman"/>
          <w:sz w:val="24"/>
          <w:szCs w:val="24"/>
        </w:rPr>
        <w:t xml:space="preserve"> 1983, </w:t>
      </w:r>
      <w:proofErr w:type="spellStart"/>
      <w:r w:rsidRPr="00EE5E85">
        <w:rPr>
          <w:rFonts w:ascii="Times New Roman" w:eastAsia="Times New Roman" w:hAnsi="Times New Roman" w:cs="Times New Roman"/>
          <w:sz w:val="24"/>
          <w:szCs w:val="24"/>
        </w:rPr>
        <w:t>Hiesinger</w:t>
      </w:r>
      <w:proofErr w:type="spellEnd"/>
      <w:r w:rsidRPr="00EE5E85">
        <w:rPr>
          <w:rFonts w:ascii="Times New Roman" w:eastAsia="Times New Roman" w:hAnsi="Times New Roman" w:cs="Times New Roman"/>
          <w:sz w:val="24"/>
          <w:szCs w:val="24"/>
        </w:rPr>
        <w:t xml:space="preserve"> et al 2003). The largest volume of mare basalts is associated with the </w:t>
      </w:r>
      <w:proofErr w:type="spellStart"/>
      <w:r w:rsidRPr="00EE5E85">
        <w:rPr>
          <w:rFonts w:ascii="Times New Roman" w:eastAsia="Times New Roman" w:hAnsi="Times New Roman" w:cs="Times New Roman"/>
          <w:sz w:val="24"/>
          <w:szCs w:val="24"/>
        </w:rPr>
        <w:t>Procellarum</w:t>
      </w:r>
      <w:proofErr w:type="spellEnd"/>
      <w:r w:rsidRPr="00EE5E85">
        <w:rPr>
          <w:rFonts w:ascii="Times New Roman" w:eastAsia="Times New Roman" w:hAnsi="Times New Roman" w:cs="Times New Roman"/>
          <w:sz w:val="24"/>
          <w:szCs w:val="24"/>
        </w:rPr>
        <w:t xml:space="preserve"> KREEP (potassium, rare earth elements, phosphorous) terrain (PKT) (</w:t>
      </w:r>
      <w:proofErr w:type="spellStart"/>
      <w:r w:rsidRPr="00EE5E85">
        <w:rPr>
          <w:rFonts w:ascii="Times New Roman" w:eastAsia="Times New Roman" w:hAnsi="Times New Roman" w:cs="Times New Roman"/>
          <w:sz w:val="24"/>
          <w:szCs w:val="24"/>
        </w:rPr>
        <w:t>Jolliff</w:t>
      </w:r>
      <w:proofErr w:type="spellEnd"/>
      <w:r w:rsidRPr="00EE5E85">
        <w:rPr>
          <w:rFonts w:ascii="Times New Roman" w:eastAsia="Times New Roman" w:hAnsi="Times New Roman" w:cs="Times New Roman"/>
          <w:sz w:val="24"/>
          <w:szCs w:val="24"/>
        </w:rPr>
        <w:t xml:space="preserve"> et al., 2000). In addition, the duration of mare basaltic volcanism is thought to be longer in the PKT (</w:t>
      </w:r>
      <w:proofErr w:type="spellStart"/>
      <w:r w:rsidRPr="00EE5E85">
        <w:rPr>
          <w:rFonts w:ascii="Times New Roman" w:eastAsia="Times New Roman" w:hAnsi="Times New Roman" w:cs="Times New Roman"/>
          <w:sz w:val="24"/>
          <w:szCs w:val="24"/>
        </w:rPr>
        <w:t>Hiesinger</w:t>
      </w:r>
      <w:proofErr w:type="spellEnd"/>
      <w:r w:rsidRPr="00EE5E85">
        <w:rPr>
          <w:rFonts w:ascii="Times New Roman" w:eastAsia="Times New Roman" w:hAnsi="Times New Roman" w:cs="Times New Roman"/>
          <w:sz w:val="24"/>
          <w:szCs w:val="24"/>
        </w:rPr>
        <w:t xml:space="preserve"> and Head, 2003). Reconstructing lunar basaltic before 4.0 Ga is problematic because these older terrains have been exposed to a more protracted and intensive impact history making them more difficult to study by either remote sensing or sample analysis. There are numerous unanswered questions concerning this period of lunar magmatism. Was the volume of basaltic magmas produced in the lunar mantle during this earlier period of time similar or greater than that produced during the peak of mare volcanism (Fig. 1)? How is this earlier style of lunar basaltic magmatism related to mare magmatism? Was this early stage of lunar basaltic magmatism primarily restricted to the PKT?</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One of the most enigmatic examples of early lunar basaltic magmatism is the magnesian suite (Mg-suite). These plutonic rocks represent a suite of basaltic magmas that were emplaced into the primary lunar magma ocean (LMO)–derived crust. Most models for their origin suggest that this episode of lunar magmatism immediately proceeded lunar magma ocean crystallization (</w:t>
      </w:r>
      <w:r w:rsidRPr="00EE5E85">
        <w:rPr>
          <w:rFonts w:ascii="Cambria Math" w:eastAsia="Times New Roman" w:hAnsi="Cambria Math" w:cs="Cambria Math"/>
          <w:sz w:val="24"/>
          <w:szCs w:val="24"/>
        </w:rPr>
        <w:t>∼</w:t>
      </w:r>
      <w:r w:rsidRPr="00EE5E85">
        <w:rPr>
          <w:rFonts w:ascii="Times New Roman" w:eastAsia="Times New Roman" w:hAnsi="Times New Roman" w:cs="Times New Roman"/>
          <w:sz w:val="24"/>
          <w:szCs w:val="24"/>
        </w:rPr>
        <w:t>4.5 Ga) and preceded the flooding of major impact basins by mare basalts (</w:t>
      </w:r>
      <w:r w:rsidRPr="00EE5E85">
        <w:rPr>
          <w:rFonts w:ascii="Cambria Math" w:eastAsia="Times New Roman" w:hAnsi="Cambria Math" w:cs="Cambria Math"/>
          <w:sz w:val="24"/>
          <w:szCs w:val="24"/>
        </w:rPr>
        <w:t>∼</w:t>
      </w:r>
      <w:r w:rsidRPr="00EE5E85">
        <w:rPr>
          <w:rFonts w:ascii="Times New Roman" w:eastAsia="Times New Roman" w:hAnsi="Times New Roman" w:cs="Times New Roman"/>
          <w:sz w:val="24"/>
          <w:szCs w:val="24"/>
        </w:rPr>
        <w:t>3.9 Ga). However, recently derived ages of early lunar rocks (Snyder et al., 2000) and geologic observations (Ryder et al., 1997) obscure the relationship between the Mg-suite crustal additions and the primordial crust produced by the LMO. The duration of this style of magmatism is also obscured by reset ages and the eruption of potentially related KREEP basaltic magmas (Snyder et al., 2000) associated with episodes of impact basin formation (i.e., Apollo 15 KREEP basalts). In addition to some of these age-related ambiguities, it has long been recognized that the Mg-suite contains rocks with contrasting primitive and evolved magmatic chemical signatures. For example, rocks of the Mg-suite commonly contain very magnesian mafic minerals with Mg′ (Mg/</w:t>
      </w:r>
      <w:proofErr w:type="spellStart"/>
      <w:r w:rsidRPr="00EE5E85">
        <w:rPr>
          <w:rFonts w:ascii="Times New Roman" w:eastAsia="Times New Roman" w:hAnsi="Times New Roman" w:cs="Times New Roman"/>
          <w:sz w:val="24"/>
          <w:szCs w:val="24"/>
        </w:rPr>
        <w:t>Mg+Fe</w:t>
      </w:r>
      <w:proofErr w:type="spellEnd"/>
      <w:r w:rsidRPr="00EE5E85">
        <w:rPr>
          <w:rFonts w:ascii="Times New Roman" w:eastAsia="Times New Roman" w:hAnsi="Times New Roman" w:cs="Times New Roman"/>
          <w:sz w:val="24"/>
          <w:szCs w:val="24"/>
        </w:rPr>
        <w:t>) = 85–95 coupled with high REE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1994,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1996,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1998, Ryder et al 1997). Reconstruction of the REE content of the parent basaltic melts for the norites of the Mg-suite indicates that many of these melts had incompatible element abundances equivalent to </w:t>
      </w:r>
      <w:proofErr w:type="spellStart"/>
      <w:r w:rsidRPr="00EE5E85">
        <w:rPr>
          <w:rFonts w:ascii="Times New Roman" w:eastAsia="Times New Roman" w:hAnsi="Times New Roman" w:cs="Times New Roman"/>
          <w:sz w:val="24"/>
          <w:szCs w:val="24"/>
        </w:rPr>
        <w:t>urKREEP</w:t>
      </w:r>
      <w:proofErr w:type="spellEnd"/>
      <w:r w:rsidRPr="00EE5E85">
        <w:rPr>
          <w:rFonts w:ascii="Times New Roman" w:eastAsia="Times New Roman" w:hAnsi="Times New Roman" w:cs="Times New Roman"/>
          <w:sz w:val="24"/>
          <w:szCs w:val="24"/>
        </w:rPr>
        <w:t>, a late stage product of LMO crystallization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1994,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1996). Numerous petrogenetic models have been proposed to account for these contrasting primitive (e.g., high Mg′) and evolved (e.g., saturated with plagioclase, high concentrations of incompatible trace elements) characteristics. Models for the petrogenesis of the Mg-suite include (1) an impact origin; (2) products of magma ocean crystallization; (3) </w:t>
      </w:r>
      <w:proofErr w:type="spellStart"/>
      <w:r w:rsidRPr="00EE5E85">
        <w:rPr>
          <w:rFonts w:ascii="Times New Roman" w:eastAsia="Times New Roman" w:hAnsi="Times New Roman" w:cs="Times New Roman"/>
          <w:sz w:val="24"/>
          <w:szCs w:val="24"/>
        </w:rPr>
        <w:t>remelting</w:t>
      </w:r>
      <w:proofErr w:type="spellEnd"/>
      <w:r w:rsidRPr="00EE5E85">
        <w:rPr>
          <w:rFonts w:ascii="Times New Roman" w:eastAsia="Times New Roman" w:hAnsi="Times New Roman" w:cs="Times New Roman"/>
          <w:sz w:val="24"/>
          <w:szCs w:val="24"/>
        </w:rPr>
        <w:t xml:space="preserve"> and remobilization of late magma ocean cumulates and/or KREEP infiltrated lower crust; (4) derivation of Mg-rich magmas through melting in the deep lunar mantle (early LMO cumulates or undifferentiated lunar mantle) followed by Al and incompatible trace element enrichments through assimilation of KREEP or </w:t>
      </w:r>
      <w:proofErr w:type="spellStart"/>
      <w:r w:rsidRPr="00EE5E85">
        <w:rPr>
          <w:rFonts w:ascii="Times New Roman" w:eastAsia="Times New Roman" w:hAnsi="Times New Roman" w:cs="Times New Roman"/>
          <w:sz w:val="24"/>
          <w:szCs w:val="24"/>
        </w:rPr>
        <w:t>anorthositic</w:t>
      </w:r>
      <w:proofErr w:type="spellEnd"/>
      <w:r w:rsidRPr="00EE5E85">
        <w:rPr>
          <w:rFonts w:ascii="Times New Roman" w:eastAsia="Times New Roman" w:hAnsi="Times New Roman" w:cs="Times New Roman"/>
          <w:sz w:val="24"/>
          <w:szCs w:val="24"/>
        </w:rPr>
        <w:t xml:space="preserve"> crust or both; and (5) </w:t>
      </w:r>
      <w:proofErr w:type="spellStart"/>
      <w:r w:rsidRPr="00EE5E85">
        <w:rPr>
          <w:rFonts w:ascii="Times New Roman" w:eastAsia="Times New Roman" w:hAnsi="Times New Roman" w:cs="Times New Roman"/>
          <w:sz w:val="24"/>
          <w:szCs w:val="24"/>
        </w:rPr>
        <w:t>decompressional</w:t>
      </w:r>
      <w:proofErr w:type="spellEnd"/>
      <w:r w:rsidRPr="00EE5E85">
        <w:rPr>
          <w:rFonts w:ascii="Times New Roman" w:eastAsia="Times New Roman" w:hAnsi="Times New Roman" w:cs="Times New Roman"/>
          <w:sz w:val="24"/>
          <w:szCs w:val="24"/>
        </w:rPr>
        <w:t xml:space="preserve"> melting of deep hybrid mixed cumulate sources (see summaries by Warren 1986a, Warren 1986b, Warren 1988, Warren and Wasson 1977, Warren and Wasson 1979, Hess 1994, Shearer and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1999). Each of these models not only defines specific magmatic processes but also identifies specific lunar mantle sources (evolved LMO residual liquids, early LMO cumulates, undifferentiated mantle) and heat sources. These models also imply different distributions and durations of Mg-suite magmatism.</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Lithologies that represent this early episode of lunar magmatism and crust formation often occur as small clasts in the lunar regolith. Unfortunately, because of their small size and </w:t>
      </w:r>
      <w:proofErr w:type="spellStart"/>
      <w:r w:rsidRPr="00EE5E85">
        <w:rPr>
          <w:rFonts w:ascii="Times New Roman" w:eastAsia="Times New Roman" w:hAnsi="Times New Roman" w:cs="Times New Roman"/>
          <w:sz w:val="24"/>
          <w:szCs w:val="24"/>
        </w:rPr>
        <w:t>postcrystallization</w:t>
      </w:r>
      <w:proofErr w:type="spellEnd"/>
      <w:r w:rsidRPr="00EE5E85">
        <w:rPr>
          <w:rFonts w:ascii="Times New Roman" w:eastAsia="Times New Roman" w:hAnsi="Times New Roman" w:cs="Times New Roman"/>
          <w:sz w:val="24"/>
          <w:szCs w:val="24"/>
        </w:rPr>
        <w:t xml:space="preserve"> impact history, bulk chemistry of Mg-suite samples is not often representative of the basaltic magma </w:t>
      </w:r>
      <w:r w:rsidRPr="00EE5E85">
        <w:rPr>
          <w:rFonts w:ascii="Times New Roman" w:eastAsia="Times New Roman" w:hAnsi="Times New Roman" w:cs="Times New Roman"/>
          <w:sz w:val="24"/>
          <w:szCs w:val="24"/>
        </w:rPr>
        <w:lastRenderedPageBreak/>
        <w:t>from which they crystallized. Over the last ten years numerous insights into these early stages of lunar magmatism have been realized using ion microbeam-derived trace element data of individual mineral phases (see summary by Shearer and Floss, 2000). All of these previous ion probe studies primarily emphasized the REE characteristics of silicates. Here, we report additional trace element data for a variety of both incompatible and compatible trace element in silicates (olivine, pyroxene, and plagioclase) from Mg-suite lithologies. For comparison purposes, we have also analyzed silicates from other highland lithologies (ferroan anorthosites (FAN), high-Al basalts) and mare basalts. This new ion probe data combined with previous observations are used in an attempt to better understand the chemical dichotomy of the Mg-suite and its petrogenetic role in lunar magmatism and growth of the early lunar crust.</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Section snippets</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Summary of occurrence and petrology</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Rocks that belong to the Mg-suite can be differentiated from other plutonic-hypabyssal lithologies making up pristine lunar highland rocks based on a variety of mineralogic and chemical criteria. Early studies demonstrated that the Mg-suite rocks can be distinguished from ferroan anorthosites by the molar ratios of Ca/(</w:t>
      </w:r>
      <w:proofErr w:type="spellStart"/>
      <w:r w:rsidRPr="00EE5E85">
        <w:rPr>
          <w:rFonts w:ascii="Times New Roman" w:eastAsia="Times New Roman" w:hAnsi="Times New Roman" w:cs="Times New Roman"/>
          <w:sz w:val="24"/>
          <w:szCs w:val="24"/>
        </w:rPr>
        <w:t>Ca+Na</w:t>
      </w:r>
      <w:proofErr w:type="spellEnd"/>
      <w:r w:rsidRPr="00EE5E85">
        <w:rPr>
          <w:rFonts w:ascii="Times New Roman" w:eastAsia="Times New Roman" w:hAnsi="Times New Roman" w:cs="Times New Roman"/>
          <w:sz w:val="24"/>
          <w:szCs w:val="24"/>
        </w:rPr>
        <w:t xml:space="preserve">) (or </w:t>
      </w:r>
      <w:proofErr w:type="gramStart"/>
      <w:r w:rsidRPr="00EE5E85">
        <w:rPr>
          <w:rFonts w:ascii="Times New Roman" w:eastAsia="Times New Roman" w:hAnsi="Times New Roman" w:cs="Times New Roman"/>
          <w:sz w:val="24"/>
          <w:szCs w:val="24"/>
        </w:rPr>
        <w:t>An</w:t>
      </w:r>
      <w:proofErr w:type="gramEnd"/>
      <w:r w:rsidRPr="00EE5E85">
        <w:rPr>
          <w:rFonts w:ascii="Times New Roman" w:eastAsia="Times New Roman" w:hAnsi="Times New Roman" w:cs="Times New Roman"/>
          <w:sz w:val="24"/>
          <w:szCs w:val="24"/>
        </w:rPr>
        <w:t xml:space="preserve"> content) in plagioclase vs. the Mg/(</w:t>
      </w:r>
      <w:proofErr w:type="spellStart"/>
      <w:r w:rsidRPr="00EE5E85">
        <w:rPr>
          <w:rFonts w:ascii="Times New Roman" w:eastAsia="Times New Roman" w:hAnsi="Times New Roman" w:cs="Times New Roman"/>
          <w:sz w:val="24"/>
          <w:szCs w:val="24"/>
        </w:rPr>
        <w:t>Mg+Fe</w:t>
      </w:r>
      <w:proofErr w:type="spellEnd"/>
      <w:r w:rsidRPr="00EE5E85">
        <w:rPr>
          <w:rFonts w:ascii="Times New Roman" w:eastAsia="Times New Roman" w:hAnsi="Times New Roman" w:cs="Times New Roman"/>
          <w:sz w:val="24"/>
          <w:szCs w:val="24"/>
        </w:rPr>
        <w:t>) in mafic minerals (Fig. 2). Compared with the ferroan anorthosites, they generally have a higher abundance of mafic</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Analytical approach</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Before trace element analysis, individual phases were imaged, mapped, and analyzed using a JEOL 773 </w:t>
      </w:r>
      <w:proofErr w:type="spellStart"/>
      <w:r w:rsidRPr="00EE5E85">
        <w:rPr>
          <w:rFonts w:ascii="Times New Roman" w:eastAsia="Times New Roman" w:hAnsi="Times New Roman" w:cs="Times New Roman"/>
          <w:sz w:val="24"/>
          <w:szCs w:val="24"/>
        </w:rPr>
        <w:t>superprobe</w:t>
      </w:r>
      <w:proofErr w:type="spellEnd"/>
      <w:r w:rsidRPr="00EE5E85">
        <w:rPr>
          <w:rFonts w:ascii="Times New Roman" w:eastAsia="Times New Roman" w:hAnsi="Times New Roman" w:cs="Times New Roman"/>
          <w:sz w:val="24"/>
          <w:szCs w:val="24"/>
        </w:rPr>
        <w:t xml:space="preserve">. Trace elements in olivine, orthopyroxene, and plagioclase were measured using the </w:t>
      </w:r>
      <w:proofErr w:type="spellStart"/>
      <w:r w:rsidRPr="00EE5E85">
        <w:rPr>
          <w:rFonts w:ascii="Times New Roman" w:eastAsia="Times New Roman" w:hAnsi="Times New Roman" w:cs="Times New Roman"/>
          <w:sz w:val="24"/>
          <w:szCs w:val="24"/>
        </w:rPr>
        <w:t>Cameca</w:t>
      </w:r>
      <w:proofErr w:type="spellEnd"/>
      <w:r w:rsidRPr="00EE5E85">
        <w:rPr>
          <w:rFonts w:ascii="Times New Roman" w:eastAsia="Times New Roman" w:hAnsi="Times New Roman" w:cs="Times New Roman"/>
          <w:sz w:val="24"/>
          <w:szCs w:val="24"/>
        </w:rPr>
        <w:t xml:space="preserve"> </w:t>
      </w:r>
      <w:proofErr w:type="spellStart"/>
      <w:r w:rsidRPr="00EE5E85">
        <w:rPr>
          <w:rFonts w:ascii="Times New Roman" w:eastAsia="Times New Roman" w:hAnsi="Times New Roman" w:cs="Times New Roman"/>
          <w:sz w:val="24"/>
          <w:szCs w:val="24"/>
        </w:rPr>
        <w:t>ims</w:t>
      </w:r>
      <w:proofErr w:type="spellEnd"/>
      <w:r w:rsidRPr="00EE5E85">
        <w:rPr>
          <w:rFonts w:ascii="Times New Roman" w:eastAsia="Times New Roman" w:hAnsi="Times New Roman" w:cs="Times New Roman"/>
          <w:sz w:val="24"/>
          <w:szCs w:val="24"/>
        </w:rPr>
        <w:t xml:space="preserve"> 4f operated on the University of New Mexico campus by the Institute of Meteoritics. Analyses were made using primary O</w:t>
      </w:r>
      <w:r w:rsidRPr="00EE5E85">
        <w:rPr>
          <w:rFonts w:ascii="Times New Roman" w:eastAsia="Times New Roman" w:hAnsi="Times New Roman" w:cs="Times New Roman"/>
          <w:sz w:val="24"/>
          <w:szCs w:val="24"/>
          <w:vertAlign w:val="superscript"/>
        </w:rPr>
        <w:t>−</w:t>
      </w:r>
      <w:r w:rsidRPr="00EE5E85">
        <w:rPr>
          <w:rFonts w:ascii="Times New Roman" w:eastAsia="Times New Roman" w:hAnsi="Times New Roman" w:cs="Times New Roman"/>
          <w:sz w:val="24"/>
          <w:szCs w:val="24"/>
        </w:rPr>
        <w:t xml:space="preserve"> ions accelerated through a nominal potential of 10 kV. For the analysis of olivine and orthopyroxene (Sc, </w:t>
      </w:r>
      <w:proofErr w:type="spellStart"/>
      <w:r w:rsidRPr="00EE5E85">
        <w:rPr>
          <w:rFonts w:ascii="Times New Roman" w:eastAsia="Times New Roman" w:hAnsi="Times New Roman" w:cs="Times New Roman"/>
          <w:sz w:val="24"/>
          <w:szCs w:val="24"/>
        </w:rPr>
        <w:t>Ti</w:t>
      </w:r>
      <w:proofErr w:type="spellEnd"/>
      <w:r w:rsidRPr="00EE5E85">
        <w:rPr>
          <w:rFonts w:ascii="Times New Roman" w:eastAsia="Times New Roman" w:hAnsi="Times New Roman" w:cs="Times New Roman"/>
          <w:sz w:val="24"/>
          <w:szCs w:val="24"/>
        </w:rPr>
        <w:t xml:space="preserve">, V, Cr, Mn, Co, Ni, Y) a primary beam current of 15 </w:t>
      </w:r>
      <w:proofErr w:type="spellStart"/>
      <w:r w:rsidRPr="00EE5E85">
        <w:rPr>
          <w:rFonts w:ascii="Times New Roman" w:eastAsia="Times New Roman" w:hAnsi="Times New Roman" w:cs="Times New Roman"/>
          <w:sz w:val="24"/>
          <w:szCs w:val="24"/>
        </w:rPr>
        <w:t>nA</w:t>
      </w:r>
      <w:proofErr w:type="spellEnd"/>
      <w:r w:rsidRPr="00EE5E85">
        <w:rPr>
          <w:rFonts w:ascii="Times New Roman" w:eastAsia="Times New Roman" w:hAnsi="Times New Roman" w:cs="Times New Roman"/>
          <w:sz w:val="24"/>
          <w:szCs w:val="24"/>
        </w:rPr>
        <w:t xml:space="preserve"> was</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Olivine</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The olivine in the Mg-suite generally shows limited major element zoning. In the ultramafic lithologies (</w:t>
      </w:r>
      <w:proofErr w:type="spellStart"/>
      <w:r w:rsidRPr="00EE5E85">
        <w:rPr>
          <w:rFonts w:ascii="Times New Roman" w:eastAsia="Times New Roman" w:hAnsi="Times New Roman" w:cs="Times New Roman"/>
          <w:sz w:val="24"/>
          <w:szCs w:val="24"/>
        </w:rPr>
        <w:t>dunites</w:t>
      </w:r>
      <w:proofErr w:type="spellEnd"/>
      <w:r w:rsidRPr="00EE5E85">
        <w:rPr>
          <w:rFonts w:ascii="Times New Roman" w:eastAsia="Times New Roman" w:hAnsi="Times New Roman" w:cs="Times New Roman"/>
          <w:sz w:val="24"/>
          <w:szCs w:val="24"/>
        </w:rPr>
        <w:t>, pyroxenites), the olivine composition ranges from Fo</w:t>
      </w:r>
      <w:r w:rsidRPr="00EE5E85">
        <w:rPr>
          <w:rFonts w:ascii="Times New Roman" w:eastAsia="Times New Roman" w:hAnsi="Times New Roman" w:cs="Times New Roman"/>
          <w:sz w:val="24"/>
          <w:szCs w:val="24"/>
          <w:vertAlign w:val="subscript"/>
        </w:rPr>
        <w:t>90–85</w:t>
      </w:r>
      <w:r w:rsidRPr="00EE5E85">
        <w:rPr>
          <w:rFonts w:ascii="Times New Roman" w:eastAsia="Times New Roman" w:hAnsi="Times New Roman" w:cs="Times New Roman"/>
          <w:sz w:val="24"/>
          <w:szCs w:val="24"/>
        </w:rPr>
        <w:t>. Individual olivine grains from an Apollo 17 melt breccia indicate the existence of ultramafic lithologies with olivine compositions up to Fo</w:t>
      </w:r>
      <w:r w:rsidRPr="00EE5E85">
        <w:rPr>
          <w:rFonts w:ascii="Times New Roman" w:eastAsia="Times New Roman" w:hAnsi="Times New Roman" w:cs="Times New Roman"/>
          <w:sz w:val="24"/>
          <w:szCs w:val="24"/>
          <w:vertAlign w:val="subscript"/>
        </w:rPr>
        <w:t>96</w:t>
      </w:r>
      <w:r w:rsidRPr="00EE5E85">
        <w:rPr>
          <w:rFonts w:ascii="Times New Roman" w:eastAsia="Times New Roman" w:hAnsi="Times New Roman" w:cs="Times New Roman"/>
          <w:sz w:val="24"/>
          <w:szCs w:val="24"/>
        </w:rPr>
        <w:t xml:space="preserve"> (Ryder et al., 1997; Shearer et al., 2002). Snyder et al. (1995) identified small </w:t>
      </w:r>
      <w:proofErr w:type="spellStart"/>
      <w:r w:rsidRPr="00EE5E85">
        <w:rPr>
          <w:rFonts w:ascii="Times New Roman" w:eastAsia="Times New Roman" w:hAnsi="Times New Roman" w:cs="Times New Roman"/>
          <w:sz w:val="24"/>
          <w:szCs w:val="24"/>
        </w:rPr>
        <w:t>cataclasized</w:t>
      </w:r>
      <w:proofErr w:type="spellEnd"/>
      <w:r w:rsidRPr="00EE5E85">
        <w:rPr>
          <w:rFonts w:ascii="Times New Roman" w:eastAsia="Times New Roman" w:hAnsi="Times New Roman" w:cs="Times New Roman"/>
          <w:sz w:val="24"/>
          <w:szCs w:val="24"/>
        </w:rPr>
        <w:t xml:space="preserve"> </w:t>
      </w:r>
      <w:proofErr w:type="spellStart"/>
      <w:r w:rsidRPr="00EE5E85">
        <w:rPr>
          <w:rFonts w:ascii="Times New Roman" w:eastAsia="Times New Roman" w:hAnsi="Times New Roman" w:cs="Times New Roman"/>
          <w:sz w:val="24"/>
          <w:szCs w:val="24"/>
        </w:rPr>
        <w:t>dunite</w:t>
      </w:r>
      <w:proofErr w:type="spellEnd"/>
      <w:r w:rsidRPr="00EE5E85">
        <w:rPr>
          <w:rFonts w:ascii="Times New Roman" w:eastAsia="Times New Roman" w:hAnsi="Times New Roman" w:cs="Times New Roman"/>
          <w:sz w:val="24"/>
          <w:szCs w:val="24"/>
        </w:rPr>
        <w:t xml:space="preserve"> particles from Apollo 14 with olivine compositions between Fo</w:t>
      </w:r>
      <w:r w:rsidRPr="00EE5E85">
        <w:rPr>
          <w:rFonts w:ascii="Times New Roman" w:eastAsia="Times New Roman" w:hAnsi="Times New Roman" w:cs="Times New Roman"/>
          <w:sz w:val="24"/>
          <w:szCs w:val="24"/>
          <w:vertAlign w:val="subscript"/>
        </w:rPr>
        <w:t>88–76</w:t>
      </w:r>
      <w:r w:rsidRPr="00EE5E85">
        <w:rPr>
          <w:rFonts w:ascii="Times New Roman" w:eastAsia="Times New Roman" w:hAnsi="Times New Roman" w:cs="Times New Roman"/>
          <w:sz w:val="24"/>
          <w:szCs w:val="24"/>
        </w:rPr>
        <w:t>. These</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Conclusions</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Trace elements in the minerals from a variety of Mg-suite lithologies illustrate several important features of this early stage of lunar magmatism and have profound implications for its origin:</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Incompatible elements in mineral phases in the Mg-suite exhibit a wide range of concentrations. However, not all the Mg-suite rocks have the significant incompatible element enrichment as in the </w:t>
      </w:r>
      <w:r w:rsidRPr="00EE5E85">
        <w:rPr>
          <w:rFonts w:ascii="Times New Roman" w:eastAsia="Times New Roman" w:hAnsi="Times New Roman" w:cs="Times New Roman"/>
          <w:sz w:val="24"/>
          <w:szCs w:val="24"/>
        </w:rPr>
        <w:lastRenderedPageBreak/>
        <w:t xml:space="preserve">norites. The high enrichments in the norites and gabbronorites previously documented by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et al 1994, </w:t>
      </w:r>
    </w:p>
    <w:p w:rsidR="00EE5E85" w:rsidRPr="00EE5E85" w:rsidRDefault="00EE5E85" w:rsidP="00EE5E85">
      <w:pPr>
        <w:spacing w:before="100" w:beforeAutospacing="1" w:after="100" w:afterAutospacing="1" w:line="240" w:lineRule="auto"/>
        <w:outlineLvl w:val="1"/>
        <w:rPr>
          <w:rFonts w:ascii="Times New Roman" w:eastAsia="Times New Roman" w:hAnsi="Times New Roman" w:cs="Times New Roman"/>
          <w:b/>
          <w:bCs/>
          <w:sz w:val="36"/>
          <w:szCs w:val="36"/>
        </w:rPr>
      </w:pPr>
      <w:r w:rsidRPr="00EE5E85">
        <w:rPr>
          <w:rFonts w:ascii="Times New Roman" w:eastAsia="Times New Roman" w:hAnsi="Times New Roman" w:cs="Times New Roman"/>
          <w:b/>
          <w:bCs/>
          <w:sz w:val="36"/>
          <w:szCs w:val="36"/>
        </w:rPr>
        <w:t>Acknowledgments</w:t>
      </w:r>
    </w:p>
    <w:p w:rsidR="00EE5E85" w:rsidRPr="00EE5E85" w:rsidRDefault="00EE5E85" w:rsidP="00EE5E85">
      <w:pPr>
        <w:spacing w:before="100" w:beforeAutospacing="1" w:after="100" w:afterAutospacing="1" w:line="240" w:lineRule="auto"/>
        <w:rPr>
          <w:rFonts w:ascii="Times New Roman" w:eastAsia="Times New Roman" w:hAnsi="Times New Roman" w:cs="Times New Roman"/>
          <w:sz w:val="24"/>
          <w:szCs w:val="24"/>
        </w:rPr>
      </w:pPr>
      <w:r w:rsidRPr="00EE5E85">
        <w:rPr>
          <w:rFonts w:ascii="Times New Roman" w:eastAsia="Times New Roman" w:hAnsi="Times New Roman" w:cs="Times New Roman"/>
          <w:sz w:val="24"/>
          <w:szCs w:val="24"/>
        </w:rPr>
        <w:t xml:space="preserve">This manuscript benefited greatly from reviews by Clive Neal, Paul Hess, John </w:t>
      </w:r>
      <w:proofErr w:type="spellStart"/>
      <w:r w:rsidRPr="00EE5E85">
        <w:rPr>
          <w:rFonts w:ascii="Times New Roman" w:eastAsia="Times New Roman" w:hAnsi="Times New Roman" w:cs="Times New Roman"/>
          <w:sz w:val="24"/>
          <w:szCs w:val="24"/>
        </w:rPr>
        <w:t>Longhi</w:t>
      </w:r>
      <w:proofErr w:type="spellEnd"/>
      <w:r w:rsidRPr="00EE5E85">
        <w:rPr>
          <w:rFonts w:ascii="Times New Roman" w:eastAsia="Times New Roman" w:hAnsi="Times New Roman" w:cs="Times New Roman"/>
          <w:sz w:val="24"/>
          <w:szCs w:val="24"/>
        </w:rPr>
        <w:t xml:space="preserve">, and an anonymous reviewer. C. K. Shearer and J. J. </w:t>
      </w:r>
      <w:proofErr w:type="spellStart"/>
      <w:r w:rsidRPr="00EE5E85">
        <w:rPr>
          <w:rFonts w:ascii="Times New Roman" w:eastAsia="Times New Roman" w:hAnsi="Times New Roman" w:cs="Times New Roman"/>
          <w:sz w:val="24"/>
          <w:szCs w:val="24"/>
        </w:rPr>
        <w:t>Papike</w:t>
      </w:r>
      <w:proofErr w:type="spellEnd"/>
      <w:r w:rsidRPr="00EE5E85">
        <w:rPr>
          <w:rFonts w:ascii="Times New Roman" w:eastAsia="Times New Roman" w:hAnsi="Times New Roman" w:cs="Times New Roman"/>
          <w:sz w:val="24"/>
          <w:szCs w:val="24"/>
        </w:rPr>
        <w:t xml:space="preserve"> were supported for this work by NASA Grant #NAG 5-12796 and the Institute of Meteoritics.</w:t>
      </w:r>
    </w:p>
    <w:p w:rsidR="007A4315" w:rsidRDefault="007A4315"/>
    <w:sectPr w:rsidR="007A431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E85"/>
    <w:rsid w:val="007A4315"/>
    <w:rsid w:val="00EE5E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C1BBA"/>
  <w15:chartTrackingRefBased/>
  <w15:docId w15:val="{4899A805-C555-496E-B6F7-AFE0C8141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7441213">
      <w:bodyDiv w:val="1"/>
      <w:marLeft w:val="0"/>
      <w:marRight w:val="0"/>
      <w:marTop w:val="0"/>
      <w:marBottom w:val="0"/>
      <w:divBdr>
        <w:top w:val="none" w:sz="0" w:space="0" w:color="auto"/>
        <w:left w:val="none" w:sz="0" w:space="0" w:color="auto"/>
        <w:bottom w:val="none" w:sz="0" w:space="0" w:color="auto"/>
        <w:right w:val="none" w:sz="0" w:space="0" w:color="auto"/>
      </w:divBdr>
      <w:divsChild>
        <w:div w:id="1814828053">
          <w:marLeft w:val="0"/>
          <w:marRight w:val="0"/>
          <w:marTop w:val="0"/>
          <w:marBottom w:val="0"/>
          <w:divBdr>
            <w:top w:val="none" w:sz="0" w:space="0" w:color="auto"/>
            <w:left w:val="none" w:sz="0" w:space="0" w:color="auto"/>
            <w:bottom w:val="none" w:sz="0" w:space="0" w:color="auto"/>
            <w:right w:val="none" w:sz="0" w:space="0" w:color="auto"/>
          </w:divBdr>
          <w:divsChild>
            <w:div w:id="1034691306">
              <w:marLeft w:val="0"/>
              <w:marRight w:val="0"/>
              <w:marTop w:val="0"/>
              <w:marBottom w:val="0"/>
              <w:divBdr>
                <w:top w:val="none" w:sz="0" w:space="0" w:color="auto"/>
                <w:left w:val="none" w:sz="0" w:space="0" w:color="auto"/>
                <w:bottom w:val="none" w:sz="0" w:space="0" w:color="auto"/>
                <w:right w:val="none" w:sz="0" w:space="0" w:color="auto"/>
              </w:divBdr>
              <w:divsChild>
                <w:div w:id="899485185">
                  <w:marLeft w:val="0"/>
                  <w:marRight w:val="0"/>
                  <w:marTop w:val="0"/>
                  <w:marBottom w:val="0"/>
                  <w:divBdr>
                    <w:top w:val="none" w:sz="0" w:space="0" w:color="auto"/>
                    <w:left w:val="none" w:sz="0" w:space="0" w:color="auto"/>
                    <w:bottom w:val="none" w:sz="0" w:space="0" w:color="auto"/>
                    <w:right w:val="none" w:sz="0" w:space="0" w:color="auto"/>
                  </w:divBdr>
                  <w:divsChild>
                    <w:div w:id="48196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316190">
          <w:marLeft w:val="0"/>
          <w:marRight w:val="0"/>
          <w:marTop w:val="0"/>
          <w:marBottom w:val="0"/>
          <w:divBdr>
            <w:top w:val="none" w:sz="0" w:space="0" w:color="auto"/>
            <w:left w:val="none" w:sz="0" w:space="0" w:color="auto"/>
            <w:bottom w:val="none" w:sz="0" w:space="0" w:color="auto"/>
            <w:right w:val="none" w:sz="0" w:space="0" w:color="auto"/>
          </w:divBdr>
          <w:divsChild>
            <w:div w:id="1375496058">
              <w:marLeft w:val="0"/>
              <w:marRight w:val="0"/>
              <w:marTop w:val="0"/>
              <w:marBottom w:val="0"/>
              <w:divBdr>
                <w:top w:val="none" w:sz="0" w:space="0" w:color="auto"/>
                <w:left w:val="none" w:sz="0" w:space="0" w:color="auto"/>
                <w:bottom w:val="none" w:sz="0" w:space="0" w:color="auto"/>
                <w:right w:val="none" w:sz="0" w:space="0" w:color="auto"/>
              </w:divBdr>
              <w:divsChild>
                <w:div w:id="77757421">
                  <w:marLeft w:val="0"/>
                  <w:marRight w:val="0"/>
                  <w:marTop w:val="0"/>
                  <w:marBottom w:val="0"/>
                  <w:divBdr>
                    <w:top w:val="none" w:sz="0" w:space="0" w:color="auto"/>
                    <w:left w:val="none" w:sz="0" w:space="0" w:color="auto"/>
                    <w:bottom w:val="none" w:sz="0" w:space="0" w:color="auto"/>
                    <w:right w:val="none" w:sz="0" w:space="0" w:color="auto"/>
                  </w:divBdr>
                  <w:divsChild>
                    <w:div w:id="181864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371040">
          <w:marLeft w:val="0"/>
          <w:marRight w:val="0"/>
          <w:marTop w:val="0"/>
          <w:marBottom w:val="0"/>
          <w:divBdr>
            <w:top w:val="none" w:sz="0" w:space="0" w:color="auto"/>
            <w:left w:val="none" w:sz="0" w:space="0" w:color="auto"/>
            <w:bottom w:val="none" w:sz="0" w:space="0" w:color="auto"/>
            <w:right w:val="none" w:sz="0" w:space="0" w:color="auto"/>
          </w:divBdr>
          <w:divsChild>
            <w:div w:id="1642466057">
              <w:marLeft w:val="0"/>
              <w:marRight w:val="0"/>
              <w:marTop w:val="0"/>
              <w:marBottom w:val="0"/>
              <w:divBdr>
                <w:top w:val="none" w:sz="0" w:space="0" w:color="auto"/>
                <w:left w:val="none" w:sz="0" w:space="0" w:color="auto"/>
                <w:bottom w:val="none" w:sz="0" w:space="0" w:color="auto"/>
                <w:right w:val="none" w:sz="0" w:space="0" w:color="auto"/>
              </w:divBdr>
            </w:div>
          </w:divsChild>
        </w:div>
        <w:div w:id="1262566673">
          <w:marLeft w:val="0"/>
          <w:marRight w:val="0"/>
          <w:marTop w:val="0"/>
          <w:marBottom w:val="0"/>
          <w:divBdr>
            <w:top w:val="none" w:sz="0" w:space="0" w:color="auto"/>
            <w:left w:val="none" w:sz="0" w:space="0" w:color="auto"/>
            <w:bottom w:val="none" w:sz="0" w:space="0" w:color="auto"/>
            <w:right w:val="none" w:sz="0" w:space="0" w:color="auto"/>
          </w:divBdr>
          <w:divsChild>
            <w:div w:id="13461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norite" TargetMode="External"/><Relationship Id="rId13" Type="http://schemas.openxmlformats.org/officeDocument/2006/relationships/hyperlink" Target="https://www.sciencedirect.com/topics/earth-and-planetary-sciences/mare-basalt"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magma" TargetMode="External"/><Relationship Id="rId12" Type="http://schemas.openxmlformats.org/officeDocument/2006/relationships/hyperlink" Target="https://www.sciencedirect.com/topics/earth-and-planetary-sciences/petrography"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sciencedirect.com/topics/earth-and-planetary-sciences/lunar-mantle" TargetMode="External"/><Relationship Id="rId1" Type="http://schemas.openxmlformats.org/officeDocument/2006/relationships/styles" Target="styles.xml"/><Relationship Id="rId6" Type="http://schemas.openxmlformats.org/officeDocument/2006/relationships/hyperlink" Target="https://www.sciencedirect.com/topics/earth-and-planetary-sciences/magmatism" TargetMode="External"/><Relationship Id="rId11" Type="http://schemas.openxmlformats.org/officeDocument/2006/relationships/hyperlink" Target="https://www.sciencedirect.com/topics/earth-and-planetary-sciences/pyroxene" TargetMode="External"/><Relationship Id="rId5" Type="http://schemas.openxmlformats.org/officeDocument/2006/relationships/hyperlink" Target="https://www.sciencedirect.com/topics/earth-and-planetary-sciences/plutonic-rock" TargetMode="External"/><Relationship Id="rId15" Type="http://schemas.openxmlformats.org/officeDocument/2006/relationships/hyperlink" Target="https://www.sciencedirect.com/topics/earth-and-planetary-sciences/mantle-source" TargetMode="External"/><Relationship Id="rId10" Type="http://schemas.openxmlformats.org/officeDocument/2006/relationships/hyperlink" Target="https://www.sciencedirect.com/topics/earth-and-planetary-sciences/ion-microprobe" TargetMode="External"/><Relationship Id="rId4" Type="http://schemas.openxmlformats.org/officeDocument/2006/relationships/hyperlink" Target="https://doi.org/10.1016/j.gca.2005.02.025" TargetMode="External"/><Relationship Id="rId9" Type="http://schemas.openxmlformats.org/officeDocument/2006/relationships/hyperlink" Target="https://www.sciencedirect.com/topics/earth-and-planetary-sciences/rare-earth-element" TargetMode="External"/><Relationship Id="rId14" Type="http://schemas.openxmlformats.org/officeDocument/2006/relationships/hyperlink" Target="https://www.sciencedirect.com/topics/earth-and-planetary-sciences/orthopyroxe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1951</Words>
  <Characters>11126</Characters>
  <Application>Microsoft Office Word</Application>
  <DocSecurity>0</DocSecurity>
  <Lines>92</Lines>
  <Paragraphs>26</Paragraphs>
  <ScaleCrop>false</ScaleCrop>
  <Company/>
  <LinksUpToDate>false</LinksUpToDate>
  <CharactersWithSpaces>13051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2023-11-18T08:11:00Z</dcterms:created>
  <dcterms:modified xsi:type="dcterms:W3CDTF">2023-11-18T08:12:00Z</dcterms:modified>
</cp:coreProperties>
</file>