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1152D" w:rsidRPr="0011152D" w:rsidRDefault="0011152D" w:rsidP="0011152D">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1152D">
        <w:rPr>
          <w:rFonts w:ascii="Times New Roman" w:eastAsia="Times New Roman" w:hAnsi="Times New Roman" w:cs="Times New Roman"/>
          <w:b/>
          <w:bCs/>
          <w:kern w:val="36"/>
          <w:sz w:val="48"/>
          <w:szCs w:val="48"/>
        </w:rPr>
        <w:t>Experimental determination of argon solubility in silicate melts: An assessment of the effects of liquid composition and temperature</w:t>
      </w:r>
    </w:p>
    <w:p w:rsidR="0011152D" w:rsidRPr="0011152D" w:rsidRDefault="0011152D" w:rsidP="0011152D">
      <w:pPr>
        <w:spacing w:after="0"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Author links open overlay panel</w:t>
      </w:r>
    </w:p>
    <w:p w:rsidR="0011152D" w:rsidRPr="0011152D" w:rsidRDefault="0011152D" w:rsidP="0011152D">
      <w:pPr>
        <w:spacing w:after="0"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 </w:t>
      </w:r>
    </w:p>
    <w:p w:rsidR="0011152D" w:rsidRPr="0011152D" w:rsidRDefault="0011152D" w:rsidP="0011152D">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1152D">
          <w:rPr>
            <w:rFonts w:ascii="Times New Roman" w:eastAsia="Times New Roman" w:hAnsi="Times New Roman" w:cs="Times New Roman"/>
            <w:color w:val="0000FF"/>
            <w:sz w:val="24"/>
            <w:szCs w:val="24"/>
            <w:u w:val="single"/>
          </w:rPr>
          <w:t>https://doi.org/10.1016/j.gca.2005.08.010</w:t>
        </w:r>
      </w:hyperlink>
      <w:r w:rsidRPr="0011152D">
        <w:rPr>
          <w:rFonts w:ascii="Times New Roman" w:eastAsia="Times New Roman" w:hAnsi="Times New Roman" w:cs="Times New Roman"/>
          <w:sz w:val="24"/>
          <w:szCs w:val="24"/>
        </w:rPr>
        <w:t xml:space="preserve"> </w:t>
      </w:r>
      <w:bookmarkStart w:id="0" w:name="_GoBack"/>
      <w:bookmarkEnd w:id="0"/>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Abstract</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The argon solubility of 38 liquids in the system Na</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O-CaO-MgO-Al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3</w:t>
      </w:r>
      <w:r w:rsidRPr="0011152D">
        <w:rPr>
          <w:rFonts w:ascii="Times New Roman" w:eastAsia="Times New Roman" w:hAnsi="Times New Roman" w:cs="Times New Roman"/>
          <w:sz w:val="24"/>
          <w:szCs w:val="24"/>
        </w:rPr>
        <w:t>-SiO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 xml:space="preserve"> (NCMAS) has been determined at 1873 K and 1 bar, the argon concentration of </w:t>
      </w:r>
      <w:proofErr w:type="spellStart"/>
      <w:r w:rsidRPr="0011152D">
        <w:rPr>
          <w:rFonts w:ascii="Times New Roman" w:eastAsia="Times New Roman" w:hAnsi="Times New Roman" w:cs="Times New Roman"/>
          <w:sz w:val="24"/>
          <w:szCs w:val="24"/>
        </w:rPr>
        <w:t>presaturated</w:t>
      </w:r>
      <w:proofErr w:type="spellEnd"/>
      <w:r w:rsidRPr="0011152D">
        <w:rPr>
          <w:rFonts w:ascii="Times New Roman" w:eastAsia="Times New Roman" w:hAnsi="Times New Roman" w:cs="Times New Roman"/>
          <w:sz w:val="24"/>
          <w:szCs w:val="24"/>
        </w:rPr>
        <w:t xml:space="preserve"> glasses being measured using a static </w:t>
      </w:r>
      <w:hyperlink r:id="rId5" w:tooltip="Learn more about mass spectrometer from ScienceDirect's AI-generated Topic Pages" w:history="1">
        <w:r w:rsidRPr="0011152D">
          <w:rPr>
            <w:rFonts w:ascii="Times New Roman" w:eastAsia="Times New Roman" w:hAnsi="Times New Roman" w:cs="Times New Roman"/>
            <w:color w:val="0000FF"/>
            <w:sz w:val="24"/>
            <w:szCs w:val="24"/>
            <w:u w:val="single"/>
          </w:rPr>
          <w:t>mass spectrometer</w:t>
        </w:r>
      </w:hyperlink>
      <w:r w:rsidRPr="0011152D">
        <w:rPr>
          <w:rFonts w:ascii="Times New Roman" w:eastAsia="Times New Roman" w:hAnsi="Times New Roman" w:cs="Times New Roman"/>
          <w:sz w:val="24"/>
          <w:szCs w:val="24"/>
        </w:rPr>
        <w:t xml:space="preserve">. For compositions in the subsystem </w:t>
      </w:r>
      <w:hyperlink r:id="rId6" w:tooltip="Learn more about diopside from ScienceDirect's AI-generated Topic Pages" w:history="1">
        <w:r w:rsidRPr="0011152D">
          <w:rPr>
            <w:rFonts w:ascii="Times New Roman" w:eastAsia="Times New Roman" w:hAnsi="Times New Roman" w:cs="Times New Roman"/>
            <w:color w:val="0000FF"/>
            <w:sz w:val="24"/>
            <w:szCs w:val="24"/>
            <w:u w:val="single"/>
          </w:rPr>
          <w:t>diopside</w:t>
        </w:r>
      </w:hyperlink>
      <w:r w:rsidRPr="0011152D">
        <w:rPr>
          <w:rFonts w:ascii="Times New Roman" w:eastAsia="Times New Roman" w:hAnsi="Times New Roman" w:cs="Times New Roman"/>
          <w:sz w:val="24"/>
          <w:szCs w:val="24"/>
        </w:rPr>
        <w:t xml:space="preserve"> (CaMgSi</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6</w:t>
      </w:r>
      <w:r w:rsidRPr="0011152D">
        <w:rPr>
          <w:rFonts w:ascii="Times New Roman" w:eastAsia="Times New Roman" w:hAnsi="Times New Roman" w:cs="Times New Roman"/>
          <w:sz w:val="24"/>
          <w:szCs w:val="24"/>
        </w:rPr>
        <w:t xml:space="preserve">), </w:t>
      </w:r>
      <w:hyperlink r:id="rId7" w:tooltip="Learn more about nepheline from ScienceDirect's AI-generated Topic Pages" w:history="1">
        <w:r w:rsidRPr="0011152D">
          <w:rPr>
            <w:rFonts w:ascii="Times New Roman" w:eastAsia="Times New Roman" w:hAnsi="Times New Roman" w:cs="Times New Roman"/>
            <w:color w:val="0000FF"/>
            <w:sz w:val="24"/>
            <w:szCs w:val="24"/>
            <w:u w:val="single"/>
          </w:rPr>
          <w:t>nepheline</w:t>
        </w:r>
      </w:hyperlink>
      <w:r w:rsidRPr="0011152D">
        <w:rPr>
          <w:rFonts w:ascii="Times New Roman" w:eastAsia="Times New Roman" w:hAnsi="Times New Roman" w:cs="Times New Roman"/>
          <w:sz w:val="24"/>
          <w:szCs w:val="24"/>
        </w:rPr>
        <w:t xml:space="preserve"> (NaAlSiO</w:t>
      </w:r>
      <w:r w:rsidRPr="0011152D">
        <w:rPr>
          <w:rFonts w:ascii="Times New Roman" w:eastAsia="Times New Roman" w:hAnsi="Times New Roman" w:cs="Times New Roman"/>
          <w:sz w:val="24"/>
          <w:szCs w:val="24"/>
          <w:vertAlign w:val="subscript"/>
        </w:rPr>
        <w:t>4</w:t>
      </w:r>
      <w:r w:rsidRPr="0011152D">
        <w:rPr>
          <w:rFonts w:ascii="Times New Roman" w:eastAsia="Times New Roman" w:hAnsi="Times New Roman" w:cs="Times New Roman"/>
          <w:sz w:val="24"/>
          <w:szCs w:val="24"/>
        </w:rPr>
        <w:t>), albite (NaAlSi</w:t>
      </w:r>
      <w:r w:rsidRPr="0011152D">
        <w:rPr>
          <w:rFonts w:ascii="Times New Roman" w:eastAsia="Times New Roman" w:hAnsi="Times New Roman" w:cs="Times New Roman"/>
          <w:sz w:val="24"/>
          <w:szCs w:val="24"/>
          <w:vertAlign w:val="subscript"/>
        </w:rPr>
        <w:t>3</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8</w:t>
      </w:r>
      <w:r w:rsidRPr="0011152D">
        <w:rPr>
          <w:rFonts w:ascii="Times New Roman" w:eastAsia="Times New Roman" w:hAnsi="Times New Roman" w:cs="Times New Roman"/>
          <w:sz w:val="24"/>
          <w:szCs w:val="24"/>
        </w:rPr>
        <w:t>), anorthite (CaAl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Si</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8</w:t>
      </w:r>
      <w:r w:rsidRPr="0011152D">
        <w:rPr>
          <w:rFonts w:ascii="Times New Roman" w:eastAsia="Times New Roman" w:hAnsi="Times New Roman" w:cs="Times New Roman"/>
          <w:sz w:val="24"/>
          <w:szCs w:val="24"/>
        </w:rPr>
        <w:t xml:space="preserve">), argon solubility is generally a linear function of the relative proportion of each end member, solubility being lowest in </w:t>
      </w:r>
      <w:hyperlink r:id="rId8" w:tooltip="Learn more about diopside from ScienceDirect's AI-generated Topic Pages" w:history="1">
        <w:r w:rsidRPr="0011152D">
          <w:rPr>
            <w:rFonts w:ascii="Times New Roman" w:eastAsia="Times New Roman" w:hAnsi="Times New Roman" w:cs="Times New Roman"/>
            <w:color w:val="0000FF"/>
            <w:sz w:val="24"/>
            <w:szCs w:val="24"/>
            <w:u w:val="single"/>
          </w:rPr>
          <w:t>diopside</w:t>
        </w:r>
      </w:hyperlink>
      <w:r w:rsidRPr="0011152D">
        <w:rPr>
          <w:rFonts w:ascii="Times New Roman" w:eastAsia="Times New Roman" w:hAnsi="Times New Roman" w:cs="Times New Roman"/>
          <w:sz w:val="24"/>
          <w:szCs w:val="24"/>
        </w:rPr>
        <w:t xml:space="preserve"> melt (1.53 10</w:t>
      </w:r>
      <w:r w:rsidRPr="0011152D">
        <w:rPr>
          <w:rFonts w:ascii="Times New Roman" w:eastAsia="Times New Roman" w:hAnsi="Times New Roman" w:cs="Times New Roman"/>
          <w:sz w:val="24"/>
          <w:szCs w:val="24"/>
          <w:vertAlign w:val="superscript"/>
        </w:rPr>
        <w:t>−5</w:t>
      </w:r>
      <w:r w:rsidRPr="0011152D">
        <w:rPr>
          <w:rFonts w:ascii="Times New Roman" w:eastAsia="Times New Roman" w:hAnsi="Times New Roman" w:cs="Times New Roman"/>
          <w:sz w:val="24"/>
          <w:szCs w:val="24"/>
        </w:rPr>
        <w:t xml:space="preserve"> cm</w:t>
      </w:r>
      <w:r w:rsidRPr="0011152D">
        <w:rPr>
          <w:rFonts w:ascii="Times New Roman" w:eastAsia="Times New Roman" w:hAnsi="Times New Roman" w:cs="Times New Roman"/>
          <w:sz w:val="24"/>
          <w:szCs w:val="24"/>
          <w:vertAlign w:val="superscript"/>
        </w:rPr>
        <w:t>3</w:t>
      </w:r>
      <w:r w:rsidRPr="0011152D">
        <w:rPr>
          <w:rFonts w:ascii="Times New Roman" w:eastAsia="Times New Roman" w:hAnsi="Times New Roman" w:cs="Times New Roman"/>
          <w:sz w:val="24"/>
          <w:szCs w:val="24"/>
        </w:rPr>
        <w:t xml:space="preserve"> STP · g</w:t>
      </w:r>
      <w:r w:rsidRPr="0011152D">
        <w:rPr>
          <w:rFonts w:ascii="Times New Roman" w:eastAsia="Times New Roman" w:hAnsi="Times New Roman" w:cs="Times New Roman"/>
          <w:sz w:val="24"/>
          <w:szCs w:val="24"/>
          <w:vertAlign w:val="superscript"/>
        </w:rPr>
        <w:t>−1</w:t>
      </w:r>
      <w:r w:rsidRPr="0011152D">
        <w:rPr>
          <w:rFonts w:ascii="Times New Roman" w:eastAsia="Times New Roman" w:hAnsi="Times New Roman" w:cs="Times New Roman"/>
          <w:sz w:val="24"/>
          <w:szCs w:val="24"/>
        </w:rPr>
        <w:t> · bar</w:t>
      </w:r>
      <w:r w:rsidRPr="0011152D">
        <w:rPr>
          <w:rFonts w:ascii="Times New Roman" w:eastAsia="Times New Roman" w:hAnsi="Times New Roman" w:cs="Times New Roman"/>
          <w:sz w:val="24"/>
          <w:szCs w:val="24"/>
          <w:vertAlign w:val="superscript"/>
        </w:rPr>
        <w:t>−1</w:t>
      </w:r>
      <w:r w:rsidRPr="0011152D">
        <w:rPr>
          <w:rFonts w:ascii="Times New Roman" w:eastAsia="Times New Roman" w:hAnsi="Times New Roman" w:cs="Times New Roman"/>
          <w:sz w:val="24"/>
          <w:szCs w:val="24"/>
        </w:rPr>
        <w:t>) and highest in albite melt (2.88 10</w:t>
      </w:r>
      <w:r w:rsidRPr="0011152D">
        <w:rPr>
          <w:rFonts w:ascii="Times New Roman" w:eastAsia="Times New Roman" w:hAnsi="Times New Roman" w:cs="Times New Roman"/>
          <w:sz w:val="24"/>
          <w:szCs w:val="24"/>
          <w:vertAlign w:val="superscript"/>
        </w:rPr>
        <w:t>−4</w:t>
      </w:r>
      <w:r w:rsidRPr="0011152D">
        <w:rPr>
          <w:rFonts w:ascii="Times New Roman" w:eastAsia="Times New Roman" w:hAnsi="Times New Roman" w:cs="Times New Roman"/>
          <w:sz w:val="24"/>
          <w:szCs w:val="24"/>
        </w:rPr>
        <w:t xml:space="preserve"> cm</w:t>
      </w:r>
      <w:r w:rsidRPr="0011152D">
        <w:rPr>
          <w:rFonts w:ascii="Times New Roman" w:eastAsia="Times New Roman" w:hAnsi="Times New Roman" w:cs="Times New Roman"/>
          <w:sz w:val="24"/>
          <w:szCs w:val="24"/>
          <w:vertAlign w:val="superscript"/>
        </w:rPr>
        <w:t>3</w:t>
      </w:r>
      <w:r w:rsidRPr="0011152D">
        <w:rPr>
          <w:rFonts w:ascii="Times New Roman" w:eastAsia="Times New Roman" w:hAnsi="Times New Roman" w:cs="Times New Roman"/>
          <w:sz w:val="24"/>
          <w:szCs w:val="24"/>
        </w:rPr>
        <w:t xml:space="preserve"> STP · g</w:t>
      </w:r>
      <w:r w:rsidRPr="0011152D">
        <w:rPr>
          <w:rFonts w:ascii="Times New Roman" w:eastAsia="Times New Roman" w:hAnsi="Times New Roman" w:cs="Times New Roman"/>
          <w:sz w:val="24"/>
          <w:szCs w:val="24"/>
          <w:vertAlign w:val="superscript"/>
        </w:rPr>
        <w:t>−1</w:t>
      </w:r>
      <w:r w:rsidRPr="0011152D">
        <w:rPr>
          <w:rFonts w:ascii="Times New Roman" w:eastAsia="Times New Roman" w:hAnsi="Times New Roman" w:cs="Times New Roman"/>
          <w:sz w:val="24"/>
          <w:szCs w:val="24"/>
        </w:rPr>
        <w:t> · bar</w:t>
      </w:r>
      <w:r w:rsidRPr="0011152D">
        <w:rPr>
          <w:rFonts w:ascii="Times New Roman" w:eastAsia="Times New Roman" w:hAnsi="Times New Roman" w:cs="Times New Roman"/>
          <w:sz w:val="24"/>
          <w:szCs w:val="24"/>
          <w:vertAlign w:val="superscript"/>
        </w:rPr>
        <w:t>−1</w:t>
      </w:r>
      <w:r w:rsidRPr="0011152D">
        <w:rPr>
          <w:rFonts w:ascii="Times New Roman" w:eastAsia="Times New Roman" w:hAnsi="Times New Roman" w:cs="Times New Roman"/>
          <w:sz w:val="24"/>
          <w:szCs w:val="24"/>
        </w:rPr>
        <w:t xml:space="preserve">). For the </w:t>
      </w:r>
      <w:hyperlink r:id="rId9" w:tooltip="Learn more about tectosilicate from ScienceDirect's AI-generated Topic Pages" w:history="1">
        <w:r w:rsidRPr="0011152D">
          <w:rPr>
            <w:rFonts w:ascii="Times New Roman" w:eastAsia="Times New Roman" w:hAnsi="Times New Roman" w:cs="Times New Roman"/>
            <w:color w:val="0000FF"/>
            <w:sz w:val="24"/>
            <w:szCs w:val="24"/>
            <w:u w:val="single"/>
          </w:rPr>
          <w:t>tectosilicate</w:t>
        </w:r>
      </w:hyperlink>
      <w:r w:rsidRPr="0011152D">
        <w:rPr>
          <w:rFonts w:ascii="Times New Roman" w:eastAsia="Times New Roman" w:hAnsi="Times New Roman" w:cs="Times New Roman"/>
          <w:sz w:val="24"/>
          <w:szCs w:val="24"/>
        </w:rPr>
        <w:t xml:space="preserve"> joins studied (SiO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-Na</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4</w:t>
      </w:r>
      <w:r w:rsidRPr="0011152D">
        <w:rPr>
          <w:rFonts w:ascii="Times New Roman" w:eastAsia="Times New Roman" w:hAnsi="Times New Roman" w:cs="Times New Roman"/>
          <w:sz w:val="24"/>
          <w:szCs w:val="24"/>
        </w:rPr>
        <w:t>, 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-CaAl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4</w:t>
      </w:r>
      <w:r w:rsidRPr="0011152D">
        <w:rPr>
          <w:rFonts w:ascii="Times New Roman" w:eastAsia="Times New Roman" w:hAnsi="Times New Roman" w:cs="Times New Roman"/>
          <w:sz w:val="24"/>
          <w:szCs w:val="24"/>
        </w:rPr>
        <w:t>, 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-MgAl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4</w:t>
      </w:r>
      <w:r w:rsidRPr="0011152D">
        <w:rPr>
          <w:rFonts w:ascii="Times New Roman" w:eastAsia="Times New Roman" w:hAnsi="Times New Roman" w:cs="Times New Roman"/>
          <w:sz w:val="24"/>
          <w:szCs w:val="24"/>
        </w:rPr>
        <w:t xml:space="preserve">) solubility decreases with decreasing silica content in all cases, being highest for Na-bearing liquids and lowest for Mg-bearing liquids at constant molar silica content. Where comparison is possible our results are in good agreement with data from the literature. When our data are considered in </w:t>
      </w:r>
      <w:proofErr w:type="gramStart"/>
      <w:r w:rsidRPr="0011152D">
        <w:rPr>
          <w:rFonts w:ascii="Times New Roman" w:eastAsia="Times New Roman" w:hAnsi="Times New Roman" w:cs="Times New Roman"/>
          <w:sz w:val="24"/>
          <w:szCs w:val="24"/>
        </w:rPr>
        <w:t>isolation</w:t>
      </w:r>
      <w:proofErr w:type="gramEnd"/>
      <w:r w:rsidRPr="0011152D">
        <w:rPr>
          <w:rFonts w:ascii="Times New Roman" w:eastAsia="Times New Roman" w:hAnsi="Times New Roman" w:cs="Times New Roman"/>
          <w:sz w:val="24"/>
          <w:szCs w:val="24"/>
        </w:rPr>
        <w:t xml:space="preserve"> we find that argon solubility shows an excellent correlation with calculated ionic porosity. The covariation of argon solubility and liquid density is also reasonable, that with molar volume less convincing and that with polymerization state (as defined by the ratio of the number of nonbridging oxygens and tetrahedral network forming cations; NBO/T) nonexistent. However, when our data are combined with those from the literature no well constrained correlation between argon solubility and ionic porosity is apparent. Based upon this observation and consideration of the temperature dependence of noble gas solubility it is concluded that ionic porosity is not a universally applicable parameter which may be used to predict noble gas solubility as a function of composition, temperature and pressure. Two new models for calculating argon solubility are proposed, both employing the notion of partial molar argon solubilities. The first uses oxide components, for which partial molar argon solubility is directly proportional to partial molar ionic porosity calculated at 1873 K, irrespective of the temperature of experimental equilibration. The second model, which offers the best fit to the available data, employs tetrahedral units rather than oxides as the proposed melt components. This latter model successfully accounts for reported argon solubilities in simple Al-free systems, in simple Al-bearing systems and in natural liquids. This is interpreted to infer that argon is incorporated in large sites in the liquid structure (such as the space within rings of </w:t>
      </w:r>
      <w:r w:rsidRPr="0011152D">
        <w:rPr>
          <w:rFonts w:ascii="Times New Roman" w:eastAsia="Times New Roman" w:hAnsi="Times New Roman" w:cs="Times New Roman"/>
          <w:i/>
          <w:iCs/>
          <w:sz w:val="24"/>
          <w:szCs w:val="24"/>
        </w:rPr>
        <w:t>n</w:t>
      </w:r>
      <w:r w:rsidRPr="0011152D">
        <w:rPr>
          <w:rFonts w:ascii="Times New Roman" w:eastAsia="Times New Roman" w:hAnsi="Times New Roman" w:cs="Times New Roman"/>
          <w:sz w:val="24"/>
          <w:szCs w:val="24"/>
        </w:rPr>
        <w:t>-tetrahedra) although further work is required to understand the quantitative links between melt structure and noble gas solubility.</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Introduction</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Noble gases are present in low but measurable abundance in many geological systems and are considered powerful tracers of a wide range of geological processes (e.g., Marty and </w:t>
      </w:r>
      <w:proofErr w:type="spellStart"/>
      <w:r w:rsidRPr="0011152D">
        <w:rPr>
          <w:rFonts w:ascii="Times New Roman" w:eastAsia="Times New Roman" w:hAnsi="Times New Roman" w:cs="Times New Roman"/>
          <w:sz w:val="24"/>
          <w:szCs w:val="24"/>
        </w:rPr>
        <w:t>Ozima</w:t>
      </w:r>
      <w:proofErr w:type="spellEnd"/>
      <w:r w:rsidRPr="0011152D">
        <w:rPr>
          <w:rFonts w:ascii="Times New Roman" w:eastAsia="Times New Roman" w:hAnsi="Times New Roman" w:cs="Times New Roman"/>
          <w:sz w:val="24"/>
          <w:szCs w:val="24"/>
        </w:rPr>
        <w:t xml:space="preserve"> 1986, </w:t>
      </w:r>
      <w:proofErr w:type="spellStart"/>
      <w:r w:rsidRPr="0011152D">
        <w:rPr>
          <w:rFonts w:ascii="Times New Roman" w:eastAsia="Times New Roman" w:hAnsi="Times New Roman" w:cs="Times New Roman"/>
          <w:sz w:val="24"/>
          <w:szCs w:val="24"/>
        </w:rPr>
        <w:t>Javoy</w:t>
      </w:r>
      <w:proofErr w:type="spellEnd"/>
      <w:r w:rsidRPr="0011152D">
        <w:rPr>
          <w:rFonts w:ascii="Times New Roman" w:eastAsia="Times New Roman" w:hAnsi="Times New Roman" w:cs="Times New Roman"/>
          <w:sz w:val="24"/>
          <w:szCs w:val="24"/>
        </w:rPr>
        <w:t xml:space="preserve"> and </w:t>
      </w:r>
      <w:proofErr w:type="spellStart"/>
      <w:r w:rsidRPr="0011152D">
        <w:rPr>
          <w:rFonts w:ascii="Times New Roman" w:eastAsia="Times New Roman" w:hAnsi="Times New Roman" w:cs="Times New Roman"/>
          <w:sz w:val="24"/>
          <w:szCs w:val="24"/>
        </w:rPr>
        <w:t>Pineau</w:t>
      </w:r>
      <w:proofErr w:type="spellEnd"/>
      <w:r w:rsidRPr="0011152D">
        <w:rPr>
          <w:rFonts w:ascii="Times New Roman" w:eastAsia="Times New Roman" w:hAnsi="Times New Roman" w:cs="Times New Roman"/>
          <w:sz w:val="24"/>
          <w:szCs w:val="24"/>
        </w:rPr>
        <w:t xml:space="preserve"> 1991). However, in magmatic rocks interpretation of noble gas abundances and ratios requires knowledge of the solubility and partitioning behavior of these elements between gas, </w:t>
      </w:r>
      <w:r w:rsidRPr="0011152D">
        <w:rPr>
          <w:rFonts w:ascii="Times New Roman" w:eastAsia="Times New Roman" w:hAnsi="Times New Roman" w:cs="Times New Roman"/>
          <w:sz w:val="24"/>
          <w:szCs w:val="24"/>
        </w:rPr>
        <w:lastRenderedPageBreak/>
        <w:t xml:space="preserve">silicate liquid and crystals as a function of pressure, temperature and composition. This has led to a large number of studies of the solubility of noble gases in silicate melts (e.g., </w:t>
      </w:r>
      <w:proofErr w:type="spellStart"/>
      <w:r w:rsidRPr="0011152D">
        <w:rPr>
          <w:rFonts w:ascii="Times New Roman" w:eastAsia="Times New Roman" w:hAnsi="Times New Roman" w:cs="Times New Roman"/>
          <w:sz w:val="24"/>
          <w:szCs w:val="24"/>
        </w:rPr>
        <w:t>Doremus</w:t>
      </w:r>
      <w:proofErr w:type="spellEnd"/>
      <w:r w:rsidRPr="0011152D">
        <w:rPr>
          <w:rFonts w:ascii="Times New Roman" w:eastAsia="Times New Roman" w:hAnsi="Times New Roman" w:cs="Times New Roman"/>
          <w:sz w:val="24"/>
          <w:szCs w:val="24"/>
        </w:rPr>
        <w:t xml:space="preserve"> 1966, </w:t>
      </w:r>
      <w:proofErr w:type="spellStart"/>
      <w:r w:rsidRPr="0011152D">
        <w:rPr>
          <w:rFonts w:ascii="Times New Roman" w:eastAsia="Times New Roman" w:hAnsi="Times New Roman" w:cs="Times New Roman"/>
          <w:sz w:val="24"/>
          <w:szCs w:val="24"/>
        </w:rPr>
        <w:t>Doremus</w:t>
      </w:r>
      <w:proofErr w:type="spellEnd"/>
      <w:r w:rsidRPr="0011152D">
        <w:rPr>
          <w:rFonts w:ascii="Times New Roman" w:eastAsia="Times New Roman" w:hAnsi="Times New Roman" w:cs="Times New Roman"/>
          <w:sz w:val="24"/>
          <w:szCs w:val="24"/>
        </w:rPr>
        <w:t xml:space="preserve"> 1973, Kirsten 1968, </w:t>
      </w:r>
      <w:proofErr w:type="spellStart"/>
      <w:r w:rsidRPr="0011152D">
        <w:rPr>
          <w:rFonts w:ascii="Times New Roman" w:eastAsia="Times New Roman" w:hAnsi="Times New Roman" w:cs="Times New Roman"/>
          <w:sz w:val="24"/>
          <w:szCs w:val="24"/>
        </w:rPr>
        <w:t>Studt</w:t>
      </w:r>
      <w:proofErr w:type="spellEnd"/>
      <w:r w:rsidRPr="0011152D">
        <w:rPr>
          <w:rFonts w:ascii="Times New Roman" w:eastAsia="Times New Roman" w:hAnsi="Times New Roman" w:cs="Times New Roman"/>
          <w:sz w:val="24"/>
          <w:szCs w:val="24"/>
        </w:rPr>
        <w:t xml:space="preserve"> et al 1970, Perkins and </w:t>
      </w:r>
      <w:proofErr w:type="spellStart"/>
      <w:r w:rsidRPr="0011152D">
        <w:rPr>
          <w:rFonts w:ascii="Times New Roman" w:eastAsia="Times New Roman" w:hAnsi="Times New Roman" w:cs="Times New Roman"/>
          <w:sz w:val="24"/>
          <w:szCs w:val="24"/>
        </w:rPr>
        <w:t>Begeal</w:t>
      </w:r>
      <w:proofErr w:type="spellEnd"/>
      <w:r w:rsidRPr="0011152D">
        <w:rPr>
          <w:rFonts w:ascii="Times New Roman" w:eastAsia="Times New Roman" w:hAnsi="Times New Roman" w:cs="Times New Roman"/>
          <w:sz w:val="24"/>
          <w:szCs w:val="24"/>
        </w:rPr>
        <w:t xml:space="preserve"> 1971, Shackelford et al 1972, Shelby 1972a, Shelby 1972b, Shelby and Eagan 1976, </w:t>
      </w:r>
      <w:proofErr w:type="spellStart"/>
      <w:r w:rsidRPr="0011152D">
        <w:rPr>
          <w:rFonts w:ascii="Times New Roman" w:eastAsia="Times New Roman" w:hAnsi="Times New Roman" w:cs="Times New Roman"/>
          <w:sz w:val="24"/>
          <w:szCs w:val="24"/>
        </w:rPr>
        <w:t>Hayatsu</w:t>
      </w:r>
      <w:proofErr w:type="spellEnd"/>
      <w:r w:rsidRPr="0011152D">
        <w:rPr>
          <w:rFonts w:ascii="Times New Roman" w:eastAsia="Times New Roman" w:hAnsi="Times New Roman" w:cs="Times New Roman"/>
          <w:sz w:val="24"/>
          <w:szCs w:val="24"/>
        </w:rPr>
        <w:t xml:space="preserve"> and </w:t>
      </w:r>
      <w:proofErr w:type="spellStart"/>
      <w:r w:rsidRPr="0011152D">
        <w:rPr>
          <w:rFonts w:ascii="Times New Roman" w:eastAsia="Times New Roman" w:hAnsi="Times New Roman" w:cs="Times New Roman"/>
          <w:sz w:val="24"/>
          <w:szCs w:val="24"/>
        </w:rPr>
        <w:t>Waboso</w:t>
      </w:r>
      <w:proofErr w:type="spellEnd"/>
      <w:r w:rsidRPr="0011152D">
        <w:rPr>
          <w:rFonts w:ascii="Times New Roman" w:eastAsia="Times New Roman" w:hAnsi="Times New Roman" w:cs="Times New Roman"/>
          <w:sz w:val="24"/>
          <w:szCs w:val="24"/>
        </w:rPr>
        <w:t xml:space="preserve"> 1985, </w:t>
      </w:r>
      <w:proofErr w:type="spellStart"/>
      <w:r w:rsidRPr="0011152D">
        <w:rPr>
          <w:rFonts w:ascii="Times New Roman" w:eastAsia="Times New Roman" w:hAnsi="Times New Roman" w:cs="Times New Roman"/>
          <w:sz w:val="24"/>
          <w:szCs w:val="24"/>
        </w:rPr>
        <w:t>Jambon</w:t>
      </w:r>
      <w:proofErr w:type="spellEnd"/>
      <w:r w:rsidRPr="0011152D">
        <w:rPr>
          <w:rFonts w:ascii="Times New Roman" w:eastAsia="Times New Roman" w:hAnsi="Times New Roman" w:cs="Times New Roman"/>
          <w:sz w:val="24"/>
          <w:szCs w:val="24"/>
        </w:rPr>
        <w:t xml:space="preserve"> et al 1986, </w:t>
      </w:r>
      <w:proofErr w:type="spellStart"/>
      <w:r w:rsidRPr="0011152D">
        <w:rPr>
          <w:rFonts w:ascii="Times New Roman" w:eastAsia="Times New Roman" w:hAnsi="Times New Roman" w:cs="Times New Roman"/>
          <w:sz w:val="24"/>
          <w:szCs w:val="24"/>
        </w:rPr>
        <w:t>Jambon</w:t>
      </w:r>
      <w:proofErr w:type="spellEnd"/>
      <w:r w:rsidRPr="0011152D">
        <w:rPr>
          <w:rFonts w:ascii="Times New Roman" w:eastAsia="Times New Roman" w:hAnsi="Times New Roman" w:cs="Times New Roman"/>
          <w:sz w:val="24"/>
          <w:szCs w:val="24"/>
        </w:rPr>
        <w:t xml:space="preserve"> 1987, Lux 1987, White et al 1989, </w:t>
      </w:r>
      <w:proofErr w:type="spellStart"/>
      <w:r w:rsidRPr="0011152D">
        <w:rPr>
          <w:rFonts w:ascii="Times New Roman" w:eastAsia="Times New Roman" w:hAnsi="Times New Roman" w:cs="Times New Roman"/>
          <w:sz w:val="24"/>
          <w:szCs w:val="24"/>
        </w:rPr>
        <w:t>Chennaoui-Aoudjehane</w:t>
      </w:r>
      <w:proofErr w:type="spellEnd"/>
      <w:r w:rsidRPr="0011152D">
        <w:rPr>
          <w:rFonts w:ascii="Times New Roman" w:eastAsia="Times New Roman" w:hAnsi="Times New Roman" w:cs="Times New Roman"/>
          <w:sz w:val="24"/>
          <w:szCs w:val="24"/>
        </w:rPr>
        <w:t xml:space="preserve"> and </w:t>
      </w:r>
      <w:proofErr w:type="spellStart"/>
      <w:r w:rsidRPr="0011152D">
        <w:rPr>
          <w:rFonts w:ascii="Times New Roman" w:eastAsia="Times New Roman" w:hAnsi="Times New Roman" w:cs="Times New Roman"/>
          <w:sz w:val="24"/>
          <w:szCs w:val="24"/>
        </w:rPr>
        <w:t>Jambon</w:t>
      </w:r>
      <w:proofErr w:type="spellEnd"/>
      <w:r w:rsidRPr="0011152D">
        <w:rPr>
          <w:rFonts w:ascii="Times New Roman" w:eastAsia="Times New Roman" w:hAnsi="Times New Roman" w:cs="Times New Roman"/>
          <w:sz w:val="24"/>
          <w:szCs w:val="24"/>
        </w:rPr>
        <w:t xml:space="preserve"> 1990, Broadhurst et al 1990, Broadhurst et al 1992,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xml:space="preserve"> 1991,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xml:space="preserve"> 1993, </w:t>
      </w:r>
      <w:proofErr w:type="spellStart"/>
      <w:r w:rsidRPr="0011152D">
        <w:rPr>
          <w:rFonts w:ascii="Times New Roman" w:eastAsia="Times New Roman" w:hAnsi="Times New Roman" w:cs="Times New Roman"/>
          <w:sz w:val="24"/>
          <w:szCs w:val="24"/>
        </w:rPr>
        <w:t>Roselieb</w:t>
      </w:r>
      <w:proofErr w:type="spellEnd"/>
      <w:r w:rsidRPr="0011152D">
        <w:rPr>
          <w:rFonts w:ascii="Times New Roman" w:eastAsia="Times New Roman" w:hAnsi="Times New Roman" w:cs="Times New Roman"/>
          <w:sz w:val="24"/>
          <w:szCs w:val="24"/>
        </w:rPr>
        <w:t xml:space="preserve"> et al 1992, Shibata et al 1996, Shibata et al 1998, Nuccio and </w:t>
      </w:r>
      <w:proofErr w:type="spellStart"/>
      <w:r w:rsidRPr="0011152D">
        <w:rPr>
          <w:rFonts w:ascii="Times New Roman" w:eastAsia="Times New Roman" w:hAnsi="Times New Roman" w:cs="Times New Roman"/>
          <w:sz w:val="24"/>
          <w:szCs w:val="24"/>
        </w:rPr>
        <w:t>Paonita</w:t>
      </w:r>
      <w:proofErr w:type="spellEnd"/>
      <w:r w:rsidRPr="0011152D">
        <w:rPr>
          <w:rFonts w:ascii="Times New Roman" w:eastAsia="Times New Roman" w:hAnsi="Times New Roman" w:cs="Times New Roman"/>
          <w:sz w:val="24"/>
          <w:szCs w:val="24"/>
        </w:rPr>
        <w:t xml:space="preserve"> 2000, Miyazaki et al 2004). The results of these studies show that noble gas solubility obeys Henry’s law for pressures less than 10</w:t>
      </w:r>
      <w:r w:rsidRPr="0011152D">
        <w:rPr>
          <w:rFonts w:ascii="Times New Roman" w:eastAsia="Times New Roman" w:hAnsi="Times New Roman" w:cs="Times New Roman"/>
          <w:sz w:val="24"/>
          <w:szCs w:val="24"/>
          <w:vertAlign w:val="superscript"/>
        </w:rPr>
        <w:t>3</w:t>
      </w:r>
      <w:r w:rsidRPr="0011152D">
        <w:rPr>
          <w:rFonts w:ascii="Times New Roman" w:eastAsia="Times New Roman" w:hAnsi="Times New Roman" w:cs="Times New Roman"/>
          <w:sz w:val="24"/>
          <w:szCs w:val="24"/>
        </w:rPr>
        <w:t xml:space="preserve"> bars and is only weakly dependent on temperature. On the other hand, solubility is a sensitive function of liquid composition and the atomic radius of the noble gas (e.g.,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1993). The ability to predict how solubility varies as a function of liquid composition for different gases therefore requires some understanding of how the noble gases are incorporated in the melt structure, information which may in turn lead to a better understanding of the dissolution mechanism of other neutral species such as H</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 CO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 xml:space="preserve"> and N</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 xml:space="preserve"> (Blank et al 1993, Miyazaki et al 1995, Miyazaki et al 2004, Humbert et al 1999). Although some models of noble gas solubility are empiric (e.g., </w:t>
      </w:r>
      <w:proofErr w:type="spellStart"/>
      <w:r w:rsidRPr="0011152D">
        <w:rPr>
          <w:rFonts w:ascii="Times New Roman" w:eastAsia="Times New Roman" w:hAnsi="Times New Roman" w:cs="Times New Roman"/>
          <w:sz w:val="24"/>
          <w:szCs w:val="24"/>
        </w:rPr>
        <w:t>Jambon</w:t>
      </w:r>
      <w:proofErr w:type="spellEnd"/>
      <w:r w:rsidRPr="0011152D">
        <w:rPr>
          <w:rFonts w:ascii="Times New Roman" w:eastAsia="Times New Roman" w:hAnsi="Times New Roman" w:cs="Times New Roman"/>
          <w:sz w:val="24"/>
          <w:szCs w:val="24"/>
        </w:rPr>
        <w:t xml:space="preserve"> 1987, </w:t>
      </w:r>
      <w:proofErr w:type="spellStart"/>
      <w:r w:rsidRPr="0011152D">
        <w:rPr>
          <w:rFonts w:ascii="Times New Roman" w:eastAsia="Times New Roman" w:hAnsi="Times New Roman" w:cs="Times New Roman"/>
          <w:sz w:val="24"/>
          <w:szCs w:val="24"/>
        </w:rPr>
        <w:t>Chennaoui-Aoudjehane</w:t>
      </w:r>
      <w:proofErr w:type="spellEnd"/>
      <w:r w:rsidRPr="0011152D">
        <w:rPr>
          <w:rFonts w:ascii="Times New Roman" w:eastAsia="Times New Roman" w:hAnsi="Times New Roman" w:cs="Times New Roman"/>
          <w:sz w:val="24"/>
          <w:szCs w:val="24"/>
        </w:rPr>
        <w:t xml:space="preserve"> and </w:t>
      </w:r>
      <w:proofErr w:type="spellStart"/>
      <w:r w:rsidRPr="0011152D">
        <w:rPr>
          <w:rFonts w:ascii="Times New Roman" w:eastAsia="Times New Roman" w:hAnsi="Times New Roman" w:cs="Times New Roman"/>
          <w:sz w:val="24"/>
          <w:szCs w:val="24"/>
        </w:rPr>
        <w:t>Jambon</w:t>
      </w:r>
      <w:proofErr w:type="spellEnd"/>
      <w:r w:rsidRPr="0011152D">
        <w:rPr>
          <w:rFonts w:ascii="Times New Roman" w:eastAsia="Times New Roman" w:hAnsi="Times New Roman" w:cs="Times New Roman"/>
          <w:sz w:val="24"/>
          <w:szCs w:val="24"/>
        </w:rPr>
        <w:t xml:space="preserve"> 1990), others have tried to relate solubility to some physical characteristic of the melt. For example, Lux (1987) reported that noble gas solubility is well correlated with melt density, denser melts having lower solubilities. Similarly, good correlations have been found between molar volume and solubility (Broadhurst et al 1990, Broadhurst et al 1992). More recently,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xml:space="preserve"> (1993) showed that noble gas solubility is better correlated with ionic porosity (a measure of the “free space” in a material defined as the difference between the total molar volume and the volume occupied by the constituent atoms; </w:t>
      </w:r>
      <w:proofErr w:type="spellStart"/>
      <w:r w:rsidRPr="0011152D">
        <w:rPr>
          <w:rFonts w:ascii="Times New Roman" w:eastAsia="Times New Roman" w:hAnsi="Times New Roman" w:cs="Times New Roman"/>
          <w:sz w:val="24"/>
          <w:szCs w:val="24"/>
        </w:rPr>
        <w:t>Dowty</w:t>
      </w:r>
      <w:proofErr w:type="spellEnd"/>
      <w:r w:rsidRPr="0011152D">
        <w:rPr>
          <w:rFonts w:ascii="Times New Roman" w:eastAsia="Times New Roman" w:hAnsi="Times New Roman" w:cs="Times New Roman"/>
          <w:sz w:val="24"/>
          <w:szCs w:val="24"/>
        </w:rPr>
        <w:t xml:space="preserve"> 1980, Fortier and </w:t>
      </w:r>
      <w:proofErr w:type="spellStart"/>
      <w:r w:rsidRPr="0011152D">
        <w:rPr>
          <w:rFonts w:ascii="Times New Roman" w:eastAsia="Times New Roman" w:hAnsi="Times New Roman" w:cs="Times New Roman"/>
          <w:sz w:val="24"/>
          <w:szCs w:val="24"/>
        </w:rPr>
        <w:t>Giletti</w:t>
      </w:r>
      <w:proofErr w:type="spellEnd"/>
      <w:r w:rsidRPr="0011152D">
        <w:rPr>
          <w:rFonts w:ascii="Times New Roman" w:eastAsia="Times New Roman" w:hAnsi="Times New Roman" w:cs="Times New Roman"/>
          <w:sz w:val="24"/>
          <w:szCs w:val="24"/>
        </w:rPr>
        <w:t xml:space="preserve"> 1989) than either liquid density or molar volume. However, although the correlations between gas solubility and ionic porosity are excellent for natural liquids, for simplified synthetic systems such as CaO-MgO-Al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3</w:t>
      </w:r>
      <w:r w:rsidRPr="0011152D">
        <w:rPr>
          <w:rFonts w:ascii="Times New Roman" w:eastAsia="Times New Roman" w:hAnsi="Times New Roman" w:cs="Times New Roman"/>
          <w:sz w:val="24"/>
          <w:szCs w:val="24"/>
        </w:rPr>
        <w:t>-SiO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 xml:space="preserve">, solubility and ionic porosity do not follow the same correlation as natural liquids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1993). Furthermore, new data in Al-free systems also imply that ionic porosity may not be the factor controlling noble gas solubility in silicate melts (Shibata et al 1996, Shibata et al 1998). These latter authors proposed that it is the 3D structure of silicate melts which controls noble gas solubility, polymerized units in the melt being associated with higher gas solubility than depolymerized units. However, application of these ideas to the case of Al-bearing liquids is not straightforward (Shibata et al., 1998) and at the present time it remains unclear exactly how melt structure and noble gas solubility are related.</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This state of affairs has led us to reassess the factors affecting noble gas solubility in silicate melts. In particular we have studied the role played by </w:t>
      </w:r>
      <w:proofErr w:type="spellStart"/>
      <w:r w:rsidRPr="0011152D">
        <w:rPr>
          <w:rFonts w:ascii="Times New Roman" w:eastAsia="Times New Roman" w:hAnsi="Times New Roman" w:cs="Times New Roman"/>
          <w:sz w:val="24"/>
          <w:szCs w:val="24"/>
        </w:rPr>
        <w:t>aluminium</w:t>
      </w:r>
      <w:proofErr w:type="spellEnd"/>
      <w:r w:rsidRPr="0011152D">
        <w:rPr>
          <w:rFonts w:ascii="Times New Roman" w:eastAsia="Times New Roman" w:hAnsi="Times New Roman" w:cs="Times New Roman"/>
          <w:sz w:val="24"/>
          <w:szCs w:val="24"/>
        </w:rPr>
        <w:t>, extending the work of Shibata et al 1996, Shibata et al 1998) in Al-free systems. The 38 liquids in the system CaO-MgO-Na</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3</w:t>
      </w:r>
      <w:r w:rsidRPr="0011152D">
        <w:rPr>
          <w:rFonts w:ascii="Times New Roman" w:eastAsia="Times New Roman" w:hAnsi="Times New Roman" w:cs="Times New Roman"/>
          <w:sz w:val="24"/>
          <w:szCs w:val="24"/>
        </w:rPr>
        <w:t>-SiO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 xml:space="preserve"> have been equilibrated with pure argon at 1873 K, providing a database which may be used to constrain to what extent ionic porosity and/or polymerization state control gas solubility. These data are then combined with data from the literature to propose a simple predictive model for argon solubility in silicate melts which is valid for both natural and synthetic compositions.</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Section snippets</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Choice of Compositions</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A five component system (CaO-MgO-Na</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O-Al</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O</w:t>
      </w:r>
      <w:r w:rsidRPr="0011152D">
        <w:rPr>
          <w:rFonts w:ascii="Times New Roman" w:eastAsia="Times New Roman" w:hAnsi="Times New Roman" w:cs="Times New Roman"/>
          <w:sz w:val="24"/>
          <w:szCs w:val="24"/>
          <w:vertAlign w:val="subscript"/>
        </w:rPr>
        <w:t>3</w:t>
      </w:r>
      <w:r w:rsidRPr="0011152D">
        <w:rPr>
          <w:rFonts w:ascii="Times New Roman" w:eastAsia="Times New Roman" w:hAnsi="Times New Roman" w:cs="Times New Roman"/>
          <w:sz w:val="24"/>
          <w:szCs w:val="24"/>
        </w:rPr>
        <w:t>-SiO</w:t>
      </w:r>
      <w:r w:rsidRPr="0011152D">
        <w:rPr>
          <w:rFonts w:ascii="Times New Roman" w:eastAsia="Times New Roman" w:hAnsi="Times New Roman" w:cs="Times New Roman"/>
          <w:sz w:val="24"/>
          <w:szCs w:val="24"/>
          <w:vertAlign w:val="subscript"/>
        </w:rPr>
        <w:t>2</w:t>
      </w:r>
      <w:r w:rsidRPr="0011152D">
        <w:rPr>
          <w:rFonts w:ascii="Times New Roman" w:eastAsia="Times New Roman" w:hAnsi="Times New Roman" w:cs="Times New Roman"/>
          <w:sz w:val="24"/>
          <w:szCs w:val="24"/>
        </w:rPr>
        <w:t xml:space="preserve">) was chosen for this study, with the aim of understanding why data from simplified systems (e.g., White et al 1989, Broadhurst et al 1992, Shibata et al 1996, Shibata et al 1998) do not show the same correlation between noble gas </w:t>
      </w:r>
      <w:r w:rsidRPr="0011152D">
        <w:rPr>
          <w:rFonts w:ascii="Times New Roman" w:eastAsia="Times New Roman" w:hAnsi="Times New Roman" w:cs="Times New Roman"/>
          <w:sz w:val="24"/>
          <w:szCs w:val="24"/>
        </w:rPr>
        <w:lastRenderedPageBreak/>
        <w:t xml:space="preserve">solubility and ionic solubility as data from natural melt compositions (e.g., </w:t>
      </w:r>
      <w:proofErr w:type="spellStart"/>
      <w:r w:rsidRPr="0011152D">
        <w:rPr>
          <w:rFonts w:ascii="Times New Roman" w:eastAsia="Times New Roman" w:hAnsi="Times New Roman" w:cs="Times New Roman"/>
          <w:sz w:val="24"/>
          <w:szCs w:val="24"/>
        </w:rPr>
        <w:t>Hayatsu</w:t>
      </w:r>
      <w:proofErr w:type="spellEnd"/>
      <w:r w:rsidRPr="0011152D">
        <w:rPr>
          <w:rFonts w:ascii="Times New Roman" w:eastAsia="Times New Roman" w:hAnsi="Times New Roman" w:cs="Times New Roman"/>
          <w:sz w:val="24"/>
          <w:szCs w:val="24"/>
        </w:rPr>
        <w:t xml:space="preserve"> and </w:t>
      </w:r>
      <w:proofErr w:type="spellStart"/>
      <w:r w:rsidRPr="0011152D">
        <w:rPr>
          <w:rFonts w:ascii="Times New Roman" w:eastAsia="Times New Roman" w:hAnsi="Times New Roman" w:cs="Times New Roman"/>
          <w:sz w:val="24"/>
          <w:szCs w:val="24"/>
        </w:rPr>
        <w:t>Waboso</w:t>
      </w:r>
      <w:proofErr w:type="spellEnd"/>
      <w:r w:rsidRPr="0011152D">
        <w:rPr>
          <w:rFonts w:ascii="Times New Roman" w:eastAsia="Times New Roman" w:hAnsi="Times New Roman" w:cs="Times New Roman"/>
          <w:sz w:val="24"/>
          <w:szCs w:val="24"/>
        </w:rPr>
        <w:t xml:space="preserve"> 1985, </w:t>
      </w:r>
      <w:proofErr w:type="spellStart"/>
      <w:r w:rsidRPr="0011152D">
        <w:rPr>
          <w:rFonts w:ascii="Times New Roman" w:eastAsia="Times New Roman" w:hAnsi="Times New Roman" w:cs="Times New Roman"/>
          <w:sz w:val="24"/>
          <w:szCs w:val="24"/>
        </w:rPr>
        <w:t>Jambon</w:t>
      </w:r>
      <w:proofErr w:type="spellEnd"/>
      <w:r w:rsidRPr="0011152D">
        <w:rPr>
          <w:rFonts w:ascii="Times New Roman" w:eastAsia="Times New Roman" w:hAnsi="Times New Roman" w:cs="Times New Roman"/>
          <w:sz w:val="24"/>
          <w:szCs w:val="24"/>
        </w:rPr>
        <w:t xml:space="preserve"> 1987, Lux 1987, White et al 1989,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xml:space="preserve"> 1993). The compositions (summarized in Table 1) were</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Generalities</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Measured solubilities and associated uncertainties are provided in Table 2 and illustrated in Fig. 1, Fig. 2, Fig. 3. Solubilities are measured in cm</w:t>
      </w:r>
      <w:r w:rsidRPr="0011152D">
        <w:rPr>
          <w:rFonts w:ascii="Times New Roman" w:eastAsia="Times New Roman" w:hAnsi="Times New Roman" w:cs="Times New Roman"/>
          <w:sz w:val="24"/>
          <w:szCs w:val="24"/>
          <w:vertAlign w:val="superscript"/>
        </w:rPr>
        <w:t>3</w:t>
      </w:r>
      <w:r w:rsidRPr="0011152D">
        <w:rPr>
          <w:rFonts w:ascii="Times New Roman" w:eastAsia="Times New Roman" w:hAnsi="Times New Roman" w:cs="Times New Roman"/>
          <w:sz w:val="24"/>
          <w:szCs w:val="24"/>
        </w:rPr>
        <w:t xml:space="preserve"> STP per gram of glass. Alternatively, solubilities may be expressed in terms of relative mole fraction (moles of </w:t>
      </w:r>
      <w:proofErr w:type="spellStart"/>
      <w:r w:rsidRPr="0011152D">
        <w:rPr>
          <w:rFonts w:ascii="Times New Roman" w:eastAsia="Times New Roman" w:hAnsi="Times New Roman" w:cs="Times New Roman"/>
          <w:sz w:val="24"/>
          <w:szCs w:val="24"/>
        </w:rPr>
        <w:t>Ar</w:t>
      </w:r>
      <w:proofErr w:type="spellEnd"/>
      <w:r w:rsidRPr="0011152D">
        <w:rPr>
          <w:rFonts w:ascii="Times New Roman" w:eastAsia="Times New Roman" w:hAnsi="Times New Roman" w:cs="Times New Roman"/>
          <w:sz w:val="24"/>
          <w:szCs w:val="24"/>
        </w:rPr>
        <w:t xml:space="preserve"> per gram formula weight of silicate melt). These values may be compared with those of other studies, notably at higher pressure, through definition of Henry’s law constant, </w:t>
      </w:r>
      <w:proofErr w:type="spellStart"/>
      <w:r w:rsidRPr="0011152D">
        <w:rPr>
          <w:rFonts w:ascii="Times New Roman" w:eastAsia="Times New Roman" w:hAnsi="Times New Roman" w:cs="Times New Roman"/>
          <w:sz w:val="24"/>
          <w:szCs w:val="24"/>
        </w:rPr>
        <w:t>H</w:t>
      </w:r>
      <w:r w:rsidRPr="0011152D">
        <w:rPr>
          <w:rFonts w:ascii="Times New Roman" w:eastAsia="Times New Roman" w:hAnsi="Times New Roman" w:cs="Times New Roman"/>
          <w:sz w:val="24"/>
          <w:szCs w:val="24"/>
          <w:vertAlign w:val="subscript"/>
        </w:rPr>
        <w:t>Ar</w:t>
      </w:r>
      <w:proofErr w:type="spellEnd"/>
      <w:r w:rsidRPr="0011152D">
        <w:rPr>
          <w:rFonts w:ascii="Times New Roman" w:eastAsia="Times New Roman" w:hAnsi="Times New Roman" w:cs="Times New Roman"/>
          <w:sz w:val="24"/>
          <w:szCs w:val="24"/>
        </w:rPr>
        <w:t xml:space="preserve">, defined as: </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where </w:t>
      </w:r>
      <w:proofErr w:type="spellStart"/>
      <w:r w:rsidRPr="0011152D">
        <w:rPr>
          <w:rFonts w:ascii="Times New Roman" w:eastAsia="Times New Roman" w:hAnsi="Times New Roman" w:cs="Times New Roman"/>
          <w:sz w:val="24"/>
          <w:szCs w:val="24"/>
        </w:rPr>
        <w:t>X</w:t>
      </w:r>
      <w:r w:rsidRPr="0011152D">
        <w:rPr>
          <w:rFonts w:ascii="Times New Roman" w:eastAsia="Times New Roman" w:hAnsi="Times New Roman" w:cs="Times New Roman"/>
          <w:sz w:val="24"/>
          <w:szCs w:val="24"/>
          <w:vertAlign w:val="subscript"/>
        </w:rPr>
        <w:t>Ar</w:t>
      </w:r>
      <w:proofErr w:type="spellEnd"/>
      <w:r w:rsidRPr="0011152D">
        <w:rPr>
          <w:rFonts w:ascii="Times New Roman" w:eastAsia="Times New Roman" w:hAnsi="Times New Roman" w:cs="Times New Roman"/>
          <w:sz w:val="24"/>
          <w:szCs w:val="24"/>
        </w:rPr>
        <w:t xml:space="preserve"> is the argon</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Data from this study</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The fact that argon solubility is a sensitive function of melt composition is confirmed by our data (Fig. 1, Fig. 2, Fig. 3). As stated above, various models have been proposed in the literature which relate noble gas solubility to some physical characteristic of the melt, in particular, liquid density (Lux 1987, White et al 1989), molar volume (Broadhurst et al 1990, Broadhurst et al 1992), ionic porosity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1993) and polymerization state (Shibata et al 1996, Shibata et al</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Concluding remarks</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The results of this study confirm the important role of melt composition on argon solubility in silicate liquids (Lux 1987, Carroll and </w:t>
      </w:r>
      <w:proofErr w:type="spellStart"/>
      <w:r w:rsidRPr="0011152D">
        <w:rPr>
          <w:rFonts w:ascii="Times New Roman" w:eastAsia="Times New Roman" w:hAnsi="Times New Roman" w:cs="Times New Roman"/>
          <w:sz w:val="24"/>
          <w:szCs w:val="24"/>
        </w:rPr>
        <w:t>Stolper</w:t>
      </w:r>
      <w:proofErr w:type="spellEnd"/>
      <w:r w:rsidRPr="0011152D">
        <w:rPr>
          <w:rFonts w:ascii="Times New Roman" w:eastAsia="Times New Roman" w:hAnsi="Times New Roman" w:cs="Times New Roman"/>
          <w:sz w:val="24"/>
          <w:szCs w:val="24"/>
        </w:rPr>
        <w:t xml:space="preserve"> 1993, Shibata et al 1996, Shibata et al 1998). However, the quantitative link between the physical characteristics of the melt and argon solubility is still not clear although it is concluded that ionic porosity is not a universally applicable parameter which may be used to predict noble gas solubility as a function of composition, temperature and</w:t>
      </w:r>
    </w:p>
    <w:p w:rsidR="0011152D" w:rsidRPr="0011152D" w:rsidRDefault="0011152D" w:rsidP="0011152D">
      <w:pPr>
        <w:spacing w:before="100" w:beforeAutospacing="1" w:after="100" w:afterAutospacing="1" w:line="240" w:lineRule="auto"/>
        <w:outlineLvl w:val="1"/>
        <w:rPr>
          <w:rFonts w:ascii="Times New Roman" w:eastAsia="Times New Roman" w:hAnsi="Times New Roman" w:cs="Times New Roman"/>
          <w:b/>
          <w:bCs/>
          <w:sz w:val="36"/>
          <w:szCs w:val="36"/>
        </w:rPr>
      </w:pPr>
      <w:r w:rsidRPr="0011152D">
        <w:rPr>
          <w:rFonts w:ascii="Times New Roman" w:eastAsia="Times New Roman" w:hAnsi="Times New Roman" w:cs="Times New Roman"/>
          <w:b/>
          <w:bCs/>
          <w:sz w:val="36"/>
          <w:szCs w:val="36"/>
        </w:rPr>
        <w:t>Acknowledgments</w:t>
      </w:r>
    </w:p>
    <w:p w:rsidR="0011152D" w:rsidRPr="0011152D" w:rsidRDefault="0011152D" w:rsidP="0011152D">
      <w:pPr>
        <w:spacing w:before="100" w:beforeAutospacing="1" w:after="100" w:afterAutospacing="1" w:line="240" w:lineRule="auto"/>
        <w:rPr>
          <w:rFonts w:ascii="Times New Roman" w:eastAsia="Times New Roman" w:hAnsi="Times New Roman" w:cs="Times New Roman"/>
          <w:sz w:val="24"/>
          <w:szCs w:val="24"/>
        </w:rPr>
      </w:pPr>
      <w:r w:rsidRPr="0011152D">
        <w:rPr>
          <w:rFonts w:ascii="Times New Roman" w:eastAsia="Times New Roman" w:hAnsi="Times New Roman" w:cs="Times New Roman"/>
          <w:sz w:val="24"/>
          <w:szCs w:val="24"/>
        </w:rPr>
        <w:t xml:space="preserve">Laurent </w:t>
      </w:r>
      <w:proofErr w:type="spellStart"/>
      <w:r w:rsidRPr="0011152D">
        <w:rPr>
          <w:rFonts w:ascii="Times New Roman" w:eastAsia="Times New Roman" w:hAnsi="Times New Roman" w:cs="Times New Roman"/>
          <w:sz w:val="24"/>
          <w:szCs w:val="24"/>
        </w:rPr>
        <w:t>Tissandier</w:t>
      </w:r>
      <w:proofErr w:type="spellEnd"/>
      <w:r w:rsidRPr="0011152D">
        <w:rPr>
          <w:rFonts w:ascii="Times New Roman" w:eastAsia="Times New Roman" w:hAnsi="Times New Roman" w:cs="Times New Roman"/>
          <w:sz w:val="24"/>
          <w:szCs w:val="24"/>
        </w:rPr>
        <w:t xml:space="preserve"> and Laurent Zimmermann are thanked for technical assistance. This study has also benefited from numerous discussions with Bernard Marty, Pete Burnard, Raphael </w:t>
      </w:r>
      <w:proofErr w:type="spellStart"/>
      <w:r w:rsidRPr="0011152D">
        <w:rPr>
          <w:rFonts w:ascii="Times New Roman" w:eastAsia="Times New Roman" w:hAnsi="Times New Roman" w:cs="Times New Roman"/>
          <w:sz w:val="24"/>
          <w:szCs w:val="24"/>
        </w:rPr>
        <w:t>Pik</w:t>
      </w:r>
      <w:proofErr w:type="spellEnd"/>
      <w:r w:rsidRPr="0011152D">
        <w:rPr>
          <w:rFonts w:ascii="Times New Roman" w:eastAsia="Times New Roman" w:hAnsi="Times New Roman" w:cs="Times New Roman"/>
          <w:sz w:val="24"/>
          <w:szCs w:val="24"/>
        </w:rPr>
        <w:t xml:space="preserve"> and Mathieu </w:t>
      </w:r>
      <w:proofErr w:type="spellStart"/>
      <w:r w:rsidRPr="0011152D">
        <w:rPr>
          <w:rFonts w:ascii="Times New Roman" w:eastAsia="Times New Roman" w:hAnsi="Times New Roman" w:cs="Times New Roman"/>
          <w:sz w:val="24"/>
          <w:szCs w:val="24"/>
        </w:rPr>
        <w:t>Roskosz</w:t>
      </w:r>
      <w:proofErr w:type="spellEnd"/>
      <w:r w:rsidRPr="0011152D">
        <w:rPr>
          <w:rFonts w:ascii="Times New Roman" w:eastAsia="Times New Roman" w:hAnsi="Times New Roman" w:cs="Times New Roman"/>
          <w:sz w:val="24"/>
          <w:szCs w:val="24"/>
        </w:rPr>
        <w:t xml:space="preserve"> which are greatly appreciated. We thank M. A. </w:t>
      </w:r>
      <w:proofErr w:type="spellStart"/>
      <w:r w:rsidRPr="0011152D">
        <w:rPr>
          <w:rFonts w:ascii="Times New Roman" w:eastAsia="Times New Roman" w:hAnsi="Times New Roman" w:cs="Times New Roman"/>
          <w:sz w:val="24"/>
          <w:szCs w:val="24"/>
        </w:rPr>
        <w:t>Bouhifd</w:t>
      </w:r>
      <w:proofErr w:type="spellEnd"/>
      <w:r w:rsidRPr="0011152D">
        <w:rPr>
          <w:rFonts w:ascii="Times New Roman" w:eastAsia="Times New Roman" w:hAnsi="Times New Roman" w:cs="Times New Roman"/>
          <w:sz w:val="24"/>
          <w:szCs w:val="24"/>
        </w:rPr>
        <w:t xml:space="preserve">, E. Baxter, R. A. Brooker and S. V. S. </w:t>
      </w:r>
      <w:proofErr w:type="spellStart"/>
      <w:r w:rsidRPr="0011152D">
        <w:rPr>
          <w:rFonts w:ascii="Times New Roman" w:eastAsia="Times New Roman" w:hAnsi="Times New Roman" w:cs="Times New Roman"/>
          <w:sz w:val="24"/>
          <w:szCs w:val="24"/>
        </w:rPr>
        <w:t>Murty</w:t>
      </w:r>
      <w:proofErr w:type="spellEnd"/>
      <w:r w:rsidRPr="0011152D">
        <w:rPr>
          <w:rFonts w:ascii="Times New Roman" w:eastAsia="Times New Roman" w:hAnsi="Times New Roman" w:cs="Times New Roman"/>
          <w:sz w:val="24"/>
          <w:szCs w:val="24"/>
        </w:rPr>
        <w:t xml:space="preserve"> for constructive comments and Associate Editor J. Matsuda for careful editing. This is CRPG contribution number 1760.</w:t>
      </w:r>
    </w:p>
    <w:p w:rsidR="006D6D92" w:rsidRDefault="006D6D92"/>
    <w:sectPr w:rsidR="006D6D9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152D"/>
    <w:rsid w:val="0011152D"/>
    <w:rsid w:val="006D6D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74C6B"/>
  <w15:chartTrackingRefBased/>
  <w15:docId w15:val="{898ED990-1118-460B-B59B-008C86A5C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4916562">
      <w:bodyDiv w:val="1"/>
      <w:marLeft w:val="0"/>
      <w:marRight w:val="0"/>
      <w:marTop w:val="0"/>
      <w:marBottom w:val="0"/>
      <w:divBdr>
        <w:top w:val="none" w:sz="0" w:space="0" w:color="auto"/>
        <w:left w:val="none" w:sz="0" w:space="0" w:color="auto"/>
        <w:bottom w:val="none" w:sz="0" w:space="0" w:color="auto"/>
        <w:right w:val="none" w:sz="0" w:space="0" w:color="auto"/>
      </w:divBdr>
      <w:divsChild>
        <w:div w:id="339308870">
          <w:marLeft w:val="0"/>
          <w:marRight w:val="0"/>
          <w:marTop w:val="0"/>
          <w:marBottom w:val="0"/>
          <w:divBdr>
            <w:top w:val="none" w:sz="0" w:space="0" w:color="auto"/>
            <w:left w:val="none" w:sz="0" w:space="0" w:color="auto"/>
            <w:bottom w:val="none" w:sz="0" w:space="0" w:color="auto"/>
            <w:right w:val="none" w:sz="0" w:space="0" w:color="auto"/>
          </w:divBdr>
          <w:divsChild>
            <w:div w:id="109446115">
              <w:marLeft w:val="0"/>
              <w:marRight w:val="0"/>
              <w:marTop w:val="0"/>
              <w:marBottom w:val="0"/>
              <w:divBdr>
                <w:top w:val="none" w:sz="0" w:space="0" w:color="auto"/>
                <w:left w:val="none" w:sz="0" w:space="0" w:color="auto"/>
                <w:bottom w:val="none" w:sz="0" w:space="0" w:color="auto"/>
                <w:right w:val="none" w:sz="0" w:space="0" w:color="auto"/>
              </w:divBdr>
              <w:divsChild>
                <w:div w:id="15276521">
                  <w:marLeft w:val="0"/>
                  <w:marRight w:val="0"/>
                  <w:marTop w:val="0"/>
                  <w:marBottom w:val="0"/>
                  <w:divBdr>
                    <w:top w:val="none" w:sz="0" w:space="0" w:color="auto"/>
                    <w:left w:val="none" w:sz="0" w:space="0" w:color="auto"/>
                    <w:bottom w:val="none" w:sz="0" w:space="0" w:color="auto"/>
                    <w:right w:val="none" w:sz="0" w:space="0" w:color="auto"/>
                  </w:divBdr>
                  <w:divsChild>
                    <w:div w:id="78809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067925">
          <w:marLeft w:val="0"/>
          <w:marRight w:val="0"/>
          <w:marTop w:val="0"/>
          <w:marBottom w:val="0"/>
          <w:divBdr>
            <w:top w:val="none" w:sz="0" w:space="0" w:color="auto"/>
            <w:left w:val="none" w:sz="0" w:space="0" w:color="auto"/>
            <w:bottom w:val="none" w:sz="0" w:space="0" w:color="auto"/>
            <w:right w:val="none" w:sz="0" w:space="0" w:color="auto"/>
          </w:divBdr>
          <w:divsChild>
            <w:div w:id="1057052270">
              <w:marLeft w:val="0"/>
              <w:marRight w:val="0"/>
              <w:marTop w:val="0"/>
              <w:marBottom w:val="0"/>
              <w:divBdr>
                <w:top w:val="none" w:sz="0" w:space="0" w:color="auto"/>
                <w:left w:val="none" w:sz="0" w:space="0" w:color="auto"/>
                <w:bottom w:val="none" w:sz="0" w:space="0" w:color="auto"/>
                <w:right w:val="none" w:sz="0" w:space="0" w:color="auto"/>
              </w:divBdr>
              <w:divsChild>
                <w:div w:id="1748185453">
                  <w:marLeft w:val="0"/>
                  <w:marRight w:val="0"/>
                  <w:marTop w:val="0"/>
                  <w:marBottom w:val="0"/>
                  <w:divBdr>
                    <w:top w:val="none" w:sz="0" w:space="0" w:color="auto"/>
                    <w:left w:val="none" w:sz="0" w:space="0" w:color="auto"/>
                    <w:bottom w:val="none" w:sz="0" w:space="0" w:color="auto"/>
                    <w:right w:val="none" w:sz="0" w:space="0" w:color="auto"/>
                  </w:divBdr>
                  <w:divsChild>
                    <w:div w:id="109536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938527">
          <w:marLeft w:val="0"/>
          <w:marRight w:val="0"/>
          <w:marTop w:val="0"/>
          <w:marBottom w:val="0"/>
          <w:divBdr>
            <w:top w:val="none" w:sz="0" w:space="0" w:color="auto"/>
            <w:left w:val="none" w:sz="0" w:space="0" w:color="auto"/>
            <w:bottom w:val="none" w:sz="0" w:space="0" w:color="auto"/>
            <w:right w:val="none" w:sz="0" w:space="0" w:color="auto"/>
          </w:divBdr>
          <w:divsChild>
            <w:div w:id="1000501206">
              <w:marLeft w:val="0"/>
              <w:marRight w:val="0"/>
              <w:marTop w:val="0"/>
              <w:marBottom w:val="0"/>
              <w:divBdr>
                <w:top w:val="none" w:sz="0" w:space="0" w:color="auto"/>
                <w:left w:val="none" w:sz="0" w:space="0" w:color="auto"/>
                <w:bottom w:val="none" w:sz="0" w:space="0" w:color="auto"/>
                <w:right w:val="none" w:sz="0" w:space="0" w:color="auto"/>
              </w:divBdr>
            </w:div>
          </w:divsChild>
        </w:div>
        <w:div w:id="83231304">
          <w:marLeft w:val="0"/>
          <w:marRight w:val="0"/>
          <w:marTop w:val="0"/>
          <w:marBottom w:val="0"/>
          <w:divBdr>
            <w:top w:val="none" w:sz="0" w:space="0" w:color="auto"/>
            <w:left w:val="none" w:sz="0" w:space="0" w:color="auto"/>
            <w:bottom w:val="none" w:sz="0" w:space="0" w:color="auto"/>
            <w:right w:val="none" w:sz="0" w:space="0" w:color="auto"/>
          </w:divBdr>
          <w:divsChild>
            <w:div w:id="50790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diopsid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nephelin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diopsid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mass-spectrometer" TargetMode="External"/><Relationship Id="rId10" Type="http://schemas.openxmlformats.org/officeDocument/2006/relationships/fontTable" Target="fontTable.xml"/><Relationship Id="rId4" Type="http://schemas.openxmlformats.org/officeDocument/2006/relationships/hyperlink" Target="https://doi.org/10.1016/j.gca.2005.08.010" TargetMode="External"/><Relationship Id="rId9" Type="http://schemas.openxmlformats.org/officeDocument/2006/relationships/hyperlink" Target="https://www.sciencedirect.com/topics/earth-and-planetary-sciences/tectosilic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1579</Words>
  <Characters>9005</Characters>
  <Application>Microsoft Office Word</Application>
  <DocSecurity>0</DocSecurity>
  <Lines>75</Lines>
  <Paragraphs>21</Paragraphs>
  <ScaleCrop>false</ScaleCrop>
  <Company/>
  <LinksUpToDate>false</LinksUpToDate>
  <CharactersWithSpaces>10563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2023-11-11T02:44:00Z</dcterms:created>
  <dcterms:modified xsi:type="dcterms:W3CDTF">2023-11-11T02:46:00Z</dcterms:modified>
</cp:coreProperties>
</file>