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164F07" w:rsidRPr="00164F07" w:rsidRDefault="00164F07" w:rsidP="00164F07">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164F07">
        <w:rPr>
          <w:rFonts w:ascii="Times New Roman" w:eastAsia="Times New Roman" w:hAnsi="Times New Roman" w:cs="Times New Roman"/>
          <w:b/>
          <w:bCs/>
          <w:kern w:val="36"/>
          <w:sz w:val="48"/>
          <w:szCs w:val="48"/>
        </w:rPr>
        <w:t>Modeling the impact of microbial activity on redox dynamics in porous media</w:t>
      </w:r>
    </w:p>
    <w:p w:rsidR="00164F07" w:rsidRPr="00164F07" w:rsidRDefault="00164F07" w:rsidP="00164F07">
      <w:pPr>
        <w:spacing w:after="0" w:line="240" w:lineRule="auto"/>
        <w:rPr>
          <w:rFonts w:ascii="Times New Roman" w:eastAsia="Times New Roman" w:hAnsi="Times New Roman" w:cs="Times New Roman"/>
          <w:sz w:val="24"/>
          <w:szCs w:val="24"/>
        </w:rPr>
      </w:pPr>
      <w:r w:rsidRPr="00164F07">
        <w:rPr>
          <w:rFonts w:ascii="Times New Roman" w:eastAsia="Times New Roman" w:hAnsi="Times New Roman" w:cs="Times New Roman"/>
          <w:sz w:val="24"/>
          <w:szCs w:val="24"/>
        </w:rPr>
        <w:t>Author links open overlay panel</w:t>
      </w:r>
    </w:p>
    <w:p w:rsidR="00164F07" w:rsidRPr="00164F07" w:rsidRDefault="00164F07" w:rsidP="00164F07">
      <w:pPr>
        <w:spacing w:after="0" w:line="240" w:lineRule="auto"/>
        <w:rPr>
          <w:rFonts w:ascii="Times New Roman" w:eastAsia="Times New Roman" w:hAnsi="Times New Roman" w:cs="Times New Roman"/>
          <w:sz w:val="24"/>
          <w:szCs w:val="24"/>
        </w:rPr>
      </w:pPr>
      <w:r w:rsidRPr="00164F07">
        <w:rPr>
          <w:rFonts w:ascii="Times New Roman" w:eastAsia="Times New Roman" w:hAnsi="Times New Roman" w:cs="Times New Roman"/>
          <w:sz w:val="24"/>
          <w:szCs w:val="24"/>
        </w:rPr>
        <w:t xml:space="preserve">, </w:t>
      </w:r>
      <w:bookmarkStart w:id="0" w:name="baep-author-id56-profile"/>
      <w:r w:rsidRPr="00164F07">
        <w:rPr>
          <w:rFonts w:ascii="Times New Roman" w:eastAsia="Times New Roman" w:hAnsi="Times New Roman" w:cs="Times New Roman"/>
          <w:sz w:val="24"/>
          <w:szCs w:val="24"/>
        </w:rPr>
        <w:fldChar w:fldCharType="begin"/>
      </w:r>
      <w:r w:rsidRPr="00164F07">
        <w:rPr>
          <w:rFonts w:ascii="Times New Roman" w:eastAsia="Times New Roman" w:hAnsi="Times New Roman" w:cs="Times New Roman"/>
          <w:sz w:val="24"/>
          <w:szCs w:val="24"/>
        </w:rPr>
        <w:instrText xml:space="preserve"> HYPERLINK "https://www.sciencedirect.com/author/7003453108/philippe-van-cappellen" </w:instrText>
      </w:r>
      <w:r w:rsidRPr="00164F07">
        <w:rPr>
          <w:rFonts w:ascii="Times New Roman" w:eastAsia="Times New Roman" w:hAnsi="Times New Roman" w:cs="Times New Roman"/>
          <w:sz w:val="24"/>
          <w:szCs w:val="24"/>
        </w:rPr>
        <w:fldChar w:fldCharType="separate"/>
      </w:r>
      <w:r w:rsidRPr="00164F07">
        <w:rPr>
          <w:rFonts w:ascii="Times New Roman" w:eastAsia="Times New Roman" w:hAnsi="Times New Roman" w:cs="Times New Roman"/>
          <w:color w:val="0000FF"/>
          <w:sz w:val="24"/>
          <w:szCs w:val="24"/>
          <w:u w:val="single"/>
        </w:rPr>
        <w:t xml:space="preserve">Philippe Van </w:t>
      </w:r>
      <w:proofErr w:type="spellStart"/>
      <w:r w:rsidRPr="00164F07">
        <w:rPr>
          <w:rFonts w:ascii="Times New Roman" w:eastAsia="Times New Roman" w:hAnsi="Times New Roman" w:cs="Times New Roman"/>
          <w:color w:val="0000FF"/>
          <w:sz w:val="24"/>
          <w:szCs w:val="24"/>
          <w:u w:val="single"/>
        </w:rPr>
        <w:t>Cappellen</w:t>
      </w:r>
      <w:proofErr w:type="spellEnd"/>
      <w:r w:rsidRPr="00164F07">
        <w:rPr>
          <w:rFonts w:ascii="Times New Roman" w:eastAsia="Times New Roman" w:hAnsi="Times New Roman" w:cs="Times New Roman"/>
          <w:sz w:val="24"/>
          <w:szCs w:val="24"/>
        </w:rPr>
        <w:fldChar w:fldCharType="end"/>
      </w:r>
      <w:bookmarkEnd w:id="0"/>
      <w:r w:rsidRPr="00164F07">
        <w:rPr>
          <w:rFonts w:ascii="Times New Roman" w:eastAsia="Times New Roman" w:hAnsi="Times New Roman" w:cs="Times New Roman"/>
          <w:sz w:val="24"/>
          <w:szCs w:val="24"/>
        </w:rPr>
        <w:t xml:space="preserve">, </w:t>
      </w:r>
    </w:p>
    <w:p w:rsidR="00164F07" w:rsidRPr="00164F07" w:rsidRDefault="00164F07" w:rsidP="00164F07">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164F07">
          <w:rPr>
            <w:rFonts w:ascii="Times New Roman" w:eastAsia="Times New Roman" w:hAnsi="Times New Roman" w:cs="Times New Roman"/>
            <w:color w:val="0000FF"/>
            <w:sz w:val="24"/>
            <w:szCs w:val="24"/>
            <w:u w:val="single"/>
          </w:rPr>
          <w:t>https://doi.org/10.1016/j.gca.2005.04.026</w:t>
        </w:r>
      </w:hyperlink>
      <w:bookmarkStart w:id="1" w:name="_GoBack"/>
      <w:bookmarkEnd w:id="1"/>
      <w:r w:rsidRPr="00164F07">
        <w:rPr>
          <w:rFonts w:ascii="Times New Roman" w:eastAsia="Times New Roman" w:hAnsi="Times New Roman" w:cs="Times New Roman"/>
          <w:sz w:val="24"/>
          <w:szCs w:val="24"/>
        </w:rPr>
        <w:t xml:space="preserve"> </w:t>
      </w:r>
    </w:p>
    <w:p w:rsidR="00164F07" w:rsidRPr="00164F07" w:rsidRDefault="00164F07" w:rsidP="00164F07">
      <w:pPr>
        <w:spacing w:before="100" w:beforeAutospacing="1" w:after="100" w:afterAutospacing="1" w:line="240" w:lineRule="auto"/>
        <w:outlineLvl w:val="1"/>
        <w:rPr>
          <w:rFonts w:ascii="Times New Roman" w:eastAsia="Times New Roman" w:hAnsi="Times New Roman" w:cs="Times New Roman"/>
          <w:b/>
          <w:bCs/>
          <w:sz w:val="36"/>
          <w:szCs w:val="36"/>
        </w:rPr>
      </w:pPr>
      <w:r w:rsidRPr="00164F07">
        <w:rPr>
          <w:rFonts w:ascii="Times New Roman" w:eastAsia="Times New Roman" w:hAnsi="Times New Roman" w:cs="Times New Roman"/>
          <w:b/>
          <w:bCs/>
          <w:sz w:val="36"/>
          <w:szCs w:val="36"/>
        </w:rPr>
        <w:t>Abstract</w:t>
      </w:r>
    </w:p>
    <w:p w:rsidR="00164F07" w:rsidRPr="00164F07" w:rsidRDefault="00164F07" w:rsidP="00164F07">
      <w:pPr>
        <w:spacing w:before="100" w:beforeAutospacing="1" w:after="100" w:afterAutospacing="1" w:line="240" w:lineRule="auto"/>
        <w:rPr>
          <w:rFonts w:ascii="Times New Roman" w:eastAsia="Times New Roman" w:hAnsi="Times New Roman" w:cs="Times New Roman"/>
          <w:sz w:val="24"/>
          <w:szCs w:val="24"/>
        </w:rPr>
      </w:pPr>
      <w:r w:rsidRPr="00164F07">
        <w:rPr>
          <w:rFonts w:ascii="Times New Roman" w:eastAsia="Times New Roman" w:hAnsi="Times New Roman" w:cs="Times New Roman"/>
          <w:sz w:val="24"/>
          <w:szCs w:val="24"/>
        </w:rPr>
        <w:t xml:space="preserve">The present study investigates the interaction between microbial growth and activity and the redox dynamics in natural </w:t>
      </w:r>
      <w:hyperlink r:id="rId5" w:tooltip="Learn more about porous media from ScienceDirect's AI-generated Topic Pages" w:history="1">
        <w:r w:rsidRPr="00164F07">
          <w:rPr>
            <w:rFonts w:ascii="Times New Roman" w:eastAsia="Times New Roman" w:hAnsi="Times New Roman" w:cs="Times New Roman"/>
            <w:color w:val="0000FF"/>
            <w:sz w:val="24"/>
            <w:szCs w:val="24"/>
            <w:u w:val="single"/>
          </w:rPr>
          <w:t>porous media</w:t>
        </w:r>
      </w:hyperlink>
      <w:r w:rsidRPr="00164F07">
        <w:rPr>
          <w:rFonts w:ascii="Times New Roman" w:eastAsia="Times New Roman" w:hAnsi="Times New Roman" w:cs="Times New Roman"/>
          <w:sz w:val="24"/>
          <w:szCs w:val="24"/>
        </w:rPr>
        <w:t xml:space="preserve">. The impact the transport regime has on this interaction is also addressed. Expressions for microbial growth are incorporated into a geochemical reaction network linking redox reaction rates to the activity of the </w:t>
      </w:r>
      <w:hyperlink r:id="rId6" w:tooltip="Learn more about microorganisms from ScienceDirect's AI-generated Topic Pages" w:history="1">
        <w:r w:rsidRPr="00164F07">
          <w:rPr>
            <w:rFonts w:ascii="Times New Roman" w:eastAsia="Times New Roman" w:hAnsi="Times New Roman" w:cs="Times New Roman"/>
            <w:color w:val="0000FF"/>
            <w:sz w:val="24"/>
            <w:szCs w:val="24"/>
            <w:u w:val="single"/>
          </w:rPr>
          <w:t>microorganisms</w:t>
        </w:r>
      </w:hyperlink>
      <w:r w:rsidRPr="00164F07">
        <w:rPr>
          <w:rFonts w:ascii="Times New Roman" w:eastAsia="Times New Roman" w:hAnsi="Times New Roman" w:cs="Times New Roman"/>
          <w:sz w:val="24"/>
          <w:szCs w:val="24"/>
        </w:rPr>
        <w:t xml:space="preserve">. A flexible simulation environment, the Biogeochemical Reaction Network Simulator (BRNS) is used for this purpose. Two reactive transport applications relevant to fields of contaminant hydrology and early </w:t>
      </w:r>
      <w:hyperlink r:id="rId7" w:tooltip="Learn more about diagenesis from ScienceDirect's AI-generated Topic Pages" w:history="1">
        <w:r w:rsidRPr="00164F07">
          <w:rPr>
            <w:rFonts w:ascii="Times New Roman" w:eastAsia="Times New Roman" w:hAnsi="Times New Roman" w:cs="Times New Roman"/>
            <w:color w:val="0000FF"/>
            <w:sz w:val="24"/>
            <w:szCs w:val="24"/>
            <w:u w:val="single"/>
          </w:rPr>
          <w:t>diagenesis</w:t>
        </w:r>
      </w:hyperlink>
      <w:r w:rsidRPr="00164F07">
        <w:rPr>
          <w:rFonts w:ascii="Times New Roman" w:eastAsia="Times New Roman" w:hAnsi="Times New Roman" w:cs="Times New Roman"/>
          <w:sz w:val="24"/>
          <w:szCs w:val="24"/>
        </w:rPr>
        <w:t xml:space="preserve"> are simulated with the BRNS. Model results are evaluated based on a comparison with comprehensive datasets on the biodegradation of lactate in a sand column experiment and on the distribution of redox-sensitive chemical species in </w:t>
      </w:r>
      <w:hyperlink r:id="rId8" w:tooltip="Learn more about marine sediments from ScienceDirect's AI-generated Topic Pages" w:history="1">
        <w:r w:rsidRPr="00164F07">
          <w:rPr>
            <w:rFonts w:ascii="Times New Roman" w:eastAsia="Times New Roman" w:hAnsi="Times New Roman" w:cs="Times New Roman"/>
            <w:color w:val="0000FF"/>
            <w:sz w:val="24"/>
            <w:szCs w:val="24"/>
            <w:u w:val="single"/>
          </w:rPr>
          <w:t>marine sediments</w:t>
        </w:r>
      </w:hyperlink>
      <w:r w:rsidRPr="00164F07">
        <w:rPr>
          <w:rFonts w:ascii="Times New Roman" w:eastAsia="Times New Roman" w:hAnsi="Times New Roman" w:cs="Times New Roman"/>
          <w:sz w:val="24"/>
          <w:szCs w:val="24"/>
        </w:rPr>
        <w:t xml:space="preserve"> of the Skagerrak, Denmark. It is shown that, despite quite different transport regimes, the geomicrobiological model performs equally well in the reproduction of measured chemical species distribution for both applications. This result emphasizes the broad applicability of the proposed approach. Our simulations support that the competitive behavior between various microbial groups is a process controlling the development of redox stratified environments. Furthermore, it is also shown that the transport regime is a key controlling factor for the degree of spatial correlation between microbial biomass distributions and redox reaction rates. Although all our simulations yield a pronounced stratification of the redox processes in the system, the biomass distribution is related to the associated reaction rates only in case of the </w:t>
      </w:r>
      <w:hyperlink r:id="rId9" w:tooltip="Learn more about advection from ScienceDirect's AI-generated Topic Pages" w:history="1">
        <w:r w:rsidRPr="00164F07">
          <w:rPr>
            <w:rFonts w:ascii="Times New Roman" w:eastAsia="Times New Roman" w:hAnsi="Times New Roman" w:cs="Times New Roman"/>
            <w:color w:val="0000FF"/>
            <w:sz w:val="24"/>
            <w:szCs w:val="24"/>
            <w:u w:val="single"/>
          </w:rPr>
          <w:t>advection</w:t>
        </w:r>
      </w:hyperlink>
      <w:r w:rsidRPr="00164F07">
        <w:rPr>
          <w:rFonts w:ascii="Times New Roman" w:eastAsia="Times New Roman" w:hAnsi="Times New Roman" w:cs="Times New Roman"/>
          <w:sz w:val="24"/>
          <w:szCs w:val="24"/>
        </w:rPr>
        <w:t xml:space="preserve"> controlled column experiment. In the early diagenetic application, mixing due to </w:t>
      </w:r>
      <w:hyperlink r:id="rId10" w:tooltip="Learn more about bioturbation from ScienceDirect's AI-generated Topic Pages" w:history="1">
        <w:r w:rsidRPr="00164F07">
          <w:rPr>
            <w:rFonts w:ascii="Times New Roman" w:eastAsia="Times New Roman" w:hAnsi="Times New Roman" w:cs="Times New Roman"/>
            <w:color w:val="0000FF"/>
            <w:sz w:val="24"/>
            <w:szCs w:val="24"/>
            <w:u w:val="single"/>
          </w:rPr>
          <w:t>bioturbation</w:t>
        </w:r>
      </w:hyperlink>
      <w:r w:rsidRPr="00164F07">
        <w:rPr>
          <w:rFonts w:ascii="Times New Roman" w:eastAsia="Times New Roman" w:hAnsi="Times New Roman" w:cs="Times New Roman"/>
          <w:sz w:val="24"/>
          <w:szCs w:val="24"/>
        </w:rPr>
        <w:t xml:space="preserve"> is the dominant transport process for particulate matter, hence leading to fairly homogeneous distribution of bacterial biomasses which are unrelated to the spatial distribution of redox reaction rates. This homogeneous biomass distribution combined with the 1G carbon degradation model approach might explain why the steady state concentration profiles in such systems can be reproduced by diagenetic models without explicit representation of microbial growth.</w:t>
      </w:r>
    </w:p>
    <w:p w:rsidR="00164F07" w:rsidRPr="00164F07" w:rsidRDefault="00164F07" w:rsidP="00164F07">
      <w:pPr>
        <w:spacing w:before="100" w:beforeAutospacing="1" w:after="100" w:afterAutospacing="1" w:line="240" w:lineRule="auto"/>
        <w:outlineLvl w:val="1"/>
        <w:rPr>
          <w:rFonts w:ascii="Times New Roman" w:eastAsia="Times New Roman" w:hAnsi="Times New Roman" w:cs="Times New Roman"/>
          <w:b/>
          <w:bCs/>
          <w:sz w:val="36"/>
          <w:szCs w:val="36"/>
        </w:rPr>
      </w:pPr>
      <w:r w:rsidRPr="00164F07">
        <w:rPr>
          <w:rFonts w:ascii="Times New Roman" w:eastAsia="Times New Roman" w:hAnsi="Times New Roman" w:cs="Times New Roman"/>
          <w:b/>
          <w:bCs/>
          <w:sz w:val="36"/>
          <w:szCs w:val="36"/>
        </w:rPr>
        <w:t>Introduction</w:t>
      </w:r>
    </w:p>
    <w:p w:rsidR="00164F07" w:rsidRPr="00164F07" w:rsidRDefault="00164F07" w:rsidP="00164F07">
      <w:pPr>
        <w:spacing w:before="100" w:beforeAutospacing="1" w:after="100" w:afterAutospacing="1" w:line="240" w:lineRule="auto"/>
        <w:rPr>
          <w:rFonts w:ascii="Times New Roman" w:eastAsia="Times New Roman" w:hAnsi="Times New Roman" w:cs="Times New Roman"/>
          <w:sz w:val="24"/>
          <w:szCs w:val="24"/>
        </w:rPr>
      </w:pPr>
      <w:r w:rsidRPr="00164F07">
        <w:rPr>
          <w:rFonts w:ascii="Times New Roman" w:eastAsia="Times New Roman" w:hAnsi="Times New Roman" w:cs="Times New Roman"/>
          <w:sz w:val="24"/>
          <w:szCs w:val="24"/>
        </w:rPr>
        <w:t xml:space="preserve">A large variety of reactive processes in porous media are directly or indirectly driven by the microbially-mediated degradation of organic carbon. Even though the source, composition and reactivity of organic matter are highly variable in natural environments, the overall process of degradation often results in a characteristic zonation of redox conditions. This zonation is explained by utilization of terminal electron acceptors (TEAs) involved in organic carbon degradation reactions in a temporal or, where transport is considered, spatial sequence of decreasing energy yields (Chapelle 1992, </w:t>
      </w:r>
      <w:proofErr w:type="spellStart"/>
      <w:r w:rsidRPr="00164F07">
        <w:rPr>
          <w:rFonts w:ascii="Times New Roman" w:eastAsia="Times New Roman" w:hAnsi="Times New Roman" w:cs="Times New Roman"/>
          <w:sz w:val="24"/>
          <w:szCs w:val="24"/>
        </w:rPr>
        <w:t>Appelo</w:t>
      </w:r>
      <w:proofErr w:type="spellEnd"/>
      <w:r w:rsidRPr="00164F07">
        <w:rPr>
          <w:rFonts w:ascii="Times New Roman" w:eastAsia="Times New Roman" w:hAnsi="Times New Roman" w:cs="Times New Roman"/>
          <w:sz w:val="24"/>
          <w:szCs w:val="24"/>
        </w:rPr>
        <w:t xml:space="preserve"> and Postma 1993). The dynamics, however, of redox-stratified environments are complicated by additional, secondary redox reactions, which involve the TEAs and the reduced end-products of the primary redox processes (e.g., Van </w:t>
      </w:r>
      <w:proofErr w:type="spellStart"/>
      <w:r w:rsidRPr="00164F07">
        <w:rPr>
          <w:rFonts w:ascii="Times New Roman" w:eastAsia="Times New Roman" w:hAnsi="Times New Roman" w:cs="Times New Roman"/>
          <w:sz w:val="24"/>
          <w:szCs w:val="24"/>
        </w:rPr>
        <w:t>Cappellen</w:t>
      </w:r>
      <w:proofErr w:type="spellEnd"/>
      <w:r w:rsidRPr="00164F07">
        <w:rPr>
          <w:rFonts w:ascii="Times New Roman" w:eastAsia="Times New Roman" w:hAnsi="Times New Roman" w:cs="Times New Roman"/>
          <w:sz w:val="24"/>
          <w:szCs w:val="24"/>
        </w:rPr>
        <w:t xml:space="preserve"> and Wang 1996, Hunter et al 1998).</w:t>
      </w:r>
    </w:p>
    <w:p w:rsidR="00164F07" w:rsidRPr="00164F07" w:rsidRDefault="00164F07" w:rsidP="00164F07">
      <w:pPr>
        <w:spacing w:before="100" w:beforeAutospacing="1" w:after="100" w:afterAutospacing="1" w:line="240" w:lineRule="auto"/>
        <w:rPr>
          <w:rFonts w:ascii="Times New Roman" w:eastAsia="Times New Roman" w:hAnsi="Times New Roman" w:cs="Times New Roman"/>
          <w:sz w:val="24"/>
          <w:szCs w:val="24"/>
        </w:rPr>
      </w:pPr>
      <w:r w:rsidRPr="00164F07">
        <w:rPr>
          <w:rFonts w:ascii="Times New Roman" w:eastAsia="Times New Roman" w:hAnsi="Times New Roman" w:cs="Times New Roman"/>
          <w:sz w:val="24"/>
          <w:szCs w:val="24"/>
        </w:rPr>
        <w:lastRenderedPageBreak/>
        <w:t>The interaction of redox transformations with transport processes is another important feature controlling the chemical zonation of natural systems. In aquifers, for instance, transport of dissolved chemical species percolating through an immobile solid matrix is dominated by advective flow velocities up to 100 m y</w:t>
      </w:r>
      <w:r w:rsidRPr="00164F07">
        <w:rPr>
          <w:rFonts w:ascii="Times New Roman" w:eastAsia="Times New Roman" w:hAnsi="Times New Roman" w:cs="Times New Roman"/>
          <w:sz w:val="24"/>
          <w:szCs w:val="24"/>
          <w:vertAlign w:val="superscript"/>
        </w:rPr>
        <w:t>−1</w:t>
      </w:r>
      <w:r w:rsidRPr="00164F07">
        <w:rPr>
          <w:rFonts w:ascii="Times New Roman" w:eastAsia="Times New Roman" w:hAnsi="Times New Roman" w:cs="Times New Roman"/>
          <w:sz w:val="24"/>
          <w:szCs w:val="24"/>
        </w:rPr>
        <w:t xml:space="preserve"> and more (e.g., Harter, 2003). In aquatic sediments, transport of solids occurs mainly via burial and bioturbation. Advection velocities associated with burial are typically on the order of 10</w:t>
      </w:r>
      <w:r w:rsidRPr="00164F07">
        <w:rPr>
          <w:rFonts w:ascii="Times New Roman" w:eastAsia="Times New Roman" w:hAnsi="Times New Roman" w:cs="Times New Roman"/>
          <w:sz w:val="24"/>
          <w:szCs w:val="24"/>
          <w:vertAlign w:val="superscript"/>
        </w:rPr>
        <w:t>−2</w:t>
      </w:r>
      <w:r w:rsidRPr="00164F07">
        <w:rPr>
          <w:rFonts w:ascii="Times New Roman" w:eastAsia="Times New Roman" w:hAnsi="Times New Roman" w:cs="Times New Roman"/>
          <w:sz w:val="24"/>
          <w:szCs w:val="24"/>
        </w:rPr>
        <w:t xml:space="preserve"> m y</w:t>
      </w:r>
      <w:r w:rsidRPr="00164F07">
        <w:rPr>
          <w:rFonts w:ascii="Times New Roman" w:eastAsia="Times New Roman" w:hAnsi="Times New Roman" w:cs="Times New Roman"/>
          <w:sz w:val="24"/>
          <w:szCs w:val="24"/>
          <w:vertAlign w:val="superscript"/>
        </w:rPr>
        <w:t>−1</w:t>
      </w:r>
      <w:r w:rsidRPr="00164F07">
        <w:rPr>
          <w:rFonts w:ascii="Times New Roman" w:eastAsia="Times New Roman" w:hAnsi="Times New Roman" w:cs="Times New Roman"/>
          <w:sz w:val="24"/>
          <w:szCs w:val="24"/>
        </w:rPr>
        <w:t xml:space="preserve"> or less (Van </w:t>
      </w:r>
      <w:proofErr w:type="spellStart"/>
      <w:r w:rsidRPr="00164F07">
        <w:rPr>
          <w:rFonts w:ascii="Times New Roman" w:eastAsia="Times New Roman" w:hAnsi="Times New Roman" w:cs="Times New Roman"/>
          <w:sz w:val="24"/>
          <w:szCs w:val="24"/>
        </w:rPr>
        <w:t>Cappellen</w:t>
      </w:r>
      <w:proofErr w:type="spellEnd"/>
      <w:r w:rsidRPr="00164F07">
        <w:rPr>
          <w:rFonts w:ascii="Times New Roman" w:eastAsia="Times New Roman" w:hAnsi="Times New Roman" w:cs="Times New Roman"/>
          <w:sz w:val="24"/>
          <w:szCs w:val="24"/>
        </w:rPr>
        <w:t xml:space="preserve"> and Gaillard 1996, Middelburg et al 1997). For this reason, molecular diffusion and particulate mixing by bioturbation are often the dominant mechanisms of transport in such environments.</w:t>
      </w:r>
    </w:p>
    <w:p w:rsidR="00164F07" w:rsidRPr="00164F07" w:rsidRDefault="00164F07" w:rsidP="00164F07">
      <w:pPr>
        <w:spacing w:before="100" w:beforeAutospacing="1" w:after="100" w:afterAutospacing="1" w:line="240" w:lineRule="auto"/>
        <w:rPr>
          <w:rFonts w:ascii="Times New Roman" w:eastAsia="Times New Roman" w:hAnsi="Times New Roman" w:cs="Times New Roman"/>
          <w:sz w:val="24"/>
          <w:szCs w:val="24"/>
        </w:rPr>
      </w:pPr>
      <w:r w:rsidRPr="00164F07">
        <w:rPr>
          <w:rFonts w:ascii="Times New Roman" w:eastAsia="Times New Roman" w:hAnsi="Times New Roman" w:cs="Times New Roman"/>
          <w:sz w:val="24"/>
          <w:szCs w:val="24"/>
        </w:rPr>
        <w:t xml:space="preserve">The nature and relative magnitude of transport processes not only determines the spatial and temporal distributions of dissolved and solid redox-sensitive chemical species, but also those of reaction rates and the microbial community structure. Subsurface microorganisms are typically particle bound (typically grow at the solid-solution interface), leading to the formation of a </w:t>
      </w:r>
      <w:proofErr w:type="spellStart"/>
      <w:r w:rsidRPr="00164F07">
        <w:rPr>
          <w:rFonts w:ascii="Times New Roman" w:eastAsia="Times New Roman" w:hAnsi="Times New Roman" w:cs="Times New Roman"/>
          <w:sz w:val="24"/>
          <w:szCs w:val="24"/>
        </w:rPr>
        <w:t>biophase</w:t>
      </w:r>
      <w:proofErr w:type="spellEnd"/>
      <w:r w:rsidRPr="00164F07">
        <w:rPr>
          <w:rFonts w:ascii="Times New Roman" w:eastAsia="Times New Roman" w:hAnsi="Times New Roman" w:cs="Times New Roman"/>
          <w:sz w:val="24"/>
          <w:szCs w:val="24"/>
        </w:rPr>
        <w:t xml:space="preserve"> (biofilm or aggregates). Thus, the transport, or absence thereof, of solids may contribute to the spatial structuring of redox processes in natural environments.</w:t>
      </w:r>
    </w:p>
    <w:p w:rsidR="00164F07" w:rsidRPr="00164F07" w:rsidRDefault="00164F07" w:rsidP="00164F07">
      <w:pPr>
        <w:spacing w:before="100" w:beforeAutospacing="1" w:after="100" w:afterAutospacing="1" w:line="240" w:lineRule="auto"/>
        <w:rPr>
          <w:rFonts w:ascii="Times New Roman" w:eastAsia="Times New Roman" w:hAnsi="Times New Roman" w:cs="Times New Roman"/>
          <w:sz w:val="24"/>
          <w:szCs w:val="24"/>
        </w:rPr>
      </w:pPr>
      <w:r w:rsidRPr="00164F07">
        <w:rPr>
          <w:rFonts w:ascii="Times New Roman" w:eastAsia="Times New Roman" w:hAnsi="Times New Roman" w:cs="Times New Roman"/>
          <w:sz w:val="24"/>
          <w:szCs w:val="24"/>
        </w:rPr>
        <w:t xml:space="preserve">In recent years, advances in molecular biology have provided novel insights on the microbial processes driving redox dynamics in porous media environments. New tools have been used to quantify and characterize microorganisms in aquifers and sediments (e.g., Hess et al 1996, </w:t>
      </w:r>
      <w:proofErr w:type="spellStart"/>
      <w:r w:rsidRPr="00164F07">
        <w:rPr>
          <w:rFonts w:ascii="Times New Roman" w:eastAsia="Times New Roman" w:hAnsi="Times New Roman" w:cs="Times New Roman"/>
          <w:sz w:val="24"/>
          <w:szCs w:val="24"/>
        </w:rPr>
        <w:t>Zarda</w:t>
      </w:r>
      <w:proofErr w:type="spellEnd"/>
      <w:r w:rsidRPr="00164F07">
        <w:rPr>
          <w:rFonts w:ascii="Times New Roman" w:eastAsia="Times New Roman" w:hAnsi="Times New Roman" w:cs="Times New Roman"/>
          <w:sz w:val="24"/>
          <w:szCs w:val="24"/>
        </w:rPr>
        <w:t xml:space="preserve"> et al 1998, </w:t>
      </w:r>
      <w:proofErr w:type="spellStart"/>
      <w:r w:rsidRPr="00164F07">
        <w:rPr>
          <w:rFonts w:ascii="Times New Roman" w:eastAsia="Times New Roman" w:hAnsi="Times New Roman" w:cs="Times New Roman"/>
          <w:sz w:val="24"/>
          <w:szCs w:val="24"/>
        </w:rPr>
        <w:t>Wieringa</w:t>
      </w:r>
      <w:proofErr w:type="spellEnd"/>
      <w:r w:rsidRPr="00164F07">
        <w:rPr>
          <w:rFonts w:ascii="Times New Roman" w:eastAsia="Times New Roman" w:hAnsi="Times New Roman" w:cs="Times New Roman"/>
          <w:sz w:val="24"/>
          <w:szCs w:val="24"/>
        </w:rPr>
        <w:t xml:space="preserve"> et al 2000) and experimental studies elucidating the spatial distribution of bacteria are now being conducted on a routine basis (e.g., </w:t>
      </w:r>
      <w:proofErr w:type="spellStart"/>
      <w:r w:rsidRPr="00164F07">
        <w:rPr>
          <w:rFonts w:ascii="Times New Roman" w:eastAsia="Times New Roman" w:hAnsi="Times New Roman" w:cs="Times New Roman"/>
          <w:sz w:val="24"/>
          <w:szCs w:val="24"/>
        </w:rPr>
        <w:t>Roose-Amsaleg</w:t>
      </w:r>
      <w:proofErr w:type="spellEnd"/>
      <w:r w:rsidRPr="00164F07">
        <w:rPr>
          <w:rFonts w:ascii="Times New Roman" w:eastAsia="Times New Roman" w:hAnsi="Times New Roman" w:cs="Times New Roman"/>
          <w:sz w:val="24"/>
          <w:szCs w:val="24"/>
        </w:rPr>
        <w:t xml:space="preserve"> et al., 2001). Among others, such studies have been used to predict in situ redox reaction rates (e.g., Sass et al 1997, </w:t>
      </w:r>
      <w:proofErr w:type="spellStart"/>
      <w:r w:rsidRPr="00164F07">
        <w:rPr>
          <w:rFonts w:ascii="Times New Roman" w:eastAsia="Times New Roman" w:hAnsi="Times New Roman" w:cs="Times New Roman"/>
          <w:sz w:val="24"/>
          <w:szCs w:val="24"/>
        </w:rPr>
        <w:t>Ravenschlag</w:t>
      </w:r>
      <w:proofErr w:type="spellEnd"/>
      <w:r w:rsidRPr="00164F07">
        <w:rPr>
          <w:rFonts w:ascii="Times New Roman" w:eastAsia="Times New Roman" w:hAnsi="Times New Roman" w:cs="Times New Roman"/>
          <w:sz w:val="24"/>
          <w:szCs w:val="24"/>
        </w:rPr>
        <w:t xml:space="preserve"> et al 2000), even though the relationship between microbial abundance and redox reaction rates remains unclear. This is certainly a research question that deserves more attention.</w:t>
      </w:r>
    </w:p>
    <w:p w:rsidR="00164F07" w:rsidRPr="00164F07" w:rsidRDefault="00164F07" w:rsidP="00164F07">
      <w:pPr>
        <w:spacing w:before="100" w:beforeAutospacing="1" w:after="100" w:afterAutospacing="1" w:line="240" w:lineRule="auto"/>
        <w:rPr>
          <w:rFonts w:ascii="Times New Roman" w:eastAsia="Times New Roman" w:hAnsi="Times New Roman" w:cs="Times New Roman"/>
          <w:sz w:val="24"/>
          <w:szCs w:val="24"/>
        </w:rPr>
      </w:pPr>
      <w:r w:rsidRPr="00164F07">
        <w:rPr>
          <w:rFonts w:ascii="Times New Roman" w:eastAsia="Times New Roman" w:hAnsi="Times New Roman" w:cs="Times New Roman"/>
          <w:sz w:val="24"/>
          <w:szCs w:val="24"/>
        </w:rPr>
        <w:t>Reactive-Transport Models (RTMs) are particularly suitable tools for capturing the complex interplay between the microbial community structure and chemistry of redox-stratified environments. To date, however, the integration of microbial ecology into RTMs remains sketchy. A succinct review of the state-of-the art in the field of reactive transport modeling is thus particularly useful, as it clearly points the way to future developments.</w:t>
      </w:r>
    </w:p>
    <w:p w:rsidR="00164F07" w:rsidRPr="00164F07" w:rsidRDefault="00164F07" w:rsidP="00164F07">
      <w:pPr>
        <w:spacing w:before="100" w:beforeAutospacing="1" w:after="100" w:afterAutospacing="1" w:line="240" w:lineRule="auto"/>
        <w:rPr>
          <w:rFonts w:ascii="Times New Roman" w:eastAsia="Times New Roman" w:hAnsi="Times New Roman" w:cs="Times New Roman"/>
          <w:sz w:val="24"/>
          <w:szCs w:val="24"/>
        </w:rPr>
      </w:pPr>
      <w:r w:rsidRPr="00164F07">
        <w:rPr>
          <w:rFonts w:ascii="Times New Roman" w:eastAsia="Times New Roman" w:hAnsi="Times New Roman" w:cs="Times New Roman"/>
          <w:sz w:val="24"/>
          <w:szCs w:val="24"/>
        </w:rPr>
        <w:t>In contaminant hydrology, RTMs are commonly used to simulate the transient behavior of redox-sensitive chemical species at time scales ranging from a few hours to several decades. Although the coupling of redox rates to microbial dynamics is often considered to be essential in this field (</w:t>
      </w:r>
      <w:proofErr w:type="spellStart"/>
      <w:r w:rsidRPr="00164F07">
        <w:rPr>
          <w:rFonts w:ascii="Times New Roman" w:eastAsia="Times New Roman" w:hAnsi="Times New Roman" w:cs="Times New Roman"/>
          <w:sz w:val="24"/>
          <w:szCs w:val="24"/>
        </w:rPr>
        <w:t>Smets</w:t>
      </w:r>
      <w:proofErr w:type="spellEnd"/>
      <w:r w:rsidRPr="00164F07">
        <w:rPr>
          <w:rFonts w:ascii="Times New Roman" w:eastAsia="Times New Roman" w:hAnsi="Times New Roman" w:cs="Times New Roman"/>
          <w:sz w:val="24"/>
          <w:szCs w:val="24"/>
        </w:rPr>
        <w:t xml:space="preserve"> and Pritchard, 2003), simulations involving a large set of </w:t>
      </w:r>
      <w:proofErr w:type="spellStart"/>
      <w:r w:rsidRPr="00164F07">
        <w:rPr>
          <w:rFonts w:ascii="Times New Roman" w:eastAsia="Times New Roman" w:hAnsi="Times New Roman" w:cs="Times New Roman"/>
          <w:sz w:val="24"/>
          <w:szCs w:val="24"/>
        </w:rPr>
        <w:t>hydrochemical</w:t>
      </w:r>
      <w:proofErr w:type="spellEnd"/>
      <w:r w:rsidRPr="00164F07">
        <w:rPr>
          <w:rFonts w:ascii="Times New Roman" w:eastAsia="Times New Roman" w:hAnsi="Times New Roman" w:cs="Times New Roman"/>
          <w:sz w:val="24"/>
          <w:szCs w:val="24"/>
        </w:rPr>
        <w:t xml:space="preserve"> processes in aquifers often do not incorporate rate formulations explicitly controlled by microbial activity (e.g., Hunter et al 1998, van </w:t>
      </w:r>
      <w:proofErr w:type="spellStart"/>
      <w:r w:rsidRPr="00164F07">
        <w:rPr>
          <w:rFonts w:ascii="Times New Roman" w:eastAsia="Times New Roman" w:hAnsi="Times New Roman" w:cs="Times New Roman"/>
          <w:sz w:val="24"/>
          <w:szCs w:val="24"/>
        </w:rPr>
        <w:t>Breukelen</w:t>
      </w:r>
      <w:proofErr w:type="spellEnd"/>
      <w:r w:rsidRPr="00164F07">
        <w:rPr>
          <w:rFonts w:ascii="Times New Roman" w:eastAsia="Times New Roman" w:hAnsi="Times New Roman" w:cs="Times New Roman"/>
          <w:sz w:val="24"/>
          <w:szCs w:val="24"/>
        </w:rPr>
        <w:t xml:space="preserve"> et al 2004). In contrast, applications focusing exclusively on the fate of organic contaminants generally couple the rates of the primary redox reactions to the growth and activity of specific microbial groups (e.g., reviews by Murphy and Ginn 2000, Barry et al 2002, Brun and </w:t>
      </w:r>
      <w:proofErr w:type="spellStart"/>
      <w:r w:rsidRPr="00164F07">
        <w:rPr>
          <w:rFonts w:ascii="Times New Roman" w:eastAsia="Times New Roman" w:hAnsi="Times New Roman" w:cs="Times New Roman"/>
          <w:sz w:val="24"/>
          <w:szCs w:val="24"/>
        </w:rPr>
        <w:t>Engesgaard</w:t>
      </w:r>
      <w:proofErr w:type="spellEnd"/>
      <w:r w:rsidRPr="00164F07">
        <w:rPr>
          <w:rFonts w:ascii="Times New Roman" w:eastAsia="Times New Roman" w:hAnsi="Times New Roman" w:cs="Times New Roman"/>
          <w:sz w:val="24"/>
          <w:szCs w:val="24"/>
        </w:rPr>
        <w:t xml:space="preserve"> 2002; and literature cited therein). In such studies, however, the </w:t>
      </w:r>
      <w:proofErr w:type="spellStart"/>
      <w:r w:rsidRPr="00164F07">
        <w:rPr>
          <w:rFonts w:ascii="Times New Roman" w:eastAsia="Times New Roman" w:hAnsi="Times New Roman" w:cs="Times New Roman"/>
          <w:sz w:val="24"/>
          <w:szCs w:val="24"/>
        </w:rPr>
        <w:t>hydrochemical</w:t>
      </w:r>
      <w:proofErr w:type="spellEnd"/>
      <w:r w:rsidRPr="00164F07">
        <w:rPr>
          <w:rFonts w:ascii="Times New Roman" w:eastAsia="Times New Roman" w:hAnsi="Times New Roman" w:cs="Times New Roman"/>
          <w:sz w:val="24"/>
          <w:szCs w:val="24"/>
        </w:rPr>
        <w:t xml:space="preserve"> reaction network, including secondary redox reactions, is often seriously limited. Noteworthy exceptions include the recent modeling studies of Schäfer et al 1998a, Mayer et al 2002, and </w:t>
      </w:r>
      <w:proofErr w:type="spellStart"/>
      <w:r w:rsidRPr="00164F07">
        <w:rPr>
          <w:rFonts w:ascii="Times New Roman" w:eastAsia="Times New Roman" w:hAnsi="Times New Roman" w:cs="Times New Roman"/>
          <w:sz w:val="24"/>
          <w:szCs w:val="24"/>
        </w:rPr>
        <w:t>Prommer</w:t>
      </w:r>
      <w:proofErr w:type="spellEnd"/>
      <w:r w:rsidRPr="00164F07">
        <w:rPr>
          <w:rFonts w:ascii="Times New Roman" w:eastAsia="Times New Roman" w:hAnsi="Times New Roman" w:cs="Times New Roman"/>
          <w:sz w:val="24"/>
          <w:szCs w:val="24"/>
        </w:rPr>
        <w:t xml:space="preserve"> et al. (2003), which combine microbially mediated reactive processes with a comprehensive set of abiotic (hydro)geochemical reactions.</w:t>
      </w:r>
    </w:p>
    <w:p w:rsidR="00164F07" w:rsidRPr="00164F07" w:rsidRDefault="00164F07" w:rsidP="00164F07">
      <w:pPr>
        <w:spacing w:before="100" w:beforeAutospacing="1" w:after="100" w:afterAutospacing="1" w:line="240" w:lineRule="auto"/>
        <w:rPr>
          <w:rFonts w:ascii="Times New Roman" w:eastAsia="Times New Roman" w:hAnsi="Times New Roman" w:cs="Times New Roman"/>
          <w:sz w:val="24"/>
          <w:szCs w:val="24"/>
        </w:rPr>
      </w:pPr>
      <w:r w:rsidRPr="00164F07">
        <w:rPr>
          <w:rFonts w:ascii="Times New Roman" w:eastAsia="Times New Roman" w:hAnsi="Times New Roman" w:cs="Times New Roman"/>
          <w:sz w:val="24"/>
          <w:szCs w:val="24"/>
        </w:rPr>
        <w:t xml:space="preserve">In the field of early diagenetic modeling, the focus is mainly on the simulation of the steady state vertical distributions of chemical concentrations and reaction rates. RTMs often include a large variety of geochemical processes such as redox reactions, homogeneous acid-base equilibria, and the precipitation-dissolution of mineral phases (e.g., Boudreau 1996, </w:t>
      </w:r>
      <w:proofErr w:type="spellStart"/>
      <w:r w:rsidRPr="00164F07">
        <w:rPr>
          <w:rFonts w:ascii="Times New Roman" w:eastAsia="Times New Roman" w:hAnsi="Times New Roman" w:cs="Times New Roman"/>
          <w:sz w:val="24"/>
          <w:szCs w:val="24"/>
        </w:rPr>
        <w:t>Soetaert</w:t>
      </w:r>
      <w:proofErr w:type="spellEnd"/>
      <w:r w:rsidRPr="00164F07">
        <w:rPr>
          <w:rFonts w:ascii="Times New Roman" w:eastAsia="Times New Roman" w:hAnsi="Times New Roman" w:cs="Times New Roman"/>
          <w:sz w:val="24"/>
          <w:szCs w:val="24"/>
        </w:rPr>
        <w:t xml:space="preserve"> et al 1996, Van </w:t>
      </w:r>
      <w:proofErr w:type="spellStart"/>
      <w:r w:rsidRPr="00164F07">
        <w:rPr>
          <w:rFonts w:ascii="Times New Roman" w:eastAsia="Times New Roman" w:hAnsi="Times New Roman" w:cs="Times New Roman"/>
          <w:sz w:val="24"/>
          <w:szCs w:val="24"/>
        </w:rPr>
        <w:lastRenderedPageBreak/>
        <w:t>Cappellen</w:t>
      </w:r>
      <w:proofErr w:type="spellEnd"/>
      <w:r w:rsidRPr="00164F07">
        <w:rPr>
          <w:rFonts w:ascii="Times New Roman" w:eastAsia="Times New Roman" w:hAnsi="Times New Roman" w:cs="Times New Roman"/>
          <w:sz w:val="24"/>
          <w:szCs w:val="24"/>
        </w:rPr>
        <w:t xml:space="preserve"> and Wang 1996, Berg et al 2003). Yet, these models rarely include explicit expressions for microbial growth and, as a result, the dependency of redox reaction rates on changes in microbial community structure is not represented specifically. Some exceptions exist (e.g., </w:t>
      </w:r>
      <w:proofErr w:type="spellStart"/>
      <w:r w:rsidRPr="00164F07">
        <w:rPr>
          <w:rFonts w:ascii="Times New Roman" w:eastAsia="Times New Roman" w:hAnsi="Times New Roman" w:cs="Times New Roman"/>
          <w:sz w:val="24"/>
          <w:szCs w:val="24"/>
        </w:rPr>
        <w:t>Talin</w:t>
      </w:r>
      <w:proofErr w:type="spellEnd"/>
      <w:r w:rsidRPr="00164F07">
        <w:rPr>
          <w:rFonts w:ascii="Times New Roman" w:eastAsia="Times New Roman" w:hAnsi="Times New Roman" w:cs="Times New Roman"/>
          <w:sz w:val="24"/>
          <w:szCs w:val="24"/>
        </w:rPr>
        <w:t xml:space="preserve"> et al 2003, </w:t>
      </w:r>
      <w:proofErr w:type="spellStart"/>
      <w:r w:rsidRPr="00164F07">
        <w:rPr>
          <w:rFonts w:ascii="Times New Roman" w:eastAsia="Times New Roman" w:hAnsi="Times New Roman" w:cs="Times New Roman"/>
          <w:sz w:val="24"/>
          <w:szCs w:val="24"/>
        </w:rPr>
        <w:t>Baurmann</w:t>
      </w:r>
      <w:proofErr w:type="spellEnd"/>
      <w:r w:rsidRPr="00164F07">
        <w:rPr>
          <w:rFonts w:ascii="Times New Roman" w:eastAsia="Times New Roman" w:hAnsi="Times New Roman" w:cs="Times New Roman"/>
          <w:sz w:val="24"/>
          <w:szCs w:val="24"/>
        </w:rPr>
        <w:t xml:space="preserve"> et al 2004), but these studies are mainly on the conceptual level, and only implement highly simplified reaction networks. In addition, many of the widely applied RTMs (e.g., STEADYSED (Van </w:t>
      </w:r>
      <w:proofErr w:type="spellStart"/>
      <w:r w:rsidRPr="00164F07">
        <w:rPr>
          <w:rFonts w:ascii="Times New Roman" w:eastAsia="Times New Roman" w:hAnsi="Times New Roman" w:cs="Times New Roman"/>
          <w:sz w:val="24"/>
          <w:szCs w:val="24"/>
        </w:rPr>
        <w:t>Cappellen</w:t>
      </w:r>
      <w:proofErr w:type="spellEnd"/>
      <w:r w:rsidRPr="00164F07">
        <w:rPr>
          <w:rFonts w:ascii="Times New Roman" w:eastAsia="Times New Roman" w:hAnsi="Times New Roman" w:cs="Times New Roman"/>
          <w:sz w:val="24"/>
          <w:szCs w:val="24"/>
        </w:rPr>
        <w:t xml:space="preserve"> and Wang, 1996), CANDI (Boudreau, 1996)) have been used successfully to reproduce measured concentration profiles, but are based on rate expressions for primary redox processes where ad hoc formulations regulate the succession of the degradation pathways of organic matter. Accumulating evidence shows that these pathways may overlap (e.g., Jakobsen and Postma, 1999). For instance, incubation experiments have demonstrated that reactive </w:t>
      </w:r>
      <w:proofErr w:type="gramStart"/>
      <w:r w:rsidRPr="00164F07">
        <w:rPr>
          <w:rFonts w:ascii="Times New Roman" w:eastAsia="Times New Roman" w:hAnsi="Times New Roman" w:cs="Times New Roman"/>
          <w:sz w:val="24"/>
          <w:szCs w:val="24"/>
        </w:rPr>
        <w:t>Fe(</w:t>
      </w:r>
      <w:proofErr w:type="gramEnd"/>
      <w:r w:rsidRPr="00164F07">
        <w:rPr>
          <w:rFonts w:ascii="Times New Roman" w:eastAsia="Times New Roman" w:hAnsi="Times New Roman" w:cs="Times New Roman"/>
          <w:sz w:val="24"/>
          <w:szCs w:val="24"/>
        </w:rPr>
        <w:t>III)-oxyhydroxides, a more favorable TEA, does not inhibit sulfate-reduction when electron donors are present in high abundance (</w:t>
      </w:r>
      <w:proofErr w:type="spellStart"/>
      <w:r w:rsidRPr="00164F07">
        <w:rPr>
          <w:rFonts w:ascii="Times New Roman" w:eastAsia="Times New Roman" w:hAnsi="Times New Roman" w:cs="Times New Roman"/>
          <w:sz w:val="24"/>
          <w:szCs w:val="24"/>
        </w:rPr>
        <w:t>Koretsky</w:t>
      </w:r>
      <w:proofErr w:type="spellEnd"/>
      <w:r w:rsidRPr="00164F07">
        <w:rPr>
          <w:rFonts w:ascii="Times New Roman" w:eastAsia="Times New Roman" w:hAnsi="Times New Roman" w:cs="Times New Roman"/>
          <w:sz w:val="24"/>
          <w:szCs w:val="24"/>
        </w:rPr>
        <w:t xml:space="preserve"> et al., 2003). These results indicate that, alternative model approaches, based on competition between microbial groups, may be more appropriate to explain and predict patterns of redox activity in subsurface environments.</w:t>
      </w:r>
    </w:p>
    <w:p w:rsidR="00164F07" w:rsidRPr="00164F07" w:rsidRDefault="00164F07" w:rsidP="00164F07">
      <w:pPr>
        <w:spacing w:before="100" w:beforeAutospacing="1" w:after="100" w:afterAutospacing="1" w:line="240" w:lineRule="auto"/>
        <w:rPr>
          <w:rFonts w:ascii="Times New Roman" w:eastAsia="Times New Roman" w:hAnsi="Times New Roman" w:cs="Times New Roman"/>
          <w:sz w:val="24"/>
          <w:szCs w:val="24"/>
        </w:rPr>
      </w:pPr>
      <w:r w:rsidRPr="00164F07">
        <w:rPr>
          <w:rFonts w:ascii="Times New Roman" w:eastAsia="Times New Roman" w:hAnsi="Times New Roman" w:cs="Times New Roman"/>
          <w:sz w:val="24"/>
          <w:szCs w:val="24"/>
        </w:rPr>
        <w:t xml:space="preserve">In this paper, microbial growth kinetics are integrated in a geochemical reaction network model for redox dynamics using a flexible simulation environment (Biogeochemical Reaction Network Simulator or BRNS; </w:t>
      </w:r>
      <w:proofErr w:type="spellStart"/>
      <w:r w:rsidRPr="00164F07">
        <w:rPr>
          <w:rFonts w:ascii="Times New Roman" w:eastAsia="Times New Roman" w:hAnsi="Times New Roman" w:cs="Times New Roman"/>
          <w:sz w:val="24"/>
          <w:szCs w:val="24"/>
        </w:rPr>
        <w:t>Regnier</w:t>
      </w:r>
      <w:proofErr w:type="spellEnd"/>
      <w:r w:rsidRPr="00164F07">
        <w:rPr>
          <w:rFonts w:ascii="Times New Roman" w:eastAsia="Times New Roman" w:hAnsi="Times New Roman" w:cs="Times New Roman"/>
          <w:sz w:val="24"/>
          <w:szCs w:val="24"/>
        </w:rPr>
        <w:t xml:space="preserve"> et al., 2002). This modeling tool is appropriate to investigate biogeochemical transformations in complex reaction environments, characterized by a large range of </w:t>
      </w:r>
      <w:proofErr w:type="spellStart"/>
      <w:r w:rsidRPr="00164F07">
        <w:rPr>
          <w:rFonts w:ascii="Times New Roman" w:eastAsia="Times New Roman" w:hAnsi="Times New Roman" w:cs="Times New Roman"/>
          <w:sz w:val="24"/>
          <w:szCs w:val="24"/>
        </w:rPr>
        <w:t>spatio</w:t>
      </w:r>
      <w:proofErr w:type="spellEnd"/>
      <w:r w:rsidRPr="00164F07">
        <w:rPr>
          <w:rFonts w:ascii="Times New Roman" w:eastAsia="Times New Roman" w:hAnsi="Times New Roman" w:cs="Times New Roman"/>
          <w:sz w:val="24"/>
          <w:szCs w:val="24"/>
        </w:rPr>
        <w:t>-temporal scales and transport regimes. Reaction networks of arbitrary size and complexity can be defined and coupled to 1D transport processes (</w:t>
      </w:r>
      <w:proofErr w:type="spellStart"/>
      <w:r w:rsidRPr="00164F07">
        <w:rPr>
          <w:rFonts w:ascii="Times New Roman" w:eastAsia="Times New Roman" w:hAnsi="Times New Roman" w:cs="Times New Roman"/>
          <w:sz w:val="24"/>
          <w:szCs w:val="24"/>
        </w:rPr>
        <w:t>Regnier</w:t>
      </w:r>
      <w:proofErr w:type="spellEnd"/>
      <w:r w:rsidRPr="00164F07">
        <w:rPr>
          <w:rFonts w:ascii="Times New Roman" w:eastAsia="Times New Roman" w:hAnsi="Times New Roman" w:cs="Times New Roman"/>
          <w:sz w:val="24"/>
          <w:szCs w:val="24"/>
        </w:rPr>
        <w:t xml:space="preserve"> et al 2003, Aguilera et al 2005). The applicability of the model is tested using two classical literature examples in the area of contaminant hydrology and early diagenesis, which have been modeled previously by Schäfer et al. (1998b) and Wang and Van </w:t>
      </w:r>
      <w:proofErr w:type="spellStart"/>
      <w:r w:rsidRPr="00164F07">
        <w:rPr>
          <w:rFonts w:ascii="Times New Roman" w:eastAsia="Times New Roman" w:hAnsi="Times New Roman" w:cs="Times New Roman"/>
          <w:sz w:val="24"/>
          <w:szCs w:val="24"/>
        </w:rPr>
        <w:t>Cappellen</w:t>
      </w:r>
      <w:proofErr w:type="spellEnd"/>
      <w:r w:rsidRPr="00164F07">
        <w:rPr>
          <w:rFonts w:ascii="Times New Roman" w:eastAsia="Times New Roman" w:hAnsi="Times New Roman" w:cs="Times New Roman"/>
          <w:sz w:val="24"/>
          <w:szCs w:val="24"/>
        </w:rPr>
        <w:t xml:space="preserve"> (1996), respectively. Expressions used to simulate microbial dynamics and their effects on redox reaction rates are validated using the first example, which is based on the detailed results of a column experiment by von </w:t>
      </w:r>
      <w:proofErr w:type="spellStart"/>
      <w:r w:rsidRPr="00164F07">
        <w:rPr>
          <w:rFonts w:ascii="Times New Roman" w:eastAsia="Times New Roman" w:hAnsi="Times New Roman" w:cs="Times New Roman"/>
          <w:sz w:val="24"/>
          <w:szCs w:val="24"/>
        </w:rPr>
        <w:t>Gunten</w:t>
      </w:r>
      <w:proofErr w:type="spellEnd"/>
      <w:r w:rsidRPr="00164F07">
        <w:rPr>
          <w:rFonts w:ascii="Times New Roman" w:eastAsia="Times New Roman" w:hAnsi="Times New Roman" w:cs="Times New Roman"/>
          <w:sz w:val="24"/>
          <w:szCs w:val="24"/>
        </w:rPr>
        <w:t xml:space="preserve"> and Zobrist (1993). A mechanistic representation of the primary redox reactions is proposed, where microbial competition for the organic energy substrates leads to the formation of a redox sequence. The resulting microbially-driven reaction network is then applied to the early diagenesis example (Canfield et al., 1993), to determine whether the proposed rate expressions are suitable to simulate organic matter degradation in nearshore marine sediments.</w:t>
      </w:r>
    </w:p>
    <w:p w:rsidR="00164F07" w:rsidRPr="00164F07" w:rsidRDefault="00164F07" w:rsidP="00164F07">
      <w:pPr>
        <w:spacing w:before="100" w:beforeAutospacing="1" w:after="100" w:afterAutospacing="1" w:line="240" w:lineRule="auto"/>
        <w:rPr>
          <w:rFonts w:ascii="Times New Roman" w:eastAsia="Times New Roman" w:hAnsi="Times New Roman" w:cs="Times New Roman"/>
          <w:sz w:val="24"/>
          <w:szCs w:val="24"/>
        </w:rPr>
      </w:pPr>
      <w:r w:rsidRPr="00164F07">
        <w:rPr>
          <w:rFonts w:ascii="Times New Roman" w:eastAsia="Times New Roman" w:hAnsi="Times New Roman" w:cs="Times New Roman"/>
          <w:sz w:val="24"/>
          <w:szCs w:val="24"/>
        </w:rPr>
        <w:t>Overall, the aim of this study is to verify if our model is applicable to reactive transport problems characterized by different transport regimes and to evaluate the sensitivity of the simulation results towards using different kinetic models for microbially driven reactions. In addition, we investigate the extent to which the spatial distribution of microbial groups relates to the corresponding redox reaction rates, and how this relationship is influenced by transport processes.</w:t>
      </w:r>
    </w:p>
    <w:p w:rsidR="00164F07" w:rsidRPr="00164F07" w:rsidRDefault="00164F07" w:rsidP="00164F07">
      <w:pPr>
        <w:spacing w:before="100" w:beforeAutospacing="1" w:after="100" w:afterAutospacing="1" w:line="240" w:lineRule="auto"/>
        <w:outlineLvl w:val="1"/>
        <w:rPr>
          <w:rFonts w:ascii="Times New Roman" w:eastAsia="Times New Roman" w:hAnsi="Times New Roman" w:cs="Times New Roman"/>
          <w:b/>
          <w:bCs/>
          <w:sz w:val="36"/>
          <w:szCs w:val="36"/>
        </w:rPr>
      </w:pPr>
      <w:r w:rsidRPr="00164F07">
        <w:rPr>
          <w:rFonts w:ascii="Times New Roman" w:eastAsia="Times New Roman" w:hAnsi="Times New Roman" w:cs="Times New Roman"/>
          <w:b/>
          <w:bCs/>
          <w:sz w:val="36"/>
          <w:szCs w:val="36"/>
        </w:rPr>
        <w:t>Section snippets</w:t>
      </w:r>
    </w:p>
    <w:p w:rsidR="00164F07" w:rsidRPr="00164F07" w:rsidRDefault="00164F07" w:rsidP="00164F07">
      <w:pPr>
        <w:spacing w:before="100" w:beforeAutospacing="1" w:after="100" w:afterAutospacing="1" w:line="240" w:lineRule="auto"/>
        <w:outlineLvl w:val="1"/>
        <w:rPr>
          <w:rFonts w:ascii="Times New Roman" w:eastAsia="Times New Roman" w:hAnsi="Times New Roman" w:cs="Times New Roman"/>
          <w:b/>
          <w:bCs/>
          <w:sz w:val="36"/>
          <w:szCs w:val="36"/>
        </w:rPr>
      </w:pPr>
      <w:r w:rsidRPr="00164F07">
        <w:rPr>
          <w:rFonts w:ascii="Times New Roman" w:eastAsia="Times New Roman" w:hAnsi="Times New Roman" w:cs="Times New Roman"/>
          <w:b/>
          <w:bCs/>
          <w:sz w:val="36"/>
          <w:szCs w:val="36"/>
        </w:rPr>
        <w:t>Model description</w:t>
      </w:r>
    </w:p>
    <w:p w:rsidR="00164F07" w:rsidRPr="00164F07" w:rsidRDefault="00164F07" w:rsidP="00164F07">
      <w:pPr>
        <w:spacing w:before="100" w:beforeAutospacing="1" w:after="100" w:afterAutospacing="1" w:line="240" w:lineRule="auto"/>
        <w:rPr>
          <w:rFonts w:ascii="Times New Roman" w:eastAsia="Times New Roman" w:hAnsi="Times New Roman" w:cs="Times New Roman"/>
          <w:sz w:val="24"/>
          <w:szCs w:val="24"/>
        </w:rPr>
      </w:pPr>
      <w:r w:rsidRPr="00164F07">
        <w:rPr>
          <w:rFonts w:ascii="Times New Roman" w:eastAsia="Times New Roman" w:hAnsi="Times New Roman" w:cs="Times New Roman"/>
          <w:sz w:val="24"/>
          <w:szCs w:val="24"/>
        </w:rPr>
        <w:t xml:space="preserve">The mathematical formulation of the Biogeochemical Reaction Network Simulator (BRNS), which is used here to compute transient and steady-state redox dynamics in porous media is described in detail in </w:t>
      </w:r>
      <w:proofErr w:type="spellStart"/>
      <w:r w:rsidRPr="00164F07">
        <w:rPr>
          <w:rFonts w:ascii="Times New Roman" w:eastAsia="Times New Roman" w:hAnsi="Times New Roman" w:cs="Times New Roman"/>
          <w:sz w:val="24"/>
          <w:szCs w:val="24"/>
        </w:rPr>
        <w:t>Regnier</w:t>
      </w:r>
      <w:proofErr w:type="spellEnd"/>
      <w:r w:rsidRPr="00164F07">
        <w:rPr>
          <w:rFonts w:ascii="Times New Roman" w:eastAsia="Times New Roman" w:hAnsi="Times New Roman" w:cs="Times New Roman"/>
          <w:sz w:val="24"/>
          <w:szCs w:val="24"/>
        </w:rPr>
        <w:t xml:space="preserve"> et al 2002, </w:t>
      </w:r>
      <w:proofErr w:type="spellStart"/>
      <w:r w:rsidRPr="00164F07">
        <w:rPr>
          <w:rFonts w:ascii="Times New Roman" w:eastAsia="Times New Roman" w:hAnsi="Times New Roman" w:cs="Times New Roman"/>
          <w:sz w:val="24"/>
          <w:szCs w:val="24"/>
        </w:rPr>
        <w:t>Regnier</w:t>
      </w:r>
      <w:proofErr w:type="spellEnd"/>
      <w:r w:rsidRPr="00164F07">
        <w:rPr>
          <w:rFonts w:ascii="Times New Roman" w:eastAsia="Times New Roman" w:hAnsi="Times New Roman" w:cs="Times New Roman"/>
          <w:sz w:val="24"/>
          <w:szCs w:val="24"/>
        </w:rPr>
        <w:t xml:space="preserve"> et al 2003 and Aguilera et al. (2005). Briefly, the simulation environment consists of a generalized finite difference algorithm for one-dimensional advection-diffusion coupled to a multi-component reaction solver capable of handling mixed kinetic-equilibrium systems.</w:t>
      </w:r>
    </w:p>
    <w:p w:rsidR="00164F07" w:rsidRPr="00164F07" w:rsidRDefault="00164F07" w:rsidP="00164F07">
      <w:pPr>
        <w:spacing w:before="100" w:beforeAutospacing="1" w:after="100" w:afterAutospacing="1" w:line="240" w:lineRule="auto"/>
        <w:outlineLvl w:val="1"/>
        <w:rPr>
          <w:rFonts w:ascii="Times New Roman" w:eastAsia="Times New Roman" w:hAnsi="Times New Roman" w:cs="Times New Roman"/>
          <w:b/>
          <w:bCs/>
          <w:sz w:val="36"/>
          <w:szCs w:val="36"/>
        </w:rPr>
      </w:pPr>
      <w:r w:rsidRPr="00164F07">
        <w:rPr>
          <w:rFonts w:ascii="Times New Roman" w:eastAsia="Times New Roman" w:hAnsi="Times New Roman" w:cs="Times New Roman"/>
          <w:b/>
          <w:bCs/>
          <w:sz w:val="36"/>
          <w:szCs w:val="36"/>
        </w:rPr>
        <w:lastRenderedPageBreak/>
        <w:t>Scenarios</w:t>
      </w:r>
    </w:p>
    <w:p w:rsidR="00164F07" w:rsidRPr="00164F07" w:rsidRDefault="00164F07" w:rsidP="00164F07">
      <w:pPr>
        <w:spacing w:before="100" w:beforeAutospacing="1" w:after="100" w:afterAutospacing="1" w:line="240" w:lineRule="auto"/>
        <w:rPr>
          <w:rFonts w:ascii="Times New Roman" w:eastAsia="Times New Roman" w:hAnsi="Times New Roman" w:cs="Times New Roman"/>
          <w:sz w:val="24"/>
          <w:szCs w:val="24"/>
        </w:rPr>
      </w:pPr>
      <w:r w:rsidRPr="00164F07">
        <w:rPr>
          <w:rFonts w:ascii="Times New Roman" w:eastAsia="Times New Roman" w:hAnsi="Times New Roman" w:cs="Times New Roman"/>
          <w:sz w:val="24"/>
          <w:szCs w:val="24"/>
        </w:rPr>
        <w:t xml:space="preserve">Two comprehensive data sets, from the fields of contaminant hydrology (von </w:t>
      </w:r>
      <w:proofErr w:type="spellStart"/>
      <w:r w:rsidRPr="00164F07">
        <w:rPr>
          <w:rFonts w:ascii="Times New Roman" w:eastAsia="Times New Roman" w:hAnsi="Times New Roman" w:cs="Times New Roman"/>
          <w:sz w:val="24"/>
          <w:szCs w:val="24"/>
        </w:rPr>
        <w:t>Gunten</w:t>
      </w:r>
      <w:proofErr w:type="spellEnd"/>
      <w:r w:rsidRPr="00164F07">
        <w:rPr>
          <w:rFonts w:ascii="Times New Roman" w:eastAsia="Times New Roman" w:hAnsi="Times New Roman" w:cs="Times New Roman"/>
          <w:sz w:val="24"/>
          <w:szCs w:val="24"/>
        </w:rPr>
        <w:t xml:space="preserve"> and Zobrist, 1993) and from early diagenesis (Canfield et al., 1993) were used to assess model performance and to allow a comparison between systems characterized by different transport regimes. The first data set was compared with simulations based on a reaction network explicitly linking redox dynamics to microbial growth (Scenario 1). Two different scenarios of increasing complexity were then considered in the</w:t>
      </w:r>
    </w:p>
    <w:p w:rsidR="00164F07" w:rsidRPr="00164F07" w:rsidRDefault="00164F07" w:rsidP="00164F07">
      <w:pPr>
        <w:spacing w:before="100" w:beforeAutospacing="1" w:after="100" w:afterAutospacing="1" w:line="240" w:lineRule="auto"/>
        <w:outlineLvl w:val="1"/>
        <w:rPr>
          <w:rFonts w:ascii="Times New Roman" w:eastAsia="Times New Roman" w:hAnsi="Times New Roman" w:cs="Times New Roman"/>
          <w:b/>
          <w:bCs/>
          <w:sz w:val="36"/>
          <w:szCs w:val="36"/>
        </w:rPr>
      </w:pPr>
      <w:r w:rsidRPr="00164F07">
        <w:rPr>
          <w:rFonts w:ascii="Times New Roman" w:eastAsia="Times New Roman" w:hAnsi="Times New Roman" w:cs="Times New Roman"/>
          <w:b/>
          <w:bCs/>
          <w:sz w:val="36"/>
          <w:szCs w:val="36"/>
        </w:rPr>
        <w:t>Scenario 1</w:t>
      </w:r>
    </w:p>
    <w:p w:rsidR="00164F07" w:rsidRPr="00164F07" w:rsidRDefault="00164F07" w:rsidP="00164F07">
      <w:pPr>
        <w:spacing w:before="100" w:beforeAutospacing="1" w:after="100" w:afterAutospacing="1" w:line="240" w:lineRule="auto"/>
        <w:rPr>
          <w:rFonts w:ascii="Times New Roman" w:eastAsia="Times New Roman" w:hAnsi="Times New Roman" w:cs="Times New Roman"/>
          <w:sz w:val="24"/>
          <w:szCs w:val="24"/>
        </w:rPr>
      </w:pPr>
      <w:r w:rsidRPr="00164F07">
        <w:rPr>
          <w:rFonts w:ascii="Times New Roman" w:eastAsia="Times New Roman" w:hAnsi="Times New Roman" w:cs="Times New Roman"/>
          <w:sz w:val="24"/>
          <w:szCs w:val="24"/>
        </w:rPr>
        <w:t>A comparison of measured concentration profiles of dissolved chemical species after 48 days of column operation with the results of our simulations is shown in Figure 2. The target time of 48 days was chosen because the dataset is most complete for this sampling event. This was also the target time chosen in the modeling study of Schäfer et al. (1998b). Simulation results for solid chemical species correspond to the end of the experiment (110 days), when concentrations in the matrix were</w:t>
      </w:r>
    </w:p>
    <w:p w:rsidR="00164F07" w:rsidRPr="00164F07" w:rsidRDefault="00164F07" w:rsidP="00164F07">
      <w:pPr>
        <w:spacing w:before="100" w:beforeAutospacing="1" w:after="100" w:afterAutospacing="1" w:line="240" w:lineRule="auto"/>
        <w:outlineLvl w:val="1"/>
        <w:rPr>
          <w:rFonts w:ascii="Times New Roman" w:eastAsia="Times New Roman" w:hAnsi="Times New Roman" w:cs="Times New Roman"/>
          <w:b/>
          <w:bCs/>
          <w:sz w:val="36"/>
          <w:szCs w:val="36"/>
        </w:rPr>
      </w:pPr>
      <w:r w:rsidRPr="00164F07">
        <w:rPr>
          <w:rFonts w:ascii="Times New Roman" w:eastAsia="Times New Roman" w:hAnsi="Times New Roman" w:cs="Times New Roman"/>
          <w:b/>
          <w:bCs/>
          <w:sz w:val="36"/>
          <w:szCs w:val="36"/>
        </w:rPr>
        <w:t>Performance of the BRNS</w:t>
      </w:r>
    </w:p>
    <w:p w:rsidR="00164F07" w:rsidRPr="00164F07" w:rsidRDefault="00164F07" w:rsidP="00164F07">
      <w:pPr>
        <w:spacing w:before="100" w:beforeAutospacing="1" w:after="100" w:afterAutospacing="1" w:line="240" w:lineRule="auto"/>
        <w:rPr>
          <w:rFonts w:ascii="Times New Roman" w:eastAsia="Times New Roman" w:hAnsi="Times New Roman" w:cs="Times New Roman"/>
          <w:sz w:val="24"/>
          <w:szCs w:val="24"/>
        </w:rPr>
      </w:pPr>
      <w:r w:rsidRPr="00164F07">
        <w:rPr>
          <w:rFonts w:ascii="Times New Roman" w:eastAsia="Times New Roman" w:hAnsi="Times New Roman" w:cs="Times New Roman"/>
          <w:sz w:val="24"/>
          <w:szCs w:val="24"/>
        </w:rPr>
        <w:t>Our simulation results for Scenario 1 are nearly identical to those of Schäfer et al. (1998b), and indicate that the discrepancies between measured and simulated concentrations in the zone between 5 and 10 cm from the column inlet are likely due to processes not included or not adequately represented in the reaction network. The BRNS performs therefore equally well as the ‘TBC’ model of Schäfer et al. (1998a), a widely recognized reactive transport model in the area of contaminant hydrology (</w:t>
      </w:r>
    </w:p>
    <w:p w:rsidR="00164F07" w:rsidRPr="00164F07" w:rsidRDefault="00164F07" w:rsidP="00164F07">
      <w:pPr>
        <w:spacing w:before="100" w:beforeAutospacing="1" w:after="100" w:afterAutospacing="1" w:line="240" w:lineRule="auto"/>
        <w:outlineLvl w:val="1"/>
        <w:rPr>
          <w:rFonts w:ascii="Times New Roman" w:eastAsia="Times New Roman" w:hAnsi="Times New Roman" w:cs="Times New Roman"/>
          <w:b/>
          <w:bCs/>
          <w:sz w:val="36"/>
          <w:szCs w:val="36"/>
        </w:rPr>
      </w:pPr>
      <w:r w:rsidRPr="00164F07">
        <w:rPr>
          <w:rFonts w:ascii="Times New Roman" w:eastAsia="Times New Roman" w:hAnsi="Times New Roman" w:cs="Times New Roman"/>
          <w:b/>
          <w:bCs/>
          <w:sz w:val="36"/>
          <w:szCs w:val="36"/>
        </w:rPr>
        <w:t>Summary and conclusions</w:t>
      </w:r>
    </w:p>
    <w:p w:rsidR="00164F07" w:rsidRPr="00164F07" w:rsidRDefault="00164F07" w:rsidP="00164F07">
      <w:pPr>
        <w:spacing w:before="100" w:beforeAutospacing="1" w:after="100" w:afterAutospacing="1" w:line="240" w:lineRule="auto"/>
        <w:rPr>
          <w:rFonts w:ascii="Times New Roman" w:eastAsia="Times New Roman" w:hAnsi="Times New Roman" w:cs="Times New Roman"/>
          <w:sz w:val="24"/>
          <w:szCs w:val="24"/>
        </w:rPr>
      </w:pPr>
      <w:r w:rsidRPr="00164F07">
        <w:rPr>
          <w:rFonts w:ascii="Times New Roman" w:eastAsia="Times New Roman" w:hAnsi="Times New Roman" w:cs="Times New Roman"/>
          <w:sz w:val="24"/>
          <w:szCs w:val="24"/>
        </w:rPr>
        <w:t xml:space="preserve">A new and flexible simulation environment, the Biogeochemical Reaction Network Simulator (BRNS) has been applied to the simulation of reactive transport problems in groundwater environments and aquatic sediments. The BRNS performs equally well as previously established reactive-transport models (TBC and STEADYSED) dedicated to specific applications or specific porous environments described by different transport regimes and </w:t>
      </w:r>
      <w:proofErr w:type="spellStart"/>
      <w:r w:rsidRPr="00164F07">
        <w:rPr>
          <w:rFonts w:ascii="Times New Roman" w:eastAsia="Times New Roman" w:hAnsi="Times New Roman" w:cs="Times New Roman"/>
          <w:sz w:val="24"/>
          <w:szCs w:val="24"/>
        </w:rPr>
        <w:t>spatio</w:t>
      </w:r>
      <w:proofErr w:type="spellEnd"/>
      <w:r w:rsidRPr="00164F07">
        <w:rPr>
          <w:rFonts w:ascii="Times New Roman" w:eastAsia="Times New Roman" w:hAnsi="Times New Roman" w:cs="Times New Roman"/>
          <w:sz w:val="24"/>
          <w:szCs w:val="24"/>
        </w:rPr>
        <w:t>-temporal scales. In contrast to TBC and STEADYSED, our approach</w:t>
      </w:r>
    </w:p>
    <w:p w:rsidR="00164F07" w:rsidRPr="00164F07" w:rsidRDefault="00164F07" w:rsidP="00164F07">
      <w:pPr>
        <w:spacing w:before="100" w:beforeAutospacing="1" w:after="100" w:afterAutospacing="1" w:line="240" w:lineRule="auto"/>
        <w:outlineLvl w:val="1"/>
        <w:rPr>
          <w:rFonts w:ascii="Times New Roman" w:eastAsia="Times New Roman" w:hAnsi="Times New Roman" w:cs="Times New Roman"/>
          <w:b/>
          <w:bCs/>
          <w:sz w:val="36"/>
          <w:szCs w:val="36"/>
        </w:rPr>
      </w:pPr>
      <w:r w:rsidRPr="00164F07">
        <w:rPr>
          <w:rFonts w:ascii="Times New Roman" w:eastAsia="Times New Roman" w:hAnsi="Times New Roman" w:cs="Times New Roman"/>
          <w:b/>
          <w:bCs/>
          <w:sz w:val="36"/>
          <w:szCs w:val="36"/>
        </w:rPr>
        <w:t>Acknowledgments</w:t>
      </w:r>
    </w:p>
    <w:p w:rsidR="00164F07" w:rsidRPr="00164F07" w:rsidRDefault="00164F07" w:rsidP="00164F07">
      <w:pPr>
        <w:spacing w:before="100" w:beforeAutospacing="1" w:after="100" w:afterAutospacing="1" w:line="240" w:lineRule="auto"/>
        <w:rPr>
          <w:rFonts w:ascii="Times New Roman" w:eastAsia="Times New Roman" w:hAnsi="Times New Roman" w:cs="Times New Roman"/>
          <w:sz w:val="24"/>
          <w:szCs w:val="24"/>
        </w:rPr>
      </w:pPr>
      <w:r w:rsidRPr="00164F07">
        <w:rPr>
          <w:rFonts w:ascii="Times New Roman" w:eastAsia="Times New Roman" w:hAnsi="Times New Roman" w:cs="Times New Roman"/>
          <w:sz w:val="24"/>
          <w:szCs w:val="24"/>
        </w:rPr>
        <w:t xml:space="preserve">Dirk Schäfer, University Kiel, Germany, is acknowledged for providing further information on the modeling study presented in Schäfer et al., 1998b. This study was funded by the Netherlands </w:t>
      </w:r>
      <w:proofErr w:type="spellStart"/>
      <w:r w:rsidRPr="00164F07">
        <w:rPr>
          <w:rFonts w:ascii="Times New Roman" w:eastAsia="Times New Roman" w:hAnsi="Times New Roman" w:cs="Times New Roman"/>
          <w:sz w:val="24"/>
          <w:szCs w:val="24"/>
        </w:rPr>
        <w:t>Organisation</w:t>
      </w:r>
      <w:proofErr w:type="spellEnd"/>
      <w:r w:rsidRPr="00164F07">
        <w:rPr>
          <w:rFonts w:ascii="Times New Roman" w:eastAsia="Times New Roman" w:hAnsi="Times New Roman" w:cs="Times New Roman"/>
          <w:sz w:val="24"/>
          <w:szCs w:val="24"/>
        </w:rPr>
        <w:t xml:space="preserve"> for Scientific Research (NWO) grant 813.02.008. An online IT-based version of the BRNS can be accessed via </w:t>
      </w:r>
      <w:hyperlink r:id="rId11" w:tgtFrame="_blank" w:history="1">
        <w:r w:rsidRPr="00164F07">
          <w:rPr>
            <w:rFonts w:ascii="Times New Roman" w:eastAsia="Times New Roman" w:hAnsi="Times New Roman" w:cs="Times New Roman"/>
            <w:color w:val="0000FF"/>
            <w:sz w:val="24"/>
            <w:szCs w:val="24"/>
            <w:u w:val="single"/>
          </w:rPr>
          <w:t>http://www.geo.uu.nl/</w:t>
        </w:r>
        <w:r w:rsidRPr="00164F07">
          <w:rPr>
            <w:rFonts w:ascii="Cambria Math" w:eastAsia="Times New Roman" w:hAnsi="Cambria Math" w:cs="Cambria Math"/>
            <w:color w:val="0000FF"/>
            <w:sz w:val="24"/>
            <w:szCs w:val="24"/>
            <w:u w:val="single"/>
          </w:rPr>
          <w:t>∼</w:t>
        </w:r>
        <w:proofErr w:type="spellStart"/>
        <w:r w:rsidRPr="00164F07">
          <w:rPr>
            <w:rFonts w:ascii="Times New Roman" w:eastAsia="Times New Roman" w:hAnsi="Times New Roman" w:cs="Times New Roman"/>
            <w:color w:val="0000FF"/>
            <w:sz w:val="24"/>
            <w:szCs w:val="24"/>
            <w:u w:val="single"/>
          </w:rPr>
          <w:t>rtm</w:t>
        </w:r>
        <w:proofErr w:type="spellEnd"/>
        <w:r w:rsidRPr="00164F07">
          <w:rPr>
            <w:rFonts w:ascii="Times New Roman" w:eastAsia="Times New Roman" w:hAnsi="Times New Roman" w:cs="Times New Roman"/>
            <w:color w:val="0000FF"/>
            <w:sz w:val="24"/>
            <w:szCs w:val="24"/>
            <w:u w:val="single"/>
          </w:rPr>
          <w:t>/</w:t>
        </w:r>
      </w:hyperlink>
    </w:p>
    <w:p w:rsidR="0072637C" w:rsidRDefault="00164F07" w:rsidP="00164F07">
      <w:r w:rsidRPr="00164F07">
        <w:rPr>
          <w:rFonts w:ascii="Times New Roman" w:eastAsia="Times New Roman" w:hAnsi="Times New Roman" w:cs="Times New Roman"/>
          <w:sz w:val="24"/>
          <w:szCs w:val="24"/>
        </w:rPr>
        <w:t>.</w:t>
      </w:r>
    </w:p>
    <w:sectPr w:rsidR="0072637C">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4F07"/>
    <w:rsid w:val="00164F07"/>
    <w:rsid w:val="007263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EEDA82"/>
  <w15:chartTrackingRefBased/>
  <w15:docId w15:val="{A45DEE28-1E70-4F43-AE07-E97A226359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29266887">
      <w:bodyDiv w:val="1"/>
      <w:marLeft w:val="0"/>
      <w:marRight w:val="0"/>
      <w:marTop w:val="0"/>
      <w:marBottom w:val="0"/>
      <w:divBdr>
        <w:top w:val="none" w:sz="0" w:space="0" w:color="auto"/>
        <w:left w:val="none" w:sz="0" w:space="0" w:color="auto"/>
        <w:bottom w:val="none" w:sz="0" w:space="0" w:color="auto"/>
        <w:right w:val="none" w:sz="0" w:space="0" w:color="auto"/>
      </w:divBdr>
      <w:divsChild>
        <w:div w:id="1776944669">
          <w:marLeft w:val="0"/>
          <w:marRight w:val="0"/>
          <w:marTop w:val="0"/>
          <w:marBottom w:val="0"/>
          <w:divBdr>
            <w:top w:val="none" w:sz="0" w:space="0" w:color="auto"/>
            <w:left w:val="none" w:sz="0" w:space="0" w:color="auto"/>
            <w:bottom w:val="none" w:sz="0" w:space="0" w:color="auto"/>
            <w:right w:val="none" w:sz="0" w:space="0" w:color="auto"/>
          </w:divBdr>
          <w:divsChild>
            <w:div w:id="134875856">
              <w:marLeft w:val="0"/>
              <w:marRight w:val="0"/>
              <w:marTop w:val="0"/>
              <w:marBottom w:val="0"/>
              <w:divBdr>
                <w:top w:val="none" w:sz="0" w:space="0" w:color="auto"/>
                <w:left w:val="none" w:sz="0" w:space="0" w:color="auto"/>
                <w:bottom w:val="none" w:sz="0" w:space="0" w:color="auto"/>
                <w:right w:val="none" w:sz="0" w:space="0" w:color="auto"/>
              </w:divBdr>
              <w:divsChild>
                <w:div w:id="1814369912">
                  <w:marLeft w:val="0"/>
                  <w:marRight w:val="0"/>
                  <w:marTop w:val="0"/>
                  <w:marBottom w:val="0"/>
                  <w:divBdr>
                    <w:top w:val="none" w:sz="0" w:space="0" w:color="auto"/>
                    <w:left w:val="none" w:sz="0" w:space="0" w:color="auto"/>
                    <w:bottom w:val="none" w:sz="0" w:space="0" w:color="auto"/>
                    <w:right w:val="none" w:sz="0" w:space="0" w:color="auto"/>
                  </w:divBdr>
                  <w:divsChild>
                    <w:div w:id="186065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3741032">
          <w:marLeft w:val="0"/>
          <w:marRight w:val="0"/>
          <w:marTop w:val="0"/>
          <w:marBottom w:val="0"/>
          <w:divBdr>
            <w:top w:val="none" w:sz="0" w:space="0" w:color="auto"/>
            <w:left w:val="none" w:sz="0" w:space="0" w:color="auto"/>
            <w:bottom w:val="none" w:sz="0" w:space="0" w:color="auto"/>
            <w:right w:val="none" w:sz="0" w:space="0" w:color="auto"/>
          </w:divBdr>
          <w:divsChild>
            <w:div w:id="1072969926">
              <w:marLeft w:val="0"/>
              <w:marRight w:val="0"/>
              <w:marTop w:val="0"/>
              <w:marBottom w:val="0"/>
              <w:divBdr>
                <w:top w:val="none" w:sz="0" w:space="0" w:color="auto"/>
                <w:left w:val="none" w:sz="0" w:space="0" w:color="auto"/>
                <w:bottom w:val="none" w:sz="0" w:space="0" w:color="auto"/>
                <w:right w:val="none" w:sz="0" w:space="0" w:color="auto"/>
              </w:divBdr>
              <w:divsChild>
                <w:div w:id="968627063">
                  <w:marLeft w:val="0"/>
                  <w:marRight w:val="0"/>
                  <w:marTop w:val="0"/>
                  <w:marBottom w:val="0"/>
                  <w:divBdr>
                    <w:top w:val="none" w:sz="0" w:space="0" w:color="auto"/>
                    <w:left w:val="none" w:sz="0" w:space="0" w:color="auto"/>
                    <w:bottom w:val="none" w:sz="0" w:space="0" w:color="auto"/>
                    <w:right w:val="none" w:sz="0" w:space="0" w:color="auto"/>
                  </w:divBdr>
                  <w:divsChild>
                    <w:div w:id="61148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955588">
          <w:marLeft w:val="0"/>
          <w:marRight w:val="0"/>
          <w:marTop w:val="0"/>
          <w:marBottom w:val="0"/>
          <w:divBdr>
            <w:top w:val="none" w:sz="0" w:space="0" w:color="auto"/>
            <w:left w:val="none" w:sz="0" w:space="0" w:color="auto"/>
            <w:bottom w:val="none" w:sz="0" w:space="0" w:color="auto"/>
            <w:right w:val="none" w:sz="0" w:space="0" w:color="auto"/>
          </w:divBdr>
          <w:divsChild>
            <w:div w:id="1378238009">
              <w:marLeft w:val="0"/>
              <w:marRight w:val="0"/>
              <w:marTop w:val="0"/>
              <w:marBottom w:val="0"/>
              <w:divBdr>
                <w:top w:val="none" w:sz="0" w:space="0" w:color="auto"/>
                <w:left w:val="none" w:sz="0" w:space="0" w:color="auto"/>
                <w:bottom w:val="none" w:sz="0" w:space="0" w:color="auto"/>
                <w:right w:val="none" w:sz="0" w:space="0" w:color="auto"/>
              </w:divBdr>
            </w:div>
          </w:divsChild>
        </w:div>
        <w:div w:id="1836334877">
          <w:marLeft w:val="0"/>
          <w:marRight w:val="0"/>
          <w:marTop w:val="0"/>
          <w:marBottom w:val="0"/>
          <w:divBdr>
            <w:top w:val="none" w:sz="0" w:space="0" w:color="auto"/>
            <w:left w:val="none" w:sz="0" w:space="0" w:color="auto"/>
            <w:bottom w:val="none" w:sz="0" w:space="0" w:color="auto"/>
            <w:right w:val="none" w:sz="0" w:space="0" w:color="auto"/>
          </w:divBdr>
          <w:divsChild>
            <w:div w:id="228006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marine-sediment"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sciencedirect.com/topics/earth-and-planetary-sciences/diagenesis"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micro-organism" TargetMode="External"/><Relationship Id="rId11" Type="http://schemas.openxmlformats.org/officeDocument/2006/relationships/hyperlink" Target="http://www.geo.uu.nl/~rtm/" TargetMode="External"/><Relationship Id="rId5" Type="http://schemas.openxmlformats.org/officeDocument/2006/relationships/hyperlink" Target="https://www.sciencedirect.com/topics/earth-and-planetary-sciences/porous-medium" TargetMode="External"/><Relationship Id="rId10" Type="http://schemas.openxmlformats.org/officeDocument/2006/relationships/hyperlink" Target="https://www.sciencedirect.com/topics/earth-and-planetary-sciences/bioturbation" TargetMode="External"/><Relationship Id="rId4" Type="http://schemas.openxmlformats.org/officeDocument/2006/relationships/hyperlink" Target="https://doi.org/10.1016/j.gca.2005.04.026" TargetMode="External"/><Relationship Id="rId9" Type="http://schemas.openxmlformats.org/officeDocument/2006/relationships/hyperlink" Target="https://www.sciencedirect.com/topics/earth-and-planetary-sciences/advec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2230</Words>
  <Characters>12714</Characters>
  <Application>Microsoft Office Word</Application>
  <DocSecurity>0</DocSecurity>
  <Lines>105</Lines>
  <Paragraphs>29</Paragraphs>
  <ScaleCrop>false</ScaleCrop>
  <Company/>
  <LinksUpToDate>false</LinksUpToDate>
  <CharactersWithSpaces>14915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2023-11-11T07:48:00Z</dcterms:created>
  <dcterms:modified xsi:type="dcterms:W3CDTF">2023-11-11T07:49:00Z</dcterms:modified>
</cp:coreProperties>
</file>