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C77643" w:rsidRPr="00C77643" w:rsidRDefault="00C77643" w:rsidP="00C77643">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C77643">
        <w:rPr>
          <w:rFonts w:ascii="Times New Roman" w:eastAsia="Times New Roman" w:hAnsi="Times New Roman" w:cs="Times New Roman"/>
          <w:b/>
          <w:bCs/>
          <w:kern w:val="36"/>
          <w:sz w:val="48"/>
          <w:szCs w:val="48"/>
        </w:rPr>
        <w:t xml:space="preserve">New pyrolytic and spectroscopic data on </w:t>
      </w:r>
      <w:proofErr w:type="spellStart"/>
      <w:r w:rsidRPr="00C77643">
        <w:rPr>
          <w:rFonts w:ascii="Times New Roman" w:eastAsia="Times New Roman" w:hAnsi="Times New Roman" w:cs="Times New Roman"/>
          <w:b/>
          <w:bCs/>
          <w:kern w:val="36"/>
          <w:sz w:val="48"/>
          <w:szCs w:val="48"/>
        </w:rPr>
        <w:t>Orgueil</w:t>
      </w:r>
      <w:proofErr w:type="spellEnd"/>
      <w:r w:rsidRPr="00C77643">
        <w:rPr>
          <w:rFonts w:ascii="Times New Roman" w:eastAsia="Times New Roman" w:hAnsi="Times New Roman" w:cs="Times New Roman"/>
          <w:b/>
          <w:bCs/>
          <w:kern w:val="36"/>
          <w:sz w:val="48"/>
          <w:szCs w:val="48"/>
        </w:rPr>
        <w:t xml:space="preserve"> and Murchison insoluble organic matter: A different origin than soluble?</w:t>
      </w:r>
    </w:p>
    <w:p w:rsidR="00C77643" w:rsidRPr="00C77643" w:rsidRDefault="00C77643" w:rsidP="00C77643">
      <w:pPr>
        <w:spacing w:after="0" w:line="240" w:lineRule="auto"/>
        <w:rPr>
          <w:rFonts w:ascii="Times New Roman" w:eastAsia="Times New Roman" w:hAnsi="Times New Roman" w:cs="Times New Roman"/>
          <w:sz w:val="24"/>
          <w:szCs w:val="24"/>
        </w:rPr>
      </w:pPr>
      <w:r w:rsidRPr="00C77643">
        <w:rPr>
          <w:rFonts w:ascii="Times New Roman" w:eastAsia="Times New Roman" w:hAnsi="Times New Roman" w:cs="Times New Roman"/>
          <w:sz w:val="24"/>
          <w:szCs w:val="24"/>
        </w:rPr>
        <w:t>Author links open overlay panel</w:t>
      </w:r>
    </w:p>
    <w:p w:rsidR="00C77643" w:rsidRPr="00C77643" w:rsidRDefault="00C77643" w:rsidP="00C77643">
      <w:pPr>
        <w:spacing w:after="0" w:line="240" w:lineRule="auto"/>
        <w:rPr>
          <w:rFonts w:ascii="Times New Roman" w:eastAsia="Times New Roman" w:hAnsi="Times New Roman" w:cs="Times New Roman"/>
          <w:sz w:val="24"/>
          <w:szCs w:val="24"/>
        </w:rPr>
      </w:pPr>
      <w:r w:rsidRPr="00C77643">
        <w:rPr>
          <w:rFonts w:ascii="Times New Roman" w:eastAsia="Times New Roman" w:hAnsi="Times New Roman" w:cs="Times New Roman"/>
          <w:sz w:val="24"/>
          <w:szCs w:val="24"/>
        </w:rPr>
        <w:t xml:space="preserve">, , , </w:t>
      </w:r>
    </w:p>
    <w:p w:rsidR="00C77643" w:rsidRPr="00C77643" w:rsidRDefault="00C77643" w:rsidP="00C77643">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C77643">
          <w:rPr>
            <w:rFonts w:ascii="Times New Roman" w:eastAsia="Times New Roman" w:hAnsi="Times New Roman" w:cs="Times New Roman"/>
            <w:color w:val="0000FF"/>
            <w:sz w:val="24"/>
            <w:szCs w:val="24"/>
            <w:u w:val="single"/>
          </w:rPr>
          <w:t>https://doi.org/10.1016/j.gca.2005.02.032</w:t>
        </w:r>
      </w:hyperlink>
      <w:bookmarkStart w:id="0" w:name="_GoBack"/>
      <w:bookmarkEnd w:id="0"/>
      <w:r w:rsidRPr="00C77643">
        <w:rPr>
          <w:rFonts w:ascii="Times New Roman" w:eastAsia="Times New Roman" w:hAnsi="Times New Roman" w:cs="Times New Roman"/>
          <w:sz w:val="24"/>
          <w:szCs w:val="24"/>
        </w:rPr>
        <w:t xml:space="preserve"> </w:t>
      </w:r>
    </w:p>
    <w:p w:rsidR="00C77643" w:rsidRPr="00C77643" w:rsidRDefault="00C77643" w:rsidP="00C77643">
      <w:pPr>
        <w:spacing w:before="100" w:beforeAutospacing="1" w:after="100" w:afterAutospacing="1" w:line="240" w:lineRule="auto"/>
        <w:outlineLvl w:val="1"/>
        <w:rPr>
          <w:rFonts w:ascii="Times New Roman" w:eastAsia="Times New Roman" w:hAnsi="Times New Roman" w:cs="Times New Roman"/>
          <w:b/>
          <w:bCs/>
          <w:sz w:val="36"/>
          <w:szCs w:val="36"/>
        </w:rPr>
      </w:pPr>
      <w:r w:rsidRPr="00C77643">
        <w:rPr>
          <w:rFonts w:ascii="Times New Roman" w:eastAsia="Times New Roman" w:hAnsi="Times New Roman" w:cs="Times New Roman"/>
          <w:b/>
          <w:bCs/>
          <w:sz w:val="36"/>
          <w:szCs w:val="36"/>
        </w:rPr>
        <w:t>Abstract</w:t>
      </w:r>
    </w:p>
    <w:p w:rsidR="00C77643" w:rsidRPr="00C77643" w:rsidRDefault="00C77643" w:rsidP="00C77643">
      <w:pPr>
        <w:spacing w:before="100" w:beforeAutospacing="1" w:after="100" w:afterAutospacing="1" w:line="240" w:lineRule="auto"/>
        <w:rPr>
          <w:rFonts w:ascii="Times New Roman" w:eastAsia="Times New Roman" w:hAnsi="Times New Roman" w:cs="Times New Roman"/>
          <w:sz w:val="24"/>
          <w:szCs w:val="24"/>
        </w:rPr>
      </w:pPr>
      <w:r w:rsidRPr="00C77643">
        <w:rPr>
          <w:rFonts w:ascii="Times New Roman" w:eastAsia="Times New Roman" w:hAnsi="Times New Roman" w:cs="Times New Roman"/>
          <w:sz w:val="24"/>
          <w:szCs w:val="24"/>
        </w:rPr>
        <w:t xml:space="preserve">Pyrolysis with and without tetramethylammonium hydroxide (TMAH), vacuum pyrolysis, and solid state </w:t>
      </w:r>
      <w:r w:rsidRPr="00C77643">
        <w:rPr>
          <w:rFonts w:ascii="Times New Roman" w:eastAsia="Times New Roman" w:hAnsi="Times New Roman" w:cs="Times New Roman"/>
          <w:sz w:val="24"/>
          <w:szCs w:val="24"/>
          <w:vertAlign w:val="superscript"/>
        </w:rPr>
        <w:t>15</w:t>
      </w:r>
      <w:r w:rsidRPr="00C77643">
        <w:rPr>
          <w:rFonts w:ascii="Times New Roman" w:eastAsia="Times New Roman" w:hAnsi="Times New Roman" w:cs="Times New Roman"/>
          <w:sz w:val="24"/>
          <w:szCs w:val="24"/>
        </w:rPr>
        <w:t xml:space="preserve">N nuclear magnetic resonance (NMR) were used to examine the macromolecular insoluble organic matter (IOM) from the </w:t>
      </w:r>
      <w:proofErr w:type="spellStart"/>
      <w:r w:rsidRPr="00C77643">
        <w:rPr>
          <w:rFonts w:ascii="Times New Roman" w:eastAsia="Times New Roman" w:hAnsi="Times New Roman" w:cs="Times New Roman"/>
          <w:sz w:val="24"/>
          <w:szCs w:val="24"/>
        </w:rPr>
        <w:t>Orgueil</w:t>
      </w:r>
      <w:proofErr w:type="spellEnd"/>
      <w:r w:rsidRPr="00C77643">
        <w:rPr>
          <w:rFonts w:ascii="Times New Roman" w:eastAsia="Times New Roman" w:hAnsi="Times New Roman" w:cs="Times New Roman"/>
          <w:sz w:val="24"/>
          <w:szCs w:val="24"/>
        </w:rPr>
        <w:t xml:space="preserve"> and </w:t>
      </w:r>
      <w:hyperlink r:id="rId5" w:tooltip="Learn more about Murchison meteorites from ScienceDirect's AI-generated Topic Pages" w:history="1">
        <w:r w:rsidRPr="00C77643">
          <w:rPr>
            <w:rFonts w:ascii="Times New Roman" w:eastAsia="Times New Roman" w:hAnsi="Times New Roman" w:cs="Times New Roman"/>
            <w:color w:val="0000FF"/>
            <w:sz w:val="24"/>
            <w:szCs w:val="24"/>
            <w:u w:val="single"/>
          </w:rPr>
          <w:t>Murchison meteorites</w:t>
        </w:r>
      </w:hyperlink>
      <w:r w:rsidRPr="00C77643">
        <w:rPr>
          <w:rFonts w:ascii="Times New Roman" w:eastAsia="Times New Roman" w:hAnsi="Times New Roman" w:cs="Times New Roman"/>
          <w:sz w:val="24"/>
          <w:szCs w:val="24"/>
        </w:rPr>
        <w:t xml:space="preserve">. Conventional pyrolysis reveals a set of poorly functionalized aromatic compounds, ranging from one to four rings and with random methyl substitutions. These compounds are in agreement with spectroscopic and pyrolytic results previously reported. For the first time, TMAH </w:t>
      </w:r>
      <w:hyperlink r:id="rId6" w:tooltip="Learn more about thermochemolysis from ScienceDirect's AI-generated Topic Pages" w:history="1">
        <w:proofErr w:type="spellStart"/>
        <w:r w:rsidRPr="00C77643">
          <w:rPr>
            <w:rFonts w:ascii="Times New Roman" w:eastAsia="Times New Roman" w:hAnsi="Times New Roman" w:cs="Times New Roman"/>
            <w:color w:val="0000FF"/>
            <w:sz w:val="24"/>
            <w:szCs w:val="24"/>
            <w:u w:val="single"/>
          </w:rPr>
          <w:t>thermochemolysis</w:t>
        </w:r>
        <w:proofErr w:type="spellEnd"/>
      </w:hyperlink>
      <w:r w:rsidRPr="00C77643">
        <w:rPr>
          <w:rFonts w:ascii="Times New Roman" w:eastAsia="Times New Roman" w:hAnsi="Times New Roman" w:cs="Times New Roman"/>
          <w:sz w:val="24"/>
          <w:szCs w:val="24"/>
        </w:rPr>
        <w:t xml:space="preserve"> was used to study extraterrestrial material. The detection of aromatics bearing methyl esters and methoxy groups reveals the occurrence of ester and ether bridges between aromatic units in the macromolecular network.</w:t>
      </w:r>
    </w:p>
    <w:p w:rsidR="00C77643" w:rsidRPr="00C77643" w:rsidRDefault="00C77643" w:rsidP="00C77643">
      <w:pPr>
        <w:spacing w:before="100" w:beforeAutospacing="1" w:after="100" w:afterAutospacing="1" w:line="240" w:lineRule="auto"/>
        <w:rPr>
          <w:rFonts w:ascii="Times New Roman" w:eastAsia="Times New Roman" w:hAnsi="Times New Roman" w:cs="Times New Roman"/>
          <w:sz w:val="24"/>
          <w:szCs w:val="24"/>
        </w:rPr>
      </w:pPr>
      <w:r w:rsidRPr="00C77643">
        <w:rPr>
          <w:rFonts w:ascii="Times New Roman" w:eastAsia="Times New Roman" w:hAnsi="Times New Roman" w:cs="Times New Roman"/>
          <w:sz w:val="24"/>
          <w:szCs w:val="24"/>
        </w:rPr>
        <w:t xml:space="preserve">No nitrogen-containing compounds were detected with TMAH </w:t>
      </w:r>
      <w:hyperlink r:id="rId7" w:tooltip="Learn more about thermochemolysis from ScienceDirect's AI-generated Topic Pages" w:history="1">
        <w:proofErr w:type="spellStart"/>
        <w:r w:rsidRPr="00C77643">
          <w:rPr>
            <w:rFonts w:ascii="Times New Roman" w:eastAsia="Times New Roman" w:hAnsi="Times New Roman" w:cs="Times New Roman"/>
            <w:color w:val="0000FF"/>
            <w:sz w:val="24"/>
            <w:szCs w:val="24"/>
            <w:u w:val="single"/>
          </w:rPr>
          <w:t>thermochemolysis</w:t>
        </w:r>
        <w:proofErr w:type="spellEnd"/>
      </w:hyperlink>
      <w:r w:rsidRPr="00C77643">
        <w:rPr>
          <w:rFonts w:ascii="Times New Roman" w:eastAsia="Times New Roman" w:hAnsi="Times New Roman" w:cs="Times New Roman"/>
          <w:sz w:val="24"/>
          <w:szCs w:val="24"/>
        </w:rPr>
        <w:t xml:space="preserve">, although they are a common feature in terrestrial samples. Along with vacuum pyrolysis results, </w:t>
      </w:r>
      <w:proofErr w:type="spellStart"/>
      <w:r w:rsidRPr="00C77643">
        <w:rPr>
          <w:rFonts w:ascii="Times New Roman" w:eastAsia="Times New Roman" w:hAnsi="Times New Roman" w:cs="Times New Roman"/>
          <w:sz w:val="24"/>
          <w:szCs w:val="24"/>
        </w:rPr>
        <w:t>thermochemolysis</w:t>
      </w:r>
      <w:proofErr w:type="spellEnd"/>
      <w:r w:rsidRPr="00C77643">
        <w:rPr>
          <w:rFonts w:ascii="Times New Roman" w:eastAsia="Times New Roman" w:hAnsi="Times New Roman" w:cs="Times New Roman"/>
          <w:sz w:val="24"/>
          <w:szCs w:val="24"/>
        </w:rPr>
        <w:t xml:space="preserve"> shows that nitrogen is probably sequestered in condensed structures like heterocyclic aromatic rings, unlike oxygen, which is mainly located within linkages between aromatic units. This is confirmed by solid state </w:t>
      </w:r>
      <w:r w:rsidRPr="00C77643">
        <w:rPr>
          <w:rFonts w:ascii="Times New Roman" w:eastAsia="Times New Roman" w:hAnsi="Times New Roman" w:cs="Times New Roman"/>
          <w:sz w:val="24"/>
          <w:szCs w:val="24"/>
          <w:vertAlign w:val="superscript"/>
        </w:rPr>
        <w:t>15</w:t>
      </w:r>
      <w:r w:rsidRPr="00C77643">
        <w:rPr>
          <w:rFonts w:ascii="Times New Roman" w:eastAsia="Times New Roman" w:hAnsi="Times New Roman" w:cs="Times New Roman"/>
          <w:sz w:val="24"/>
          <w:szCs w:val="24"/>
        </w:rPr>
        <w:t xml:space="preserve">N NMR performed on IOM from </w:t>
      </w:r>
      <w:proofErr w:type="spellStart"/>
      <w:r w:rsidRPr="00C77643">
        <w:rPr>
          <w:rFonts w:ascii="Times New Roman" w:eastAsia="Times New Roman" w:hAnsi="Times New Roman" w:cs="Times New Roman"/>
          <w:sz w:val="24"/>
          <w:szCs w:val="24"/>
        </w:rPr>
        <w:t>Orgueil</w:t>
      </w:r>
      <w:proofErr w:type="spellEnd"/>
      <w:r w:rsidRPr="00C77643">
        <w:rPr>
          <w:rFonts w:ascii="Times New Roman" w:eastAsia="Times New Roman" w:hAnsi="Times New Roman" w:cs="Times New Roman"/>
          <w:sz w:val="24"/>
          <w:szCs w:val="24"/>
        </w:rPr>
        <w:t>, showing that nitrogen is present in pyrrole, indole, and carbazole moieties.</w:t>
      </w:r>
    </w:p>
    <w:p w:rsidR="00C77643" w:rsidRPr="00C77643" w:rsidRDefault="00C77643" w:rsidP="00C77643">
      <w:pPr>
        <w:spacing w:before="100" w:beforeAutospacing="1" w:after="100" w:afterAutospacing="1" w:line="240" w:lineRule="auto"/>
        <w:rPr>
          <w:rFonts w:ascii="Times New Roman" w:eastAsia="Times New Roman" w:hAnsi="Times New Roman" w:cs="Times New Roman"/>
          <w:sz w:val="24"/>
          <w:szCs w:val="24"/>
        </w:rPr>
      </w:pPr>
      <w:r w:rsidRPr="00C77643">
        <w:rPr>
          <w:rFonts w:ascii="Times New Roman" w:eastAsia="Times New Roman" w:hAnsi="Times New Roman" w:cs="Times New Roman"/>
          <w:sz w:val="24"/>
          <w:szCs w:val="24"/>
        </w:rPr>
        <w:t xml:space="preserve">These data show that amino acids are neither derived from the hydrolysis of IOM nor from a common precursor. In order to reconcile the literature isotopic data and the present molecular results, it is proposed that aldehydes and ketones (1) originated during irradiation of ice in space and (2) were then mobilized during the planetesimal </w:t>
      </w:r>
      <w:proofErr w:type="spellStart"/>
      <w:r w:rsidRPr="00C77643">
        <w:rPr>
          <w:rFonts w:ascii="Times New Roman" w:eastAsia="Times New Roman" w:hAnsi="Times New Roman" w:cs="Times New Roman"/>
          <w:sz w:val="24"/>
          <w:szCs w:val="24"/>
        </w:rPr>
        <w:t>hydrothermalism</w:t>
      </w:r>
      <w:proofErr w:type="spellEnd"/>
      <w:r w:rsidRPr="00C77643">
        <w:rPr>
          <w:rFonts w:ascii="Times New Roman" w:eastAsia="Times New Roman" w:hAnsi="Times New Roman" w:cs="Times New Roman"/>
          <w:sz w:val="24"/>
          <w:szCs w:val="24"/>
        </w:rPr>
        <w:t>, yielding the formation of amino acids. If correct, prebiotic molecules are the products of the subsurface chemistry of planetesimals and are thus undetectable through astronomical probes.</w:t>
      </w:r>
    </w:p>
    <w:p w:rsidR="00C77643" w:rsidRPr="00C77643" w:rsidRDefault="00C77643" w:rsidP="00C77643">
      <w:pPr>
        <w:spacing w:before="100" w:beforeAutospacing="1" w:after="100" w:afterAutospacing="1" w:line="240" w:lineRule="auto"/>
        <w:outlineLvl w:val="1"/>
        <w:rPr>
          <w:rFonts w:ascii="Times New Roman" w:eastAsia="Times New Roman" w:hAnsi="Times New Roman" w:cs="Times New Roman"/>
          <w:b/>
          <w:bCs/>
          <w:sz w:val="36"/>
          <w:szCs w:val="36"/>
        </w:rPr>
      </w:pPr>
      <w:r w:rsidRPr="00C77643">
        <w:rPr>
          <w:rFonts w:ascii="Times New Roman" w:eastAsia="Times New Roman" w:hAnsi="Times New Roman" w:cs="Times New Roman"/>
          <w:b/>
          <w:bCs/>
          <w:sz w:val="36"/>
          <w:szCs w:val="36"/>
        </w:rPr>
        <w:t>Introduction</w:t>
      </w:r>
    </w:p>
    <w:p w:rsidR="00C77643" w:rsidRPr="00C77643" w:rsidRDefault="00C77643" w:rsidP="00C77643">
      <w:pPr>
        <w:spacing w:before="100" w:beforeAutospacing="1" w:after="100" w:afterAutospacing="1" w:line="240" w:lineRule="auto"/>
        <w:rPr>
          <w:rFonts w:ascii="Times New Roman" w:eastAsia="Times New Roman" w:hAnsi="Times New Roman" w:cs="Times New Roman"/>
          <w:sz w:val="24"/>
          <w:szCs w:val="24"/>
        </w:rPr>
      </w:pPr>
      <w:r w:rsidRPr="00C77643">
        <w:rPr>
          <w:rFonts w:ascii="Times New Roman" w:eastAsia="Times New Roman" w:hAnsi="Times New Roman" w:cs="Times New Roman"/>
          <w:sz w:val="24"/>
          <w:szCs w:val="24"/>
        </w:rPr>
        <w:t xml:space="preserve">Carbonaceous chondrites are considered as the most primitive material in the solar system. They contain up to 4 </w:t>
      </w:r>
      <w:proofErr w:type="spellStart"/>
      <w:r w:rsidRPr="00C77643">
        <w:rPr>
          <w:rFonts w:ascii="Times New Roman" w:eastAsia="Times New Roman" w:hAnsi="Times New Roman" w:cs="Times New Roman"/>
          <w:sz w:val="24"/>
          <w:szCs w:val="24"/>
        </w:rPr>
        <w:t>wt</w:t>
      </w:r>
      <w:proofErr w:type="spellEnd"/>
      <w:r w:rsidRPr="00C77643">
        <w:rPr>
          <w:rFonts w:ascii="Times New Roman" w:eastAsia="Times New Roman" w:hAnsi="Times New Roman" w:cs="Times New Roman"/>
          <w:sz w:val="24"/>
          <w:szCs w:val="24"/>
        </w:rPr>
        <w:t>% of carbon, which mainly occurs as organic matter (Cronin et al., 1988). This material may have recorded signatures of its synthesis in the solar system and/or in the interstellar medium. It could also be an important constituent of the prebiotic organic material on the early Earth. Two types of organic matter are recognized in carbonaceous chondrites (Cronin et al., 1988): a soluble fraction containing a complex mixture of compounds including amino acids and sugars and an insoluble macromolecular fraction, hereafter referred to as IOM. The chemical structure of the latter fraction is still poorly understood when compared to the soluble one.</w:t>
      </w:r>
    </w:p>
    <w:p w:rsidR="00C77643" w:rsidRPr="00C77643" w:rsidRDefault="00C77643" w:rsidP="00C77643">
      <w:pPr>
        <w:spacing w:before="100" w:beforeAutospacing="1" w:after="100" w:afterAutospacing="1" w:line="240" w:lineRule="auto"/>
        <w:rPr>
          <w:rFonts w:ascii="Times New Roman" w:eastAsia="Times New Roman" w:hAnsi="Times New Roman" w:cs="Times New Roman"/>
          <w:sz w:val="24"/>
          <w:szCs w:val="24"/>
        </w:rPr>
      </w:pPr>
      <w:r w:rsidRPr="00C77643">
        <w:rPr>
          <w:rFonts w:ascii="Times New Roman" w:eastAsia="Times New Roman" w:hAnsi="Times New Roman" w:cs="Times New Roman"/>
          <w:sz w:val="24"/>
          <w:szCs w:val="24"/>
        </w:rPr>
        <w:lastRenderedPageBreak/>
        <w:t>However, a better knowledge of this macromolecular material is essential to determine its origin and to address the question of a precursor-product relationship between the soluble and insoluble fraction. Several assumptions were suggested to describe its synthetic pathway, such as aqueous alteration on the parent body of precursors from solar nebula or interstellar medium, previously produced by Fischer-</w:t>
      </w:r>
      <w:proofErr w:type="spellStart"/>
      <w:r w:rsidRPr="00C77643">
        <w:rPr>
          <w:rFonts w:ascii="Times New Roman" w:eastAsia="Times New Roman" w:hAnsi="Times New Roman" w:cs="Times New Roman"/>
          <w:sz w:val="24"/>
          <w:szCs w:val="24"/>
        </w:rPr>
        <w:t>Tropsch</w:t>
      </w:r>
      <w:proofErr w:type="spellEnd"/>
      <w:r w:rsidRPr="00C77643">
        <w:rPr>
          <w:rFonts w:ascii="Times New Roman" w:eastAsia="Times New Roman" w:hAnsi="Times New Roman" w:cs="Times New Roman"/>
          <w:sz w:val="24"/>
          <w:szCs w:val="24"/>
        </w:rPr>
        <w:t xml:space="preserve"> synthesis (</w:t>
      </w:r>
      <w:proofErr w:type="spellStart"/>
      <w:r w:rsidRPr="00C77643">
        <w:rPr>
          <w:rFonts w:ascii="Times New Roman" w:eastAsia="Times New Roman" w:hAnsi="Times New Roman" w:cs="Times New Roman"/>
          <w:sz w:val="24"/>
          <w:szCs w:val="24"/>
        </w:rPr>
        <w:t>Hayatsu</w:t>
      </w:r>
      <w:proofErr w:type="spellEnd"/>
      <w:r w:rsidRPr="00C77643">
        <w:rPr>
          <w:rFonts w:ascii="Times New Roman" w:eastAsia="Times New Roman" w:hAnsi="Times New Roman" w:cs="Times New Roman"/>
          <w:sz w:val="24"/>
          <w:szCs w:val="24"/>
        </w:rPr>
        <w:t xml:space="preserve"> and Anders, 1981), Miller/Urey type reactions (</w:t>
      </w:r>
      <w:proofErr w:type="spellStart"/>
      <w:r w:rsidRPr="00C77643">
        <w:rPr>
          <w:rFonts w:ascii="Times New Roman" w:eastAsia="Times New Roman" w:hAnsi="Times New Roman" w:cs="Times New Roman"/>
          <w:sz w:val="24"/>
          <w:szCs w:val="24"/>
        </w:rPr>
        <w:t>Peltzer</w:t>
      </w:r>
      <w:proofErr w:type="spellEnd"/>
      <w:r w:rsidRPr="00C77643">
        <w:rPr>
          <w:rFonts w:ascii="Times New Roman" w:eastAsia="Times New Roman" w:hAnsi="Times New Roman" w:cs="Times New Roman"/>
          <w:sz w:val="24"/>
          <w:szCs w:val="24"/>
        </w:rPr>
        <w:t xml:space="preserve"> et al., 1984), and/or ion/molecule reactions in interstellar medium (Robert and Epstein 1982, Sandford et al 2001) or at the surface of the </w:t>
      </w:r>
      <w:proofErr w:type="spellStart"/>
      <w:r w:rsidRPr="00C77643">
        <w:rPr>
          <w:rFonts w:ascii="Times New Roman" w:eastAsia="Times New Roman" w:hAnsi="Times New Roman" w:cs="Times New Roman"/>
          <w:sz w:val="24"/>
          <w:szCs w:val="24"/>
        </w:rPr>
        <w:t>protosolar</w:t>
      </w:r>
      <w:proofErr w:type="spellEnd"/>
      <w:r w:rsidRPr="00C77643">
        <w:rPr>
          <w:rFonts w:ascii="Times New Roman" w:eastAsia="Times New Roman" w:hAnsi="Times New Roman" w:cs="Times New Roman"/>
          <w:sz w:val="24"/>
          <w:szCs w:val="24"/>
        </w:rPr>
        <w:t xml:space="preserve"> disk (Robert, 2002) under intense UV irradiation. Nevertheless, whatever the mechanisms responsible for the formation of the insoluble fraction, the origin of the soluble organic compounds remains unclear. Two main assumptions can be put forward. The IOM and the soluble compounds, or at least a part of them, may have been formed through independent pathways, or they are both derived from a common precursor. In the latter case, the soluble organic compounds would be the products of the hydrothermal process that occurred on the parent body, and the IOM would be the leftover part (</w:t>
      </w:r>
      <w:proofErr w:type="spellStart"/>
      <w:r w:rsidRPr="00C77643">
        <w:rPr>
          <w:rFonts w:ascii="Times New Roman" w:eastAsia="Times New Roman" w:hAnsi="Times New Roman" w:cs="Times New Roman"/>
          <w:sz w:val="24"/>
          <w:szCs w:val="24"/>
        </w:rPr>
        <w:t>Sephton</w:t>
      </w:r>
      <w:proofErr w:type="spellEnd"/>
      <w:r w:rsidRPr="00C77643">
        <w:rPr>
          <w:rFonts w:ascii="Times New Roman" w:eastAsia="Times New Roman" w:hAnsi="Times New Roman" w:cs="Times New Roman"/>
          <w:sz w:val="24"/>
          <w:szCs w:val="24"/>
        </w:rPr>
        <w:t xml:space="preserve"> et al., 2003). Depending on the extent of the hydrothermal process, the IOM could still contain precursor structures of the soluble counterpart. For instance, if present, amide groups in the IOM could be considered as precursors of the amino acids that were identified in the meteorite extracts. A precise investigation of the chemical structure of the meteorite IOM is thus required. </w:t>
      </w:r>
      <w:proofErr w:type="gramStart"/>
      <w:r w:rsidRPr="00C77643">
        <w:rPr>
          <w:rFonts w:ascii="Times New Roman" w:eastAsia="Times New Roman" w:hAnsi="Times New Roman" w:cs="Times New Roman"/>
          <w:sz w:val="24"/>
          <w:szCs w:val="24"/>
        </w:rPr>
        <w:t>Moreover</w:t>
      </w:r>
      <w:proofErr w:type="gramEnd"/>
      <w:r w:rsidRPr="00C77643">
        <w:rPr>
          <w:rFonts w:ascii="Times New Roman" w:eastAsia="Times New Roman" w:hAnsi="Times New Roman" w:cs="Times New Roman"/>
          <w:sz w:val="24"/>
          <w:szCs w:val="24"/>
        </w:rPr>
        <w:t xml:space="preserve"> due to the number of polar compounds in the soluble organic fraction (for a review see Cronin et al., 1988), special attention must be paid to polar functions, and especially to those containing N.</w:t>
      </w:r>
    </w:p>
    <w:p w:rsidR="00C77643" w:rsidRPr="00C77643" w:rsidRDefault="00C77643" w:rsidP="00C77643">
      <w:pPr>
        <w:spacing w:before="100" w:beforeAutospacing="1" w:after="100" w:afterAutospacing="1" w:line="240" w:lineRule="auto"/>
        <w:rPr>
          <w:rFonts w:ascii="Times New Roman" w:eastAsia="Times New Roman" w:hAnsi="Times New Roman" w:cs="Times New Roman"/>
          <w:sz w:val="24"/>
          <w:szCs w:val="24"/>
        </w:rPr>
      </w:pPr>
      <w:r w:rsidRPr="00C77643">
        <w:rPr>
          <w:rFonts w:ascii="Times New Roman" w:eastAsia="Times New Roman" w:hAnsi="Times New Roman" w:cs="Times New Roman"/>
          <w:sz w:val="24"/>
          <w:szCs w:val="24"/>
        </w:rPr>
        <w:t xml:space="preserve">For the last 30 y, the chemical structure of IOM isolated from meteorites has been investigated either directly by spectroscopic methods Fourier Transform </w:t>
      </w:r>
      <w:proofErr w:type="spellStart"/>
      <w:r w:rsidRPr="00C77643">
        <w:rPr>
          <w:rFonts w:ascii="Times New Roman" w:eastAsia="Times New Roman" w:hAnsi="Times New Roman" w:cs="Times New Roman"/>
          <w:sz w:val="24"/>
          <w:szCs w:val="24"/>
        </w:rPr>
        <w:t>Infra Red</w:t>
      </w:r>
      <w:proofErr w:type="spellEnd"/>
      <w:r w:rsidRPr="00C77643">
        <w:rPr>
          <w:rFonts w:ascii="Times New Roman" w:eastAsia="Times New Roman" w:hAnsi="Times New Roman" w:cs="Times New Roman"/>
          <w:sz w:val="24"/>
          <w:szCs w:val="24"/>
        </w:rPr>
        <w:t xml:space="preserve"> (FTIR), solid state </w:t>
      </w:r>
      <w:r w:rsidRPr="00C77643">
        <w:rPr>
          <w:rFonts w:ascii="Times New Roman" w:eastAsia="Times New Roman" w:hAnsi="Times New Roman" w:cs="Times New Roman"/>
          <w:sz w:val="24"/>
          <w:szCs w:val="24"/>
          <w:vertAlign w:val="superscript"/>
        </w:rPr>
        <w:t>13</w:t>
      </w:r>
      <w:r w:rsidRPr="00C77643">
        <w:rPr>
          <w:rFonts w:ascii="Times New Roman" w:eastAsia="Times New Roman" w:hAnsi="Times New Roman" w:cs="Times New Roman"/>
          <w:sz w:val="24"/>
          <w:szCs w:val="24"/>
        </w:rPr>
        <w:t xml:space="preserve">C (Nuclear Magnetic Resonance (NMR), Electron Paramagnetic Resonance (EPR), and X-ray Absorption Near Edge Structure (XANES), </w:t>
      </w:r>
      <w:proofErr w:type="spellStart"/>
      <w:r w:rsidRPr="00C77643">
        <w:rPr>
          <w:rFonts w:ascii="Times New Roman" w:eastAsia="Times New Roman" w:hAnsi="Times New Roman" w:cs="Times New Roman"/>
          <w:sz w:val="24"/>
          <w:szCs w:val="24"/>
        </w:rPr>
        <w:t>Gardinier</w:t>
      </w:r>
      <w:proofErr w:type="spellEnd"/>
      <w:r w:rsidRPr="00C77643">
        <w:rPr>
          <w:rFonts w:ascii="Times New Roman" w:eastAsia="Times New Roman" w:hAnsi="Times New Roman" w:cs="Times New Roman"/>
          <w:sz w:val="24"/>
          <w:szCs w:val="24"/>
        </w:rPr>
        <w:t xml:space="preserve"> et al 2000, Binet et al 2002, Cody et al 2002, </w:t>
      </w:r>
      <w:proofErr w:type="spellStart"/>
      <w:r w:rsidRPr="00C77643">
        <w:rPr>
          <w:rFonts w:ascii="Times New Roman" w:eastAsia="Times New Roman" w:hAnsi="Times New Roman" w:cs="Times New Roman"/>
          <w:sz w:val="24"/>
          <w:szCs w:val="24"/>
        </w:rPr>
        <w:t>Derenne</w:t>
      </w:r>
      <w:proofErr w:type="spellEnd"/>
      <w:r w:rsidRPr="00C77643">
        <w:rPr>
          <w:rFonts w:ascii="Times New Roman" w:eastAsia="Times New Roman" w:hAnsi="Times New Roman" w:cs="Times New Roman"/>
          <w:sz w:val="24"/>
          <w:szCs w:val="24"/>
        </w:rPr>
        <w:t xml:space="preserve"> et al 2002), or through degradations so as to derive information at a molecular level (</w:t>
      </w:r>
      <w:proofErr w:type="spellStart"/>
      <w:r w:rsidRPr="00C77643">
        <w:rPr>
          <w:rFonts w:ascii="Times New Roman" w:eastAsia="Times New Roman" w:hAnsi="Times New Roman" w:cs="Times New Roman"/>
          <w:sz w:val="24"/>
          <w:szCs w:val="24"/>
        </w:rPr>
        <w:t>Hayatsu</w:t>
      </w:r>
      <w:proofErr w:type="spellEnd"/>
      <w:r w:rsidRPr="00C77643">
        <w:rPr>
          <w:rFonts w:ascii="Times New Roman" w:eastAsia="Times New Roman" w:hAnsi="Times New Roman" w:cs="Times New Roman"/>
          <w:sz w:val="24"/>
          <w:szCs w:val="24"/>
        </w:rPr>
        <w:t xml:space="preserve"> et al 1977, </w:t>
      </w:r>
      <w:proofErr w:type="spellStart"/>
      <w:r w:rsidRPr="00C77643">
        <w:rPr>
          <w:rFonts w:ascii="Times New Roman" w:eastAsia="Times New Roman" w:hAnsi="Times New Roman" w:cs="Times New Roman"/>
          <w:sz w:val="24"/>
          <w:szCs w:val="24"/>
        </w:rPr>
        <w:t>Hayatsu</w:t>
      </w:r>
      <w:proofErr w:type="spellEnd"/>
      <w:r w:rsidRPr="00C77643">
        <w:rPr>
          <w:rFonts w:ascii="Times New Roman" w:eastAsia="Times New Roman" w:hAnsi="Times New Roman" w:cs="Times New Roman"/>
          <w:sz w:val="24"/>
          <w:szCs w:val="24"/>
        </w:rPr>
        <w:t xml:space="preserve"> and Anders 1981, Komiya and </w:t>
      </w:r>
      <w:proofErr w:type="spellStart"/>
      <w:r w:rsidRPr="00C77643">
        <w:rPr>
          <w:rFonts w:ascii="Times New Roman" w:eastAsia="Times New Roman" w:hAnsi="Times New Roman" w:cs="Times New Roman"/>
          <w:sz w:val="24"/>
          <w:szCs w:val="24"/>
        </w:rPr>
        <w:t>Shimoyama</w:t>
      </w:r>
      <w:proofErr w:type="spellEnd"/>
      <w:r w:rsidRPr="00C77643">
        <w:rPr>
          <w:rFonts w:ascii="Times New Roman" w:eastAsia="Times New Roman" w:hAnsi="Times New Roman" w:cs="Times New Roman"/>
          <w:sz w:val="24"/>
          <w:szCs w:val="24"/>
        </w:rPr>
        <w:t xml:space="preserve"> 1996, </w:t>
      </w:r>
      <w:proofErr w:type="spellStart"/>
      <w:r w:rsidRPr="00C77643">
        <w:rPr>
          <w:rFonts w:ascii="Times New Roman" w:eastAsia="Times New Roman" w:hAnsi="Times New Roman" w:cs="Times New Roman"/>
          <w:sz w:val="24"/>
          <w:szCs w:val="24"/>
        </w:rPr>
        <w:t>Sephton</w:t>
      </w:r>
      <w:proofErr w:type="spellEnd"/>
      <w:r w:rsidRPr="00C77643">
        <w:rPr>
          <w:rFonts w:ascii="Times New Roman" w:eastAsia="Times New Roman" w:hAnsi="Times New Roman" w:cs="Times New Roman"/>
          <w:sz w:val="24"/>
          <w:szCs w:val="24"/>
        </w:rPr>
        <w:t xml:space="preserve"> et al 2000). Chemical and thermal degradations have thus been performed during the last 25 y, especially on the Murchison meteorite. Among them, pyrolysis studies led to the identification of a number of products, mainly aromatic hydrocarbons. However, in spite of a substantial level of </w:t>
      </w:r>
      <w:proofErr w:type="spellStart"/>
      <w:r w:rsidRPr="00C77643">
        <w:rPr>
          <w:rFonts w:ascii="Times New Roman" w:eastAsia="Times New Roman" w:hAnsi="Times New Roman" w:cs="Times New Roman"/>
          <w:sz w:val="24"/>
          <w:szCs w:val="24"/>
        </w:rPr>
        <w:t>heteroelements</w:t>
      </w:r>
      <w:proofErr w:type="spellEnd"/>
      <w:r w:rsidRPr="00C77643">
        <w:rPr>
          <w:rFonts w:ascii="Times New Roman" w:eastAsia="Times New Roman" w:hAnsi="Times New Roman" w:cs="Times New Roman"/>
          <w:sz w:val="24"/>
          <w:szCs w:val="24"/>
        </w:rPr>
        <w:t xml:space="preserve"> (N, S, O, etc.) in meteorite IOM, these studies afford little information on both the location and the nature of these elements in the macromolecule.</w:t>
      </w:r>
    </w:p>
    <w:p w:rsidR="00C77643" w:rsidRPr="00C77643" w:rsidRDefault="00C77643" w:rsidP="00C77643">
      <w:pPr>
        <w:spacing w:before="100" w:beforeAutospacing="1" w:after="100" w:afterAutospacing="1" w:line="240" w:lineRule="auto"/>
        <w:rPr>
          <w:rFonts w:ascii="Times New Roman" w:eastAsia="Times New Roman" w:hAnsi="Times New Roman" w:cs="Times New Roman"/>
          <w:sz w:val="24"/>
          <w:szCs w:val="24"/>
        </w:rPr>
      </w:pPr>
      <w:r w:rsidRPr="00C77643">
        <w:rPr>
          <w:rFonts w:ascii="Times New Roman" w:eastAsia="Times New Roman" w:hAnsi="Times New Roman" w:cs="Times New Roman"/>
          <w:sz w:val="24"/>
          <w:szCs w:val="24"/>
        </w:rPr>
        <w:t xml:space="preserve">In order to test the possible precursor-product relationship between soluble and insoluble fractions, we report the examination of polar functions, especially those containing O and N in the IOM of </w:t>
      </w:r>
      <w:proofErr w:type="spellStart"/>
      <w:r w:rsidRPr="00C77643">
        <w:rPr>
          <w:rFonts w:ascii="Times New Roman" w:eastAsia="Times New Roman" w:hAnsi="Times New Roman" w:cs="Times New Roman"/>
          <w:sz w:val="24"/>
          <w:szCs w:val="24"/>
        </w:rPr>
        <w:t>Orgueil</w:t>
      </w:r>
      <w:proofErr w:type="spellEnd"/>
      <w:r w:rsidRPr="00C77643">
        <w:rPr>
          <w:rFonts w:ascii="Times New Roman" w:eastAsia="Times New Roman" w:hAnsi="Times New Roman" w:cs="Times New Roman"/>
          <w:sz w:val="24"/>
          <w:szCs w:val="24"/>
        </w:rPr>
        <w:t xml:space="preserve"> and Murchison meteorites through a combination of spectroscopic and pyrolytic techniques.</w:t>
      </w:r>
    </w:p>
    <w:p w:rsidR="00C77643" w:rsidRPr="00C77643" w:rsidRDefault="00C77643" w:rsidP="00C77643">
      <w:pPr>
        <w:spacing w:before="100" w:beforeAutospacing="1" w:after="100" w:afterAutospacing="1" w:line="240" w:lineRule="auto"/>
        <w:outlineLvl w:val="1"/>
        <w:rPr>
          <w:rFonts w:ascii="Times New Roman" w:eastAsia="Times New Roman" w:hAnsi="Times New Roman" w:cs="Times New Roman"/>
          <w:b/>
          <w:bCs/>
          <w:sz w:val="36"/>
          <w:szCs w:val="36"/>
        </w:rPr>
      </w:pPr>
      <w:r w:rsidRPr="00C77643">
        <w:rPr>
          <w:rFonts w:ascii="Times New Roman" w:eastAsia="Times New Roman" w:hAnsi="Times New Roman" w:cs="Times New Roman"/>
          <w:b/>
          <w:bCs/>
          <w:sz w:val="36"/>
          <w:szCs w:val="36"/>
        </w:rPr>
        <w:t>Section snippets</w:t>
      </w:r>
    </w:p>
    <w:p w:rsidR="00C77643" w:rsidRPr="00C77643" w:rsidRDefault="00C77643" w:rsidP="00C77643">
      <w:pPr>
        <w:spacing w:before="100" w:beforeAutospacing="1" w:after="100" w:afterAutospacing="1" w:line="240" w:lineRule="auto"/>
        <w:outlineLvl w:val="1"/>
        <w:rPr>
          <w:rFonts w:ascii="Times New Roman" w:eastAsia="Times New Roman" w:hAnsi="Times New Roman" w:cs="Times New Roman"/>
          <w:b/>
          <w:bCs/>
          <w:sz w:val="36"/>
          <w:szCs w:val="36"/>
        </w:rPr>
      </w:pPr>
      <w:r w:rsidRPr="00C77643">
        <w:rPr>
          <w:rFonts w:ascii="Times New Roman" w:eastAsia="Times New Roman" w:hAnsi="Times New Roman" w:cs="Times New Roman"/>
          <w:b/>
          <w:bCs/>
          <w:sz w:val="36"/>
          <w:szCs w:val="36"/>
        </w:rPr>
        <w:t>Sample</w:t>
      </w:r>
    </w:p>
    <w:p w:rsidR="00C77643" w:rsidRPr="00C77643" w:rsidRDefault="00C77643" w:rsidP="00C77643">
      <w:pPr>
        <w:spacing w:before="100" w:beforeAutospacing="1" w:after="100" w:afterAutospacing="1" w:line="240" w:lineRule="auto"/>
        <w:rPr>
          <w:rFonts w:ascii="Times New Roman" w:eastAsia="Times New Roman" w:hAnsi="Times New Roman" w:cs="Times New Roman"/>
          <w:sz w:val="24"/>
          <w:szCs w:val="24"/>
        </w:rPr>
      </w:pPr>
      <w:r w:rsidRPr="00C77643">
        <w:rPr>
          <w:rFonts w:ascii="Times New Roman" w:eastAsia="Times New Roman" w:hAnsi="Times New Roman" w:cs="Times New Roman"/>
          <w:sz w:val="24"/>
          <w:szCs w:val="24"/>
        </w:rPr>
        <w:t xml:space="preserve">The macromolecular organic matter of two carbonaceous chondrites, </w:t>
      </w:r>
      <w:proofErr w:type="spellStart"/>
      <w:r w:rsidRPr="00C77643">
        <w:rPr>
          <w:rFonts w:ascii="Times New Roman" w:eastAsia="Times New Roman" w:hAnsi="Times New Roman" w:cs="Times New Roman"/>
          <w:sz w:val="24"/>
          <w:szCs w:val="24"/>
        </w:rPr>
        <w:t>Orgueil</w:t>
      </w:r>
      <w:proofErr w:type="spellEnd"/>
      <w:r w:rsidRPr="00C77643">
        <w:rPr>
          <w:rFonts w:ascii="Times New Roman" w:eastAsia="Times New Roman" w:hAnsi="Times New Roman" w:cs="Times New Roman"/>
          <w:sz w:val="24"/>
          <w:szCs w:val="24"/>
        </w:rPr>
        <w:t xml:space="preserve"> (a CII from Museum National </w:t>
      </w:r>
      <w:proofErr w:type="spellStart"/>
      <w:r w:rsidRPr="00C77643">
        <w:rPr>
          <w:rFonts w:ascii="Times New Roman" w:eastAsia="Times New Roman" w:hAnsi="Times New Roman" w:cs="Times New Roman"/>
          <w:sz w:val="24"/>
          <w:szCs w:val="24"/>
        </w:rPr>
        <w:t>d’Histoire</w:t>
      </w:r>
      <w:proofErr w:type="spellEnd"/>
      <w:r w:rsidRPr="00C77643">
        <w:rPr>
          <w:rFonts w:ascii="Times New Roman" w:eastAsia="Times New Roman" w:hAnsi="Times New Roman" w:cs="Times New Roman"/>
          <w:sz w:val="24"/>
          <w:szCs w:val="24"/>
        </w:rPr>
        <w:t xml:space="preserve"> Naturelle de Paris, France) and Murchison (a CM2 from Smithsonian National Museum of Natural History, Washington DC) was isolated by acid treatment (described in </w:t>
      </w:r>
      <w:proofErr w:type="spellStart"/>
      <w:r w:rsidRPr="00C77643">
        <w:rPr>
          <w:rFonts w:ascii="Times New Roman" w:eastAsia="Times New Roman" w:hAnsi="Times New Roman" w:cs="Times New Roman"/>
          <w:sz w:val="24"/>
          <w:szCs w:val="24"/>
        </w:rPr>
        <w:t>Gardinier</w:t>
      </w:r>
      <w:proofErr w:type="spellEnd"/>
      <w:r w:rsidRPr="00C77643">
        <w:rPr>
          <w:rFonts w:ascii="Times New Roman" w:eastAsia="Times New Roman" w:hAnsi="Times New Roman" w:cs="Times New Roman"/>
          <w:sz w:val="24"/>
          <w:szCs w:val="24"/>
        </w:rPr>
        <w:t xml:space="preserve"> et al., 2000). The acid residue was extracted with a mixture of CH</w:t>
      </w:r>
      <w:r w:rsidRPr="00C77643">
        <w:rPr>
          <w:rFonts w:ascii="Times New Roman" w:eastAsia="Times New Roman" w:hAnsi="Times New Roman" w:cs="Times New Roman"/>
          <w:sz w:val="24"/>
          <w:szCs w:val="24"/>
          <w:vertAlign w:val="subscript"/>
        </w:rPr>
        <w:t>2</w:t>
      </w:r>
      <w:r w:rsidRPr="00C77643">
        <w:rPr>
          <w:rFonts w:ascii="Times New Roman" w:eastAsia="Times New Roman" w:hAnsi="Times New Roman" w:cs="Times New Roman"/>
          <w:sz w:val="24"/>
          <w:szCs w:val="24"/>
        </w:rPr>
        <w:t>Cl</w:t>
      </w:r>
      <w:r w:rsidRPr="00C77643">
        <w:rPr>
          <w:rFonts w:ascii="Times New Roman" w:eastAsia="Times New Roman" w:hAnsi="Times New Roman" w:cs="Times New Roman"/>
          <w:sz w:val="24"/>
          <w:szCs w:val="24"/>
          <w:vertAlign w:val="subscript"/>
        </w:rPr>
        <w:t>2</w:t>
      </w:r>
      <w:r w:rsidRPr="00C77643">
        <w:rPr>
          <w:rFonts w:ascii="Times New Roman" w:eastAsia="Times New Roman" w:hAnsi="Times New Roman" w:cs="Times New Roman"/>
          <w:sz w:val="24"/>
          <w:szCs w:val="24"/>
        </w:rPr>
        <w:t>/MeOH (</w:t>
      </w:r>
      <w:proofErr w:type="spellStart"/>
      <w:r w:rsidRPr="00C77643">
        <w:rPr>
          <w:rFonts w:ascii="Times New Roman" w:eastAsia="Times New Roman" w:hAnsi="Times New Roman" w:cs="Times New Roman"/>
          <w:sz w:val="24"/>
          <w:szCs w:val="24"/>
        </w:rPr>
        <w:t>Rathburn</w:t>
      </w:r>
      <w:proofErr w:type="spellEnd"/>
      <w:r w:rsidRPr="00C77643">
        <w:rPr>
          <w:rFonts w:ascii="Times New Roman" w:eastAsia="Times New Roman" w:hAnsi="Times New Roman" w:cs="Times New Roman"/>
          <w:sz w:val="24"/>
          <w:szCs w:val="24"/>
        </w:rPr>
        <w:t>), 2:1, vol/vol and was dried with distilled ether.</w:t>
      </w:r>
    </w:p>
    <w:p w:rsidR="00C77643" w:rsidRPr="00C77643" w:rsidRDefault="00C77643" w:rsidP="00C77643">
      <w:pPr>
        <w:spacing w:before="100" w:beforeAutospacing="1" w:after="100" w:afterAutospacing="1" w:line="240" w:lineRule="auto"/>
        <w:outlineLvl w:val="1"/>
        <w:rPr>
          <w:rFonts w:ascii="Times New Roman" w:eastAsia="Times New Roman" w:hAnsi="Times New Roman" w:cs="Times New Roman"/>
          <w:b/>
          <w:bCs/>
          <w:sz w:val="36"/>
          <w:szCs w:val="36"/>
        </w:rPr>
      </w:pPr>
      <w:r w:rsidRPr="00C77643">
        <w:rPr>
          <w:rFonts w:ascii="Times New Roman" w:eastAsia="Times New Roman" w:hAnsi="Times New Roman" w:cs="Times New Roman"/>
          <w:b/>
          <w:bCs/>
          <w:sz w:val="36"/>
          <w:szCs w:val="36"/>
        </w:rPr>
        <w:t>Curie Point Pyrolysis</w:t>
      </w:r>
    </w:p>
    <w:p w:rsidR="00C77643" w:rsidRPr="00C77643" w:rsidRDefault="00C77643" w:rsidP="00C77643">
      <w:pPr>
        <w:spacing w:before="100" w:beforeAutospacing="1" w:after="100" w:afterAutospacing="1" w:line="240" w:lineRule="auto"/>
        <w:rPr>
          <w:rFonts w:ascii="Times New Roman" w:eastAsia="Times New Roman" w:hAnsi="Times New Roman" w:cs="Times New Roman"/>
          <w:sz w:val="24"/>
          <w:szCs w:val="24"/>
        </w:rPr>
      </w:pPr>
      <w:r w:rsidRPr="00C77643">
        <w:rPr>
          <w:rFonts w:ascii="Times New Roman" w:eastAsia="Times New Roman" w:hAnsi="Times New Roman" w:cs="Times New Roman"/>
          <w:sz w:val="24"/>
          <w:szCs w:val="24"/>
        </w:rPr>
        <w:lastRenderedPageBreak/>
        <w:t>Flash pyrolysis was performed using tubular ferromagnetic wires with a Curie</w:t>
      </w:r>
    </w:p>
    <w:p w:rsidR="00C77643" w:rsidRPr="00C77643" w:rsidRDefault="00C77643" w:rsidP="00C77643">
      <w:pPr>
        <w:spacing w:before="100" w:beforeAutospacing="1" w:after="100" w:afterAutospacing="1" w:line="240" w:lineRule="auto"/>
        <w:outlineLvl w:val="1"/>
        <w:rPr>
          <w:rFonts w:ascii="Times New Roman" w:eastAsia="Times New Roman" w:hAnsi="Times New Roman" w:cs="Times New Roman"/>
          <w:b/>
          <w:bCs/>
          <w:sz w:val="36"/>
          <w:szCs w:val="36"/>
        </w:rPr>
      </w:pPr>
      <w:r w:rsidRPr="00C77643">
        <w:rPr>
          <w:rFonts w:ascii="Times New Roman" w:eastAsia="Times New Roman" w:hAnsi="Times New Roman" w:cs="Times New Roman"/>
          <w:b/>
          <w:bCs/>
          <w:sz w:val="36"/>
          <w:szCs w:val="36"/>
        </w:rPr>
        <w:t>Results and discussion</w:t>
      </w:r>
    </w:p>
    <w:p w:rsidR="00C77643" w:rsidRPr="00C77643" w:rsidRDefault="00C77643" w:rsidP="00C77643">
      <w:pPr>
        <w:spacing w:before="100" w:beforeAutospacing="1" w:after="100" w:afterAutospacing="1" w:line="240" w:lineRule="auto"/>
        <w:rPr>
          <w:rFonts w:ascii="Times New Roman" w:eastAsia="Times New Roman" w:hAnsi="Times New Roman" w:cs="Times New Roman"/>
          <w:sz w:val="24"/>
          <w:szCs w:val="24"/>
        </w:rPr>
      </w:pPr>
      <w:r w:rsidRPr="00C77643">
        <w:rPr>
          <w:rFonts w:ascii="Times New Roman" w:eastAsia="Times New Roman" w:hAnsi="Times New Roman" w:cs="Times New Roman"/>
          <w:sz w:val="24"/>
          <w:szCs w:val="24"/>
        </w:rPr>
        <w:t>Analytical pyrolysis has been widely used to study terrestrial kerogens, coals, and other macromolecular organic materials. Moreover, because of the direct coupling of Curie point pyrolysis to GC-MS, the analysis of small amounts of sample is possible.</w:t>
      </w:r>
    </w:p>
    <w:p w:rsidR="00C77643" w:rsidRPr="00C77643" w:rsidRDefault="00C77643" w:rsidP="00C77643">
      <w:pPr>
        <w:spacing w:before="100" w:beforeAutospacing="1" w:after="100" w:afterAutospacing="1" w:line="240" w:lineRule="auto"/>
        <w:outlineLvl w:val="1"/>
        <w:rPr>
          <w:rFonts w:ascii="Times New Roman" w:eastAsia="Times New Roman" w:hAnsi="Times New Roman" w:cs="Times New Roman"/>
          <w:b/>
          <w:bCs/>
          <w:sz w:val="36"/>
          <w:szCs w:val="36"/>
        </w:rPr>
      </w:pPr>
      <w:proofErr w:type="spellStart"/>
      <w:r w:rsidRPr="00C77643">
        <w:rPr>
          <w:rFonts w:ascii="Times New Roman" w:eastAsia="Times New Roman" w:hAnsi="Times New Roman" w:cs="Times New Roman"/>
          <w:b/>
          <w:bCs/>
          <w:sz w:val="36"/>
          <w:szCs w:val="36"/>
        </w:rPr>
        <w:t>Cosmochemical</w:t>
      </w:r>
      <w:proofErr w:type="spellEnd"/>
      <w:r w:rsidRPr="00C77643">
        <w:rPr>
          <w:rFonts w:ascii="Times New Roman" w:eastAsia="Times New Roman" w:hAnsi="Times New Roman" w:cs="Times New Roman"/>
          <w:b/>
          <w:bCs/>
          <w:sz w:val="36"/>
          <w:szCs w:val="36"/>
        </w:rPr>
        <w:t xml:space="preserve"> implications for the origin of the soluble and insoluble organic matter in meteorites</w:t>
      </w:r>
    </w:p>
    <w:p w:rsidR="00C77643" w:rsidRPr="00C77643" w:rsidRDefault="00C77643" w:rsidP="00C77643">
      <w:pPr>
        <w:spacing w:before="100" w:beforeAutospacing="1" w:after="100" w:afterAutospacing="1" w:line="240" w:lineRule="auto"/>
        <w:rPr>
          <w:rFonts w:ascii="Times New Roman" w:eastAsia="Times New Roman" w:hAnsi="Times New Roman" w:cs="Times New Roman"/>
          <w:sz w:val="24"/>
          <w:szCs w:val="24"/>
        </w:rPr>
      </w:pPr>
      <w:r w:rsidRPr="00C77643">
        <w:rPr>
          <w:rFonts w:ascii="Times New Roman" w:eastAsia="Times New Roman" w:hAnsi="Times New Roman" w:cs="Times New Roman"/>
          <w:sz w:val="24"/>
          <w:szCs w:val="24"/>
        </w:rPr>
        <w:t xml:space="preserve">Based on the comparison between pyrolysis products and the composition of solvent extracts, Komiya and </w:t>
      </w:r>
      <w:proofErr w:type="spellStart"/>
      <w:r w:rsidRPr="00C77643">
        <w:rPr>
          <w:rFonts w:ascii="Times New Roman" w:eastAsia="Times New Roman" w:hAnsi="Times New Roman" w:cs="Times New Roman"/>
          <w:sz w:val="24"/>
          <w:szCs w:val="24"/>
        </w:rPr>
        <w:t>Shimoyama</w:t>
      </w:r>
      <w:proofErr w:type="spellEnd"/>
      <w:r w:rsidRPr="00C77643">
        <w:rPr>
          <w:rFonts w:ascii="Times New Roman" w:eastAsia="Times New Roman" w:hAnsi="Times New Roman" w:cs="Times New Roman"/>
          <w:sz w:val="24"/>
          <w:szCs w:val="24"/>
        </w:rPr>
        <w:t xml:space="preserve"> (1996) have suggested that soluble compounds resulted from IOM alteration. (</w:t>
      </w:r>
      <w:proofErr w:type="spellStart"/>
      <w:r w:rsidRPr="00C77643">
        <w:rPr>
          <w:rFonts w:ascii="Times New Roman" w:eastAsia="Times New Roman" w:hAnsi="Times New Roman" w:cs="Times New Roman"/>
          <w:sz w:val="24"/>
          <w:szCs w:val="24"/>
        </w:rPr>
        <w:t>Sephton</w:t>
      </w:r>
      <w:proofErr w:type="spellEnd"/>
      <w:r w:rsidRPr="00C77643">
        <w:rPr>
          <w:rFonts w:ascii="Times New Roman" w:eastAsia="Times New Roman" w:hAnsi="Times New Roman" w:cs="Times New Roman"/>
          <w:sz w:val="24"/>
          <w:szCs w:val="24"/>
        </w:rPr>
        <w:t xml:space="preserve"> et al 1999b, </w:t>
      </w:r>
      <w:proofErr w:type="spellStart"/>
      <w:r w:rsidRPr="00C77643">
        <w:rPr>
          <w:rFonts w:ascii="Times New Roman" w:eastAsia="Times New Roman" w:hAnsi="Times New Roman" w:cs="Times New Roman"/>
          <w:sz w:val="24"/>
          <w:szCs w:val="24"/>
        </w:rPr>
        <w:t>Sephton</w:t>
      </w:r>
      <w:proofErr w:type="spellEnd"/>
      <w:r w:rsidRPr="00C77643">
        <w:rPr>
          <w:rFonts w:ascii="Times New Roman" w:eastAsia="Times New Roman" w:hAnsi="Times New Roman" w:cs="Times New Roman"/>
          <w:sz w:val="24"/>
          <w:szCs w:val="24"/>
        </w:rPr>
        <w:t xml:space="preserve"> et al 2003) also suggested that the IOM may have released nitrogen-bearing organic compounds during aqueous alteration on the parent body (Bunch and Chang, 1980). These authors support the hypothesis that a common interstellar organic precursor was embedded in the carbonaceous</w:t>
      </w:r>
    </w:p>
    <w:p w:rsidR="00C77643" w:rsidRPr="00C77643" w:rsidRDefault="00C77643" w:rsidP="00C77643">
      <w:pPr>
        <w:spacing w:before="100" w:beforeAutospacing="1" w:after="100" w:afterAutospacing="1" w:line="240" w:lineRule="auto"/>
        <w:outlineLvl w:val="1"/>
        <w:rPr>
          <w:rFonts w:ascii="Times New Roman" w:eastAsia="Times New Roman" w:hAnsi="Times New Roman" w:cs="Times New Roman"/>
          <w:b/>
          <w:bCs/>
          <w:sz w:val="36"/>
          <w:szCs w:val="36"/>
        </w:rPr>
      </w:pPr>
      <w:r w:rsidRPr="00C77643">
        <w:rPr>
          <w:rFonts w:ascii="Times New Roman" w:eastAsia="Times New Roman" w:hAnsi="Times New Roman" w:cs="Times New Roman"/>
          <w:b/>
          <w:bCs/>
          <w:sz w:val="36"/>
          <w:szCs w:val="36"/>
        </w:rPr>
        <w:t>Conclusion</w:t>
      </w:r>
    </w:p>
    <w:p w:rsidR="00C77643" w:rsidRPr="00C77643" w:rsidRDefault="00C77643" w:rsidP="00C77643">
      <w:pPr>
        <w:spacing w:before="100" w:beforeAutospacing="1" w:after="100" w:afterAutospacing="1" w:line="240" w:lineRule="auto"/>
        <w:rPr>
          <w:rFonts w:ascii="Times New Roman" w:eastAsia="Times New Roman" w:hAnsi="Times New Roman" w:cs="Times New Roman"/>
          <w:sz w:val="24"/>
          <w:szCs w:val="24"/>
        </w:rPr>
      </w:pPr>
      <w:r w:rsidRPr="00C77643">
        <w:rPr>
          <w:rFonts w:ascii="Times New Roman" w:eastAsia="Times New Roman" w:hAnsi="Times New Roman" w:cs="Times New Roman"/>
          <w:sz w:val="24"/>
          <w:szCs w:val="24"/>
        </w:rPr>
        <w:t xml:space="preserve">The chemical structure of the insoluble organic matter present in </w:t>
      </w:r>
      <w:proofErr w:type="spellStart"/>
      <w:r w:rsidRPr="00C77643">
        <w:rPr>
          <w:rFonts w:ascii="Times New Roman" w:eastAsia="Times New Roman" w:hAnsi="Times New Roman" w:cs="Times New Roman"/>
          <w:sz w:val="24"/>
          <w:szCs w:val="24"/>
        </w:rPr>
        <w:t>Orgueil</w:t>
      </w:r>
      <w:proofErr w:type="spellEnd"/>
      <w:r w:rsidRPr="00C77643">
        <w:rPr>
          <w:rFonts w:ascii="Times New Roman" w:eastAsia="Times New Roman" w:hAnsi="Times New Roman" w:cs="Times New Roman"/>
          <w:sz w:val="24"/>
          <w:szCs w:val="24"/>
        </w:rPr>
        <w:t xml:space="preserve"> and Murchison meteorites was investigated at the molecular level by Curie point pyrolysis in the presence and in the absence of TMAH.</w:t>
      </w:r>
    </w:p>
    <w:p w:rsidR="00C77643" w:rsidRPr="00C77643" w:rsidRDefault="00C77643" w:rsidP="00C77643">
      <w:pPr>
        <w:spacing w:before="100" w:beforeAutospacing="1" w:after="100" w:afterAutospacing="1" w:line="240" w:lineRule="auto"/>
        <w:rPr>
          <w:rFonts w:ascii="Times New Roman" w:eastAsia="Times New Roman" w:hAnsi="Times New Roman" w:cs="Times New Roman"/>
          <w:sz w:val="24"/>
          <w:szCs w:val="24"/>
        </w:rPr>
      </w:pPr>
      <w:r w:rsidRPr="00C77643">
        <w:rPr>
          <w:rFonts w:ascii="Times New Roman" w:eastAsia="Times New Roman" w:hAnsi="Times New Roman" w:cs="Times New Roman"/>
          <w:sz w:val="24"/>
          <w:szCs w:val="24"/>
        </w:rPr>
        <w:t>Conventional Curie point pyrolysis (i.e., without TMAH) confirms the highly aromatic nature of this material previously inferred from spectroscopic studies (</w:t>
      </w:r>
      <w:proofErr w:type="spellStart"/>
      <w:r w:rsidRPr="00C77643">
        <w:rPr>
          <w:rFonts w:ascii="Times New Roman" w:eastAsia="Times New Roman" w:hAnsi="Times New Roman" w:cs="Times New Roman"/>
          <w:sz w:val="24"/>
          <w:szCs w:val="24"/>
        </w:rPr>
        <w:t>Gardinier</w:t>
      </w:r>
      <w:proofErr w:type="spellEnd"/>
      <w:r w:rsidRPr="00C77643">
        <w:rPr>
          <w:rFonts w:ascii="Times New Roman" w:eastAsia="Times New Roman" w:hAnsi="Times New Roman" w:cs="Times New Roman"/>
          <w:sz w:val="24"/>
          <w:szCs w:val="24"/>
        </w:rPr>
        <w:t xml:space="preserve"> et al 2000, Cody et al 2002) and chemical and thermal degradations (</w:t>
      </w:r>
      <w:proofErr w:type="spellStart"/>
      <w:r w:rsidRPr="00C77643">
        <w:rPr>
          <w:rFonts w:ascii="Times New Roman" w:eastAsia="Times New Roman" w:hAnsi="Times New Roman" w:cs="Times New Roman"/>
          <w:sz w:val="24"/>
          <w:szCs w:val="24"/>
        </w:rPr>
        <w:t>Hayatsu</w:t>
      </w:r>
      <w:proofErr w:type="spellEnd"/>
      <w:r w:rsidRPr="00C77643">
        <w:rPr>
          <w:rFonts w:ascii="Times New Roman" w:eastAsia="Times New Roman" w:hAnsi="Times New Roman" w:cs="Times New Roman"/>
          <w:sz w:val="24"/>
          <w:szCs w:val="24"/>
        </w:rPr>
        <w:t xml:space="preserve"> et al 1980, </w:t>
      </w:r>
      <w:proofErr w:type="spellStart"/>
      <w:r w:rsidRPr="00C77643">
        <w:rPr>
          <w:rFonts w:ascii="Times New Roman" w:eastAsia="Times New Roman" w:hAnsi="Times New Roman" w:cs="Times New Roman"/>
          <w:sz w:val="24"/>
          <w:szCs w:val="24"/>
        </w:rPr>
        <w:t>Sephton</w:t>
      </w:r>
      <w:proofErr w:type="spellEnd"/>
      <w:r w:rsidRPr="00C77643">
        <w:rPr>
          <w:rFonts w:ascii="Times New Roman" w:eastAsia="Times New Roman" w:hAnsi="Times New Roman" w:cs="Times New Roman"/>
          <w:sz w:val="24"/>
          <w:szCs w:val="24"/>
        </w:rPr>
        <w:t xml:space="preserve"> et al 1999a, </w:t>
      </w:r>
      <w:proofErr w:type="spellStart"/>
      <w:r w:rsidRPr="00C77643">
        <w:rPr>
          <w:rFonts w:ascii="Times New Roman" w:eastAsia="Times New Roman" w:hAnsi="Times New Roman" w:cs="Times New Roman"/>
          <w:sz w:val="24"/>
          <w:szCs w:val="24"/>
        </w:rPr>
        <w:t>Sephton</w:t>
      </w:r>
      <w:proofErr w:type="spellEnd"/>
      <w:r w:rsidRPr="00C77643">
        <w:rPr>
          <w:rFonts w:ascii="Times New Roman" w:eastAsia="Times New Roman" w:hAnsi="Times New Roman" w:cs="Times New Roman"/>
          <w:sz w:val="24"/>
          <w:szCs w:val="24"/>
        </w:rPr>
        <w:t xml:space="preserve"> et al</w:t>
      </w:r>
    </w:p>
    <w:p w:rsidR="00C77643" w:rsidRPr="00C77643" w:rsidRDefault="00C77643" w:rsidP="00C77643">
      <w:pPr>
        <w:spacing w:before="100" w:beforeAutospacing="1" w:after="100" w:afterAutospacing="1" w:line="240" w:lineRule="auto"/>
        <w:outlineLvl w:val="1"/>
        <w:rPr>
          <w:rFonts w:ascii="Times New Roman" w:eastAsia="Times New Roman" w:hAnsi="Times New Roman" w:cs="Times New Roman"/>
          <w:b/>
          <w:bCs/>
          <w:sz w:val="36"/>
          <w:szCs w:val="36"/>
        </w:rPr>
      </w:pPr>
      <w:r w:rsidRPr="00C77643">
        <w:rPr>
          <w:rFonts w:ascii="Times New Roman" w:eastAsia="Times New Roman" w:hAnsi="Times New Roman" w:cs="Times New Roman"/>
          <w:b/>
          <w:bCs/>
          <w:sz w:val="36"/>
          <w:szCs w:val="36"/>
        </w:rPr>
        <w:t>Acknowledgments</w:t>
      </w:r>
    </w:p>
    <w:p w:rsidR="00C77643" w:rsidRPr="00C77643" w:rsidRDefault="00C77643" w:rsidP="00C77643">
      <w:pPr>
        <w:spacing w:before="100" w:beforeAutospacing="1" w:after="100" w:afterAutospacing="1" w:line="240" w:lineRule="auto"/>
        <w:rPr>
          <w:rFonts w:ascii="Times New Roman" w:eastAsia="Times New Roman" w:hAnsi="Times New Roman" w:cs="Times New Roman"/>
          <w:sz w:val="24"/>
          <w:szCs w:val="24"/>
        </w:rPr>
      </w:pPr>
      <w:r w:rsidRPr="00C77643">
        <w:rPr>
          <w:rFonts w:ascii="Times New Roman" w:eastAsia="Times New Roman" w:hAnsi="Times New Roman" w:cs="Times New Roman"/>
          <w:sz w:val="24"/>
          <w:szCs w:val="24"/>
        </w:rPr>
        <w:t xml:space="preserve">We are grateful to Françoise Behar for vacuum pyrolysis experiments and to Mireille </w:t>
      </w:r>
      <w:proofErr w:type="spellStart"/>
      <w:r w:rsidRPr="00C77643">
        <w:rPr>
          <w:rFonts w:ascii="Times New Roman" w:eastAsia="Times New Roman" w:hAnsi="Times New Roman" w:cs="Times New Roman"/>
          <w:sz w:val="24"/>
          <w:szCs w:val="24"/>
        </w:rPr>
        <w:t>Vandenbroucke</w:t>
      </w:r>
      <w:proofErr w:type="spellEnd"/>
      <w:r w:rsidRPr="00C77643">
        <w:rPr>
          <w:rFonts w:ascii="Times New Roman" w:eastAsia="Times New Roman" w:hAnsi="Times New Roman" w:cs="Times New Roman"/>
          <w:sz w:val="24"/>
          <w:szCs w:val="24"/>
        </w:rPr>
        <w:t xml:space="preserve"> and Ramon Ramirez for grinding samples (</w:t>
      </w:r>
      <w:proofErr w:type="spellStart"/>
      <w:r w:rsidRPr="00C77643">
        <w:rPr>
          <w:rFonts w:ascii="Times New Roman" w:eastAsia="Times New Roman" w:hAnsi="Times New Roman" w:cs="Times New Roman"/>
          <w:sz w:val="24"/>
          <w:szCs w:val="24"/>
        </w:rPr>
        <w:t>Département</w:t>
      </w:r>
      <w:proofErr w:type="spellEnd"/>
      <w:r w:rsidRPr="00C77643">
        <w:rPr>
          <w:rFonts w:ascii="Times New Roman" w:eastAsia="Times New Roman" w:hAnsi="Times New Roman" w:cs="Times New Roman"/>
          <w:sz w:val="24"/>
          <w:szCs w:val="24"/>
        </w:rPr>
        <w:t xml:space="preserve"> de </w:t>
      </w:r>
      <w:proofErr w:type="spellStart"/>
      <w:r w:rsidRPr="00C77643">
        <w:rPr>
          <w:rFonts w:ascii="Times New Roman" w:eastAsia="Times New Roman" w:hAnsi="Times New Roman" w:cs="Times New Roman"/>
          <w:sz w:val="24"/>
          <w:szCs w:val="24"/>
        </w:rPr>
        <w:t>Géochimie</w:t>
      </w:r>
      <w:proofErr w:type="spellEnd"/>
      <w:r w:rsidRPr="00C77643">
        <w:rPr>
          <w:rFonts w:ascii="Times New Roman" w:eastAsia="Times New Roman" w:hAnsi="Times New Roman" w:cs="Times New Roman"/>
          <w:sz w:val="24"/>
          <w:szCs w:val="24"/>
        </w:rPr>
        <w:t xml:space="preserve">, IFP, Rueil-Malmaison, France). Centre National </w:t>
      </w:r>
      <w:proofErr w:type="spellStart"/>
      <w:r w:rsidRPr="00C77643">
        <w:rPr>
          <w:rFonts w:ascii="Times New Roman" w:eastAsia="Times New Roman" w:hAnsi="Times New Roman" w:cs="Times New Roman"/>
          <w:sz w:val="24"/>
          <w:szCs w:val="24"/>
        </w:rPr>
        <w:t>d’Etudes</w:t>
      </w:r>
      <w:proofErr w:type="spellEnd"/>
      <w:r w:rsidRPr="00C77643">
        <w:rPr>
          <w:rFonts w:ascii="Times New Roman" w:eastAsia="Times New Roman" w:hAnsi="Times New Roman" w:cs="Times New Roman"/>
          <w:sz w:val="24"/>
          <w:szCs w:val="24"/>
        </w:rPr>
        <w:t xml:space="preserve"> </w:t>
      </w:r>
      <w:proofErr w:type="spellStart"/>
      <w:r w:rsidRPr="00C77643">
        <w:rPr>
          <w:rFonts w:ascii="Times New Roman" w:eastAsia="Times New Roman" w:hAnsi="Times New Roman" w:cs="Times New Roman"/>
          <w:sz w:val="24"/>
          <w:szCs w:val="24"/>
        </w:rPr>
        <w:t>Spatiales</w:t>
      </w:r>
      <w:proofErr w:type="spellEnd"/>
      <w:r w:rsidRPr="00C77643">
        <w:rPr>
          <w:rFonts w:ascii="Times New Roman" w:eastAsia="Times New Roman" w:hAnsi="Times New Roman" w:cs="Times New Roman"/>
          <w:sz w:val="24"/>
          <w:szCs w:val="24"/>
        </w:rPr>
        <w:t xml:space="preserve"> and Plan National de </w:t>
      </w:r>
      <w:proofErr w:type="spellStart"/>
      <w:r w:rsidRPr="00C77643">
        <w:rPr>
          <w:rFonts w:ascii="Times New Roman" w:eastAsia="Times New Roman" w:hAnsi="Times New Roman" w:cs="Times New Roman"/>
          <w:sz w:val="24"/>
          <w:szCs w:val="24"/>
        </w:rPr>
        <w:t>Planétologie</w:t>
      </w:r>
      <w:proofErr w:type="spellEnd"/>
      <w:r w:rsidRPr="00C77643">
        <w:rPr>
          <w:rFonts w:ascii="Times New Roman" w:eastAsia="Times New Roman" w:hAnsi="Times New Roman" w:cs="Times New Roman"/>
          <w:sz w:val="24"/>
          <w:szCs w:val="24"/>
        </w:rPr>
        <w:t xml:space="preserve"> (INSU - CNRS) are thanked for financial support. We also thank Mark A. </w:t>
      </w:r>
      <w:proofErr w:type="spellStart"/>
      <w:r w:rsidRPr="00C77643">
        <w:rPr>
          <w:rFonts w:ascii="Times New Roman" w:eastAsia="Times New Roman" w:hAnsi="Times New Roman" w:cs="Times New Roman"/>
          <w:sz w:val="24"/>
          <w:szCs w:val="24"/>
        </w:rPr>
        <w:t>Sephton</w:t>
      </w:r>
      <w:proofErr w:type="spellEnd"/>
      <w:r w:rsidRPr="00C77643">
        <w:rPr>
          <w:rFonts w:ascii="Times New Roman" w:eastAsia="Times New Roman" w:hAnsi="Times New Roman" w:cs="Times New Roman"/>
          <w:sz w:val="24"/>
          <w:szCs w:val="24"/>
        </w:rPr>
        <w:t xml:space="preserve"> and an anonymous reviewer for their constructive comments that improved the quality of the paper.</w:t>
      </w:r>
    </w:p>
    <w:p w:rsidR="00AD2C75" w:rsidRDefault="00AD2C75"/>
    <w:sectPr w:rsidR="00AD2C75">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7643"/>
    <w:rsid w:val="00AD2C75"/>
    <w:rsid w:val="00C776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464840"/>
  <w15:chartTrackingRefBased/>
  <w15:docId w15:val="{7F4D5C96-CD73-4085-8086-CCFA574608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24748189">
      <w:bodyDiv w:val="1"/>
      <w:marLeft w:val="0"/>
      <w:marRight w:val="0"/>
      <w:marTop w:val="0"/>
      <w:marBottom w:val="0"/>
      <w:divBdr>
        <w:top w:val="none" w:sz="0" w:space="0" w:color="auto"/>
        <w:left w:val="none" w:sz="0" w:space="0" w:color="auto"/>
        <w:bottom w:val="none" w:sz="0" w:space="0" w:color="auto"/>
        <w:right w:val="none" w:sz="0" w:space="0" w:color="auto"/>
      </w:divBdr>
      <w:divsChild>
        <w:div w:id="863979198">
          <w:marLeft w:val="0"/>
          <w:marRight w:val="0"/>
          <w:marTop w:val="0"/>
          <w:marBottom w:val="0"/>
          <w:divBdr>
            <w:top w:val="none" w:sz="0" w:space="0" w:color="auto"/>
            <w:left w:val="none" w:sz="0" w:space="0" w:color="auto"/>
            <w:bottom w:val="none" w:sz="0" w:space="0" w:color="auto"/>
            <w:right w:val="none" w:sz="0" w:space="0" w:color="auto"/>
          </w:divBdr>
          <w:divsChild>
            <w:div w:id="1804273666">
              <w:marLeft w:val="0"/>
              <w:marRight w:val="0"/>
              <w:marTop w:val="0"/>
              <w:marBottom w:val="0"/>
              <w:divBdr>
                <w:top w:val="none" w:sz="0" w:space="0" w:color="auto"/>
                <w:left w:val="none" w:sz="0" w:space="0" w:color="auto"/>
                <w:bottom w:val="none" w:sz="0" w:space="0" w:color="auto"/>
                <w:right w:val="none" w:sz="0" w:space="0" w:color="auto"/>
              </w:divBdr>
              <w:divsChild>
                <w:div w:id="446046390">
                  <w:marLeft w:val="0"/>
                  <w:marRight w:val="0"/>
                  <w:marTop w:val="0"/>
                  <w:marBottom w:val="0"/>
                  <w:divBdr>
                    <w:top w:val="none" w:sz="0" w:space="0" w:color="auto"/>
                    <w:left w:val="none" w:sz="0" w:space="0" w:color="auto"/>
                    <w:bottom w:val="none" w:sz="0" w:space="0" w:color="auto"/>
                    <w:right w:val="none" w:sz="0" w:space="0" w:color="auto"/>
                  </w:divBdr>
                  <w:divsChild>
                    <w:div w:id="1154561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6390503">
          <w:marLeft w:val="0"/>
          <w:marRight w:val="0"/>
          <w:marTop w:val="0"/>
          <w:marBottom w:val="0"/>
          <w:divBdr>
            <w:top w:val="none" w:sz="0" w:space="0" w:color="auto"/>
            <w:left w:val="none" w:sz="0" w:space="0" w:color="auto"/>
            <w:bottom w:val="none" w:sz="0" w:space="0" w:color="auto"/>
            <w:right w:val="none" w:sz="0" w:space="0" w:color="auto"/>
          </w:divBdr>
          <w:divsChild>
            <w:div w:id="1396002151">
              <w:marLeft w:val="0"/>
              <w:marRight w:val="0"/>
              <w:marTop w:val="0"/>
              <w:marBottom w:val="0"/>
              <w:divBdr>
                <w:top w:val="none" w:sz="0" w:space="0" w:color="auto"/>
                <w:left w:val="none" w:sz="0" w:space="0" w:color="auto"/>
                <w:bottom w:val="none" w:sz="0" w:space="0" w:color="auto"/>
                <w:right w:val="none" w:sz="0" w:space="0" w:color="auto"/>
              </w:divBdr>
              <w:divsChild>
                <w:div w:id="489637158">
                  <w:marLeft w:val="0"/>
                  <w:marRight w:val="0"/>
                  <w:marTop w:val="0"/>
                  <w:marBottom w:val="0"/>
                  <w:divBdr>
                    <w:top w:val="none" w:sz="0" w:space="0" w:color="auto"/>
                    <w:left w:val="none" w:sz="0" w:space="0" w:color="auto"/>
                    <w:bottom w:val="none" w:sz="0" w:space="0" w:color="auto"/>
                    <w:right w:val="none" w:sz="0" w:space="0" w:color="auto"/>
                  </w:divBdr>
                  <w:divsChild>
                    <w:div w:id="217743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7451804">
          <w:marLeft w:val="0"/>
          <w:marRight w:val="0"/>
          <w:marTop w:val="0"/>
          <w:marBottom w:val="0"/>
          <w:divBdr>
            <w:top w:val="none" w:sz="0" w:space="0" w:color="auto"/>
            <w:left w:val="none" w:sz="0" w:space="0" w:color="auto"/>
            <w:bottom w:val="none" w:sz="0" w:space="0" w:color="auto"/>
            <w:right w:val="none" w:sz="0" w:space="0" w:color="auto"/>
          </w:divBdr>
          <w:divsChild>
            <w:div w:id="1179079455">
              <w:marLeft w:val="0"/>
              <w:marRight w:val="0"/>
              <w:marTop w:val="0"/>
              <w:marBottom w:val="0"/>
              <w:divBdr>
                <w:top w:val="none" w:sz="0" w:space="0" w:color="auto"/>
                <w:left w:val="none" w:sz="0" w:space="0" w:color="auto"/>
                <w:bottom w:val="none" w:sz="0" w:space="0" w:color="auto"/>
                <w:right w:val="none" w:sz="0" w:space="0" w:color="auto"/>
              </w:divBdr>
            </w:div>
          </w:divsChild>
        </w:div>
        <w:div w:id="1417247457">
          <w:marLeft w:val="0"/>
          <w:marRight w:val="0"/>
          <w:marTop w:val="0"/>
          <w:marBottom w:val="0"/>
          <w:divBdr>
            <w:top w:val="none" w:sz="0" w:space="0" w:color="auto"/>
            <w:left w:val="none" w:sz="0" w:space="0" w:color="auto"/>
            <w:bottom w:val="none" w:sz="0" w:space="0" w:color="auto"/>
            <w:right w:val="none" w:sz="0" w:space="0" w:color="auto"/>
          </w:divBdr>
          <w:divsChild>
            <w:div w:id="2088376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sciencedirect.com/topics/earth-and-planetary-sciences/thermochemolysi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thermochemolysis" TargetMode="External"/><Relationship Id="rId5" Type="http://schemas.openxmlformats.org/officeDocument/2006/relationships/hyperlink" Target="https://www.sciencedirect.com/topics/earth-and-planetary-sciences/murchison-meteorite" TargetMode="External"/><Relationship Id="rId4" Type="http://schemas.openxmlformats.org/officeDocument/2006/relationships/hyperlink" Target="https://doi.org/10.1016/j.gca.2005.02.032"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1342</Words>
  <Characters>7651</Characters>
  <Application>Microsoft Office Word</Application>
  <DocSecurity>0</DocSecurity>
  <Lines>63</Lines>
  <Paragraphs>17</Paragraphs>
  <ScaleCrop>false</ScaleCrop>
  <Company/>
  <LinksUpToDate>false</LinksUpToDate>
  <CharactersWithSpaces>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2023-11-18T04:28:00Z</dcterms:created>
  <dcterms:modified xsi:type="dcterms:W3CDTF">2023-11-18T04:29:00Z</dcterms:modified>
</cp:coreProperties>
</file>