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3035B" w:rsidRPr="0003035B" w:rsidRDefault="0003035B" w:rsidP="0003035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3035B">
        <w:rPr>
          <w:rFonts w:ascii="Times New Roman" w:eastAsia="Times New Roman" w:hAnsi="Times New Roman" w:cs="Times New Roman"/>
          <w:b/>
          <w:bCs/>
          <w:kern w:val="36"/>
          <w:sz w:val="48"/>
          <w:szCs w:val="48"/>
        </w:rPr>
        <w:t>CO</w:t>
      </w:r>
      <w:r w:rsidRPr="0003035B">
        <w:rPr>
          <w:rFonts w:ascii="Times New Roman" w:eastAsia="Times New Roman" w:hAnsi="Times New Roman" w:cs="Times New Roman"/>
          <w:b/>
          <w:bCs/>
          <w:kern w:val="36"/>
          <w:sz w:val="48"/>
          <w:szCs w:val="48"/>
          <w:vertAlign w:val="subscript"/>
        </w:rPr>
        <w:t>2</w:t>
      </w:r>
      <w:r w:rsidRPr="0003035B">
        <w:rPr>
          <w:rFonts w:ascii="Times New Roman" w:eastAsia="Times New Roman" w:hAnsi="Times New Roman" w:cs="Times New Roman"/>
          <w:b/>
          <w:bCs/>
          <w:kern w:val="36"/>
          <w:sz w:val="48"/>
          <w:szCs w:val="48"/>
        </w:rPr>
        <w:t>-H</w:t>
      </w:r>
      <w:r w:rsidRPr="0003035B">
        <w:rPr>
          <w:rFonts w:ascii="Times New Roman" w:eastAsia="Times New Roman" w:hAnsi="Times New Roman" w:cs="Times New Roman"/>
          <w:b/>
          <w:bCs/>
          <w:kern w:val="36"/>
          <w:sz w:val="48"/>
          <w:szCs w:val="48"/>
          <w:vertAlign w:val="subscript"/>
        </w:rPr>
        <w:t>2</w:t>
      </w:r>
      <w:r w:rsidRPr="0003035B">
        <w:rPr>
          <w:rFonts w:ascii="Times New Roman" w:eastAsia="Times New Roman" w:hAnsi="Times New Roman" w:cs="Times New Roman"/>
          <w:b/>
          <w:bCs/>
          <w:kern w:val="36"/>
          <w:sz w:val="48"/>
          <w:szCs w:val="48"/>
        </w:rPr>
        <w:t>O mixtures in the geological sequestration of CO</w:t>
      </w:r>
      <w:r w:rsidRPr="0003035B">
        <w:rPr>
          <w:rFonts w:ascii="Times New Roman" w:eastAsia="Times New Roman" w:hAnsi="Times New Roman" w:cs="Times New Roman"/>
          <w:b/>
          <w:bCs/>
          <w:kern w:val="36"/>
          <w:sz w:val="48"/>
          <w:szCs w:val="48"/>
          <w:vertAlign w:val="subscript"/>
        </w:rPr>
        <w:t>2</w:t>
      </w:r>
      <w:r w:rsidRPr="0003035B">
        <w:rPr>
          <w:rFonts w:ascii="Times New Roman" w:eastAsia="Times New Roman" w:hAnsi="Times New Roman" w:cs="Times New Roman"/>
          <w:b/>
          <w:bCs/>
          <w:kern w:val="36"/>
          <w:sz w:val="48"/>
          <w:szCs w:val="48"/>
        </w:rPr>
        <w:t xml:space="preserve">. II. Partitioning in chloride brines at 12–100°C and up to 600 </w:t>
      </w:r>
      <w:proofErr w:type="gramStart"/>
      <w:r w:rsidRPr="0003035B">
        <w:rPr>
          <w:rFonts w:ascii="Times New Roman" w:eastAsia="Times New Roman" w:hAnsi="Times New Roman" w:cs="Times New Roman"/>
          <w:b/>
          <w:bCs/>
          <w:kern w:val="36"/>
          <w:sz w:val="48"/>
          <w:szCs w:val="48"/>
        </w:rPr>
        <w:t>bar</w:t>
      </w:r>
      <w:proofErr w:type="gramEnd"/>
    </w:p>
    <w:p w:rsidR="0003035B" w:rsidRPr="0003035B" w:rsidRDefault="0003035B" w:rsidP="0003035B">
      <w:pPr>
        <w:spacing w:after="0"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Author links open overlay panel</w:t>
      </w:r>
    </w:p>
    <w:p w:rsidR="0003035B" w:rsidRPr="0003035B" w:rsidRDefault="0003035B" w:rsidP="0003035B">
      <w:pPr>
        <w:spacing w:after="0"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 xml:space="preserve">, </w:t>
      </w:r>
    </w:p>
    <w:p w:rsidR="0003035B" w:rsidRPr="0003035B" w:rsidRDefault="0003035B" w:rsidP="0003035B">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3035B">
          <w:rPr>
            <w:rFonts w:ascii="Times New Roman" w:eastAsia="Times New Roman" w:hAnsi="Times New Roman" w:cs="Times New Roman"/>
            <w:color w:val="0000FF"/>
            <w:sz w:val="24"/>
            <w:szCs w:val="24"/>
            <w:u w:val="single"/>
          </w:rPr>
          <w:t>https://doi.org/10.1016/j.gca.2005.01.015</w:t>
        </w:r>
      </w:hyperlink>
      <w:bookmarkStart w:id="0" w:name="_GoBack"/>
      <w:bookmarkEnd w:id="0"/>
      <w:r w:rsidRPr="0003035B">
        <w:rPr>
          <w:rFonts w:ascii="Times New Roman" w:eastAsia="Times New Roman" w:hAnsi="Times New Roman" w:cs="Times New Roman"/>
          <w:sz w:val="24"/>
          <w:szCs w:val="24"/>
        </w:rPr>
        <w:t xml:space="preserve"> </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Abstract</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 xml:space="preserve">Correlations presented by </w:t>
      </w:r>
      <w:hyperlink r:id="rId5" w:anchor="bib37" w:history="1">
        <w:proofErr w:type="spellStart"/>
        <w:r w:rsidRPr="0003035B">
          <w:rPr>
            <w:rFonts w:ascii="Times New Roman" w:eastAsia="Times New Roman" w:hAnsi="Times New Roman" w:cs="Times New Roman"/>
            <w:color w:val="0000FF"/>
            <w:sz w:val="24"/>
            <w:szCs w:val="24"/>
            <w:u w:val="single"/>
          </w:rPr>
          <w:t>Spycher</w:t>
        </w:r>
        <w:proofErr w:type="spellEnd"/>
        <w:r w:rsidRPr="0003035B">
          <w:rPr>
            <w:rFonts w:ascii="Times New Roman" w:eastAsia="Times New Roman" w:hAnsi="Times New Roman" w:cs="Times New Roman"/>
            <w:color w:val="0000FF"/>
            <w:sz w:val="24"/>
            <w:szCs w:val="24"/>
            <w:u w:val="single"/>
          </w:rPr>
          <w:t xml:space="preserve"> et al. (2003)</w:t>
        </w:r>
      </w:hyperlink>
      <w:r w:rsidRPr="0003035B">
        <w:rPr>
          <w:rFonts w:ascii="Times New Roman" w:eastAsia="Times New Roman" w:hAnsi="Times New Roman" w:cs="Times New Roman"/>
          <w:sz w:val="24"/>
          <w:szCs w:val="24"/>
        </w:rPr>
        <w:t xml:space="preserve"> to compute the mutual solubilities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and 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O are extended to include the effect of chloride salts in the aqueous phase. This is accomplished by including, in the original formulation, </w:t>
      </w:r>
      <w:hyperlink r:id="rId6" w:tooltip="Learn more about activity coefficients from ScienceDirect's AI-generated Topic Pages" w:history="1">
        <w:r w:rsidRPr="0003035B">
          <w:rPr>
            <w:rFonts w:ascii="Times New Roman" w:eastAsia="Times New Roman" w:hAnsi="Times New Roman" w:cs="Times New Roman"/>
            <w:color w:val="0000FF"/>
            <w:sz w:val="24"/>
            <w:szCs w:val="24"/>
            <w:u w:val="single"/>
          </w:rPr>
          <w:t>activity coefficients</w:t>
        </w:r>
      </w:hyperlink>
      <w:r w:rsidRPr="0003035B">
        <w:rPr>
          <w:rFonts w:ascii="Times New Roman" w:eastAsia="Times New Roman" w:hAnsi="Times New Roman" w:cs="Times New Roman"/>
          <w:sz w:val="24"/>
          <w:szCs w:val="24"/>
        </w:rPr>
        <w:t xml:space="preserve"> for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derived from several literature sources, primarily for NaCl solutions. Best results are obtained when combining the solubility correlations of </w:t>
      </w:r>
      <w:hyperlink r:id="rId7" w:anchor="bib37" w:history="1">
        <w:proofErr w:type="spellStart"/>
        <w:r w:rsidRPr="0003035B">
          <w:rPr>
            <w:rFonts w:ascii="Times New Roman" w:eastAsia="Times New Roman" w:hAnsi="Times New Roman" w:cs="Times New Roman"/>
            <w:color w:val="0000FF"/>
            <w:sz w:val="24"/>
            <w:szCs w:val="24"/>
            <w:u w:val="single"/>
          </w:rPr>
          <w:t>Spycher</w:t>
        </w:r>
        <w:proofErr w:type="spellEnd"/>
        <w:r w:rsidRPr="0003035B">
          <w:rPr>
            <w:rFonts w:ascii="Times New Roman" w:eastAsia="Times New Roman" w:hAnsi="Times New Roman" w:cs="Times New Roman"/>
            <w:color w:val="0000FF"/>
            <w:sz w:val="24"/>
            <w:szCs w:val="24"/>
            <w:u w:val="single"/>
          </w:rPr>
          <w:t xml:space="preserve"> et al. (2003)</w:t>
        </w:r>
      </w:hyperlink>
      <w:r w:rsidRPr="0003035B">
        <w:rPr>
          <w:rFonts w:ascii="Times New Roman" w:eastAsia="Times New Roman" w:hAnsi="Times New Roman" w:cs="Times New Roman"/>
          <w:sz w:val="24"/>
          <w:szCs w:val="24"/>
        </w:rPr>
        <w:t xml:space="preserve"> with the activity coefficient formulation of </w:t>
      </w:r>
      <w:hyperlink r:id="rId8" w:anchor="bib32" w:history="1">
        <w:proofErr w:type="spellStart"/>
        <w:r w:rsidRPr="0003035B">
          <w:rPr>
            <w:rFonts w:ascii="Times New Roman" w:eastAsia="Times New Roman" w:hAnsi="Times New Roman" w:cs="Times New Roman"/>
            <w:color w:val="0000FF"/>
            <w:sz w:val="24"/>
            <w:szCs w:val="24"/>
            <w:u w:val="single"/>
          </w:rPr>
          <w:t>Rumpf</w:t>
        </w:r>
        <w:proofErr w:type="spellEnd"/>
        <w:r w:rsidRPr="0003035B">
          <w:rPr>
            <w:rFonts w:ascii="Times New Roman" w:eastAsia="Times New Roman" w:hAnsi="Times New Roman" w:cs="Times New Roman"/>
            <w:color w:val="0000FF"/>
            <w:sz w:val="24"/>
            <w:szCs w:val="24"/>
            <w:u w:val="single"/>
          </w:rPr>
          <w:t xml:space="preserve"> et al. (1994)</w:t>
        </w:r>
      </w:hyperlink>
      <w:r w:rsidRPr="0003035B">
        <w:rPr>
          <w:rFonts w:ascii="Times New Roman" w:eastAsia="Times New Roman" w:hAnsi="Times New Roman" w:cs="Times New Roman"/>
          <w:sz w:val="24"/>
          <w:szCs w:val="24"/>
        </w:rPr>
        <w:t xml:space="preserve"> and </w:t>
      </w:r>
      <w:hyperlink r:id="rId9" w:anchor="bib9" w:history="1">
        <w:proofErr w:type="spellStart"/>
        <w:r w:rsidRPr="0003035B">
          <w:rPr>
            <w:rFonts w:ascii="Times New Roman" w:eastAsia="Times New Roman" w:hAnsi="Times New Roman" w:cs="Times New Roman"/>
            <w:color w:val="0000FF"/>
            <w:sz w:val="24"/>
            <w:szCs w:val="24"/>
            <w:u w:val="single"/>
          </w:rPr>
          <w:t>Duan</w:t>
        </w:r>
        <w:proofErr w:type="spellEnd"/>
        <w:r w:rsidRPr="0003035B">
          <w:rPr>
            <w:rFonts w:ascii="Times New Roman" w:eastAsia="Times New Roman" w:hAnsi="Times New Roman" w:cs="Times New Roman"/>
            <w:color w:val="0000FF"/>
            <w:sz w:val="24"/>
            <w:szCs w:val="24"/>
            <w:u w:val="single"/>
          </w:rPr>
          <w:t xml:space="preserve"> and Sun (2003)</w:t>
        </w:r>
      </w:hyperlink>
      <w:r w:rsidRPr="0003035B">
        <w:rPr>
          <w:rFonts w:ascii="Times New Roman" w:eastAsia="Times New Roman" w:hAnsi="Times New Roman" w:cs="Times New Roman"/>
          <w:sz w:val="24"/>
          <w:szCs w:val="24"/>
        </w:rPr>
        <w:t xml:space="preserve">, which can be extended to chloride solutions other than NaCl. This approach allows computing mutual solubilities in a noniterative manner with an accuracy typically within experimental uncertainty for solutions up to 6 </w:t>
      </w:r>
      <w:proofErr w:type="spellStart"/>
      <w:r w:rsidRPr="0003035B">
        <w:rPr>
          <w:rFonts w:ascii="Times New Roman" w:eastAsia="Times New Roman" w:hAnsi="Times New Roman" w:cs="Times New Roman"/>
          <w:sz w:val="24"/>
          <w:szCs w:val="24"/>
        </w:rPr>
        <w:t>molal</w:t>
      </w:r>
      <w:proofErr w:type="spellEnd"/>
      <w:r w:rsidRPr="0003035B">
        <w:rPr>
          <w:rFonts w:ascii="Times New Roman" w:eastAsia="Times New Roman" w:hAnsi="Times New Roman" w:cs="Times New Roman"/>
          <w:sz w:val="24"/>
          <w:szCs w:val="24"/>
        </w:rPr>
        <w:t xml:space="preserve"> NaCl and 4 </w:t>
      </w:r>
      <w:proofErr w:type="spellStart"/>
      <w:r w:rsidRPr="0003035B">
        <w:rPr>
          <w:rFonts w:ascii="Times New Roman" w:eastAsia="Times New Roman" w:hAnsi="Times New Roman" w:cs="Times New Roman"/>
          <w:sz w:val="24"/>
          <w:szCs w:val="24"/>
        </w:rPr>
        <w:t>molal</w:t>
      </w:r>
      <w:proofErr w:type="spellEnd"/>
      <w:r w:rsidRPr="0003035B">
        <w:rPr>
          <w:rFonts w:ascii="Times New Roman" w:eastAsia="Times New Roman" w:hAnsi="Times New Roman" w:cs="Times New Roman"/>
          <w:sz w:val="24"/>
          <w:szCs w:val="24"/>
        </w:rPr>
        <w:t xml:space="preserve"> CaCl</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Introduction</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In Part I of this study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a noniterative approach was presented to compute the mutual solubilities of pure 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O and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in a temperature and pressure range most relevant to the geologic sequestration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The method was intended primarily for efficient numerical simulations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flows. Most practical modeling applications related to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sequestration (e.g., Garcia 2003, </w:t>
      </w:r>
      <w:proofErr w:type="spellStart"/>
      <w:r w:rsidRPr="0003035B">
        <w:rPr>
          <w:rFonts w:ascii="Times New Roman" w:eastAsia="Times New Roman" w:hAnsi="Times New Roman" w:cs="Times New Roman"/>
          <w:sz w:val="24"/>
          <w:szCs w:val="24"/>
        </w:rPr>
        <w:t>Pruess</w:t>
      </w:r>
      <w:proofErr w:type="spellEnd"/>
      <w:r w:rsidRPr="0003035B">
        <w:rPr>
          <w:rFonts w:ascii="Times New Roman" w:eastAsia="Times New Roman" w:hAnsi="Times New Roman" w:cs="Times New Roman"/>
          <w:sz w:val="24"/>
          <w:szCs w:val="24"/>
        </w:rPr>
        <w:t xml:space="preserve"> et al 2004, Xu et al 2004) deal with subsurface waters containing dissolved salts. For this reason, in Part II of this study, we extend the solubility model to include moderately saline solutions up to 6 m NaCl and 4 m CaCl</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As before, the objective is to compute in the most efficient manner the solubility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in the aqueous phase, as well as the 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O solubility in the compressed-gas phase at equilibrium with the aqueous phase.</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Several theoretical studies of the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O-NaCl system have been published to date, following various approaches and equations of state (EOS). Two of the more comprehensive solubility models developed for this system (Bowers and Helgeson 1983,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et al 1995) lie outside the pressure-temperature-composition (P-T-X) range of interest here. These studies covered elevated pressures and temperatures mostly relevant to the study of hydrothermal systems and fluid inclusions. More recently,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Sun (2003) presented a model for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solubility in NaCl and other electrolyte solutions applicable to a wide P-T-X range (0–2000 bar, 0 to 260°C, 0–4.3 m NaCl), overlapping low temperatures and moderate pressures applicable to the investigation of geologic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sequestration. Their model relies on an exhaustive set of experimental data from the literature and reproduces published solubilities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in NaCl and CaCl</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solutions, as well as in seawater, with accuracies close to experimental uncertainty. One drawback of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Sun’s model, however, is that it relies on a fifth-order virial EOS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et al., 1992) that cannot be efficiently implemented in numerical flow simulations. Also, this model was not intended to compute the 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O solubility in the compressed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gas phase, which is one of our objectives. Nevertheless, in their study,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w:t>
      </w:r>
      <w:r w:rsidRPr="0003035B">
        <w:rPr>
          <w:rFonts w:ascii="Times New Roman" w:eastAsia="Times New Roman" w:hAnsi="Times New Roman" w:cs="Times New Roman"/>
          <w:sz w:val="24"/>
          <w:szCs w:val="24"/>
        </w:rPr>
        <w:lastRenderedPageBreak/>
        <w:t>Sun (2003) present useful Pitzer expressions (Pitzer, 1973) and parameters to compute activity coefficients for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which are needed to account for salting-out effects. When taking into account assumptions made by these authors, their activity coefficient formulation can be used with our solubility correlations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to yield, in a noniterative manner,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solubilities with an accuracy comparable to their results, as discussed later.</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 xml:space="preserve">Models presented by Li and Nghiem (1986) and </w:t>
      </w:r>
      <w:proofErr w:type="spellStart"/>
      <w:r w:rsidRPr="0003035B">
        <w:rPr>
          <w:rFonts w:ascii="Times New Roman" w:eastAsia="Times New Roman" w:hAnsi="Times New Roman" w:cs="Times New Roman"/>
          <w:sz w:val="24"/>
          <w:szCs w:val="24"/>
        </w:rPr>
        <w:t>Enick</w:t>
      </w:r>
      <w:proofErr w:type="spellEnd"/>
      <w:r w:rsidRPr="0003035B">
        <w:rPr>
          <w:rFonts w:ascii="Times New Roman" w:eastAsia="Times New Roman" w:hAnsi="Times New Roman" w:cs="Times New Roman"/>
          <w:sz w:val="24"/>
          <w:szCs w:val="24"/>
        </w:rPr>
        <w:t xml:space="preserve"> and Klara (1990) make use of simpler and more efficient cubic EOS.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et al. (2003) show that the model of Li and Nghiem (1986), based on a Peng-Robinson EOS, is not as accurate as theirs and, therefore, this model is not further evaluated here. </w:t>
      </w:r>
      <w:proofErr w:type="spellStart"/>
      <w:r w:rsidRPr="0003035B">
        <w:rPr>
          <w:rFonts w:ascii="Times New Roman" w:eastAsia="Times New Roman" w:hAnsi="Times New Roman" w:cs="Times New Roman"/>
          <w:sz w:val="24"/>
          <w:szCs w:val="24"/>
        </w:rPr>
        <w:t>Enick</w:t>
      </w:r>
      <w:proofErr w:type="spellEnd"/>
      <w:r w:rsidRPr="0003035B">
        <w:rPr>
          <w:rFonts w:ascii="Times New Roman" w:eastAsia="Times New Roman" w:hAnsi="Times New Roman" w:cs="Times New Roman"/>
          <w:sz w:val="24"/>
          <w:szCs w:val="24"/>
        </w:rPr>
        <w:t xml:space="preserve"> and Klara (1990) fitted a large number of solubility measurements to a Henry’s-law/Peng-Robinson-EOS model, using an approach similar to that followed in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They then extended their solubility model to include electrolyte solutions by correlating solubilities with total dissolved solids (on a weight percent basis), using a large set of experimental and field data. In their correlation, however, these authors did not distinguish between the various types of dissolved salts in the solutions for which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solubilities were regressed (NaCl, CaCl</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and unspecified brines). Because their correlation for saline solutions inevitably shows significant scatter and is approximate at best, it was not considered further.</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proofErr w:type="spellStart"/>
      <w:r w:rsidRPr="0003035B">
        <w:rPr>
          <w:rFonts w:ascii="Times New Roman" w:eastAsia="Times New Roman" w:hAnsi="Times New Roman" w:cs="Times New Roman"/>
          <w:sz w:val="24"/>
          <w:szCs w:val="24"/>
        </w:rPr>
        <w:t>Rumpf</w:t>
      </w:r>
      <w:proofErr w:type="spellEnd"/>
      <w:r w:rsidRPr="0003035B">
        <w:rPr>
          <w:rFonts w:ascii="Times New Roman" w:eastAsia="Times New Roman" w:hAnsi="Times New Roman" w:cs="Times New Roman"/>
          <w:sz w:val="24"/>
          <w:szCs w:val="24"/>
        </w:rPr>
        <w:t xml:space="preserve"> and Maurer (1993) presented a comprehensive solubility model for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in electrolyte solutions. Their model relied on solution-chemistry correlations similar to those adopted in the present study, but used a standard virial EOS truncated after the second term to compute fugacity coefficients. </w:t>
      </w:r>
      <w:proofErr w:type="spellStart"/>
      <w:r w:rsidRPr="0003035B">
        <w:rPr>
          <w:rFonts w:ascii="Times New Roman" w:eastAsia="Times New Roman" w:hAnsi="Times New Roman" w:cs="Times New Roman"/>
          <w:sz w:val="24"/>
          <w:szCs w:val="24"/>
        </w:rPr>
        <w:t>Rumpf</w:t>
      </w:r>
      <w:proofErr w:type="spellEnd"/>
      <w:r w:rsidRPr="0003035B">
        <w:rPr>
          <w:rFonts w:ascii="Times New Roman" w:eastAsia="Times New Roman" w:hAnsi="Times New Roman" w:cs="Times New Roman"/>
          <w:sz w:val="24"/>
          <w:szCs w:val="24"/>
        </w:rPr>
        <w:t xml:space="preserve"> et al. (1994) fitted this model to their own measurements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solubility from 40 to 160°C and up to </w:t>
      </w:r>
      <w:r w:rsidRPr="0003035B">
        <w:rPr>
          <w:rFonts w:ascii="Cambria Math" w:eastAsia="Times New Roman" w:hAnsi="Cambria Math" w:cs="Cambria Math"/>
          <w:sz w:val="24"/>
          <w:szCs w:val="24"/>
        </w:rPr>
        <w:t>∼</w:t>
      </w:r>
      <w:r w:rsidRPr="0003035B">
        <w:rPr>
          <w:rFonts w:ascii="Times New Roman" w:eastAsia="Times New Roman" w:hAnsi="Times New Roman" w:cs="Times New Roman"/>
          <w:sz w:val="24"/>
          <w:szCs w:val="24"/>
        </w:rPr>
        <w:t xml:space="preserve">100 bar, in 4 and 6 m NaCl solutions. These authors used Pitzer expressions similar to those adopted by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Sun (2003) to compute activity coefficients. As shown later in this study, their activity coefficient formulation can be extended and combined with our solubility model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to cover our entire P-T range of interest (12 to 100°C and up to 600 bar) with an accuracy as good as, if not better than, that of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Sun’s model.</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Because reasonable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solubilities can be determined without considering non-ideal mixing effects in the gas phase, other studies have focused primarily on the aqueous phase without integrating an accurate solubility model for the compressed gas phase. Such studies include those of Ellis and Golding 1963, </w:t>
      </w:r>
      <w:proofErr w:type="spellStart"/>
      <w:r w:rsidRPr="0003035B">
        <w:rPr>
          <w:rFonts w:ascii="Times New Roman" w:eastAsia="Times New Roman" w:hAnsi="Times New Roman" w:cs="Times New Roman"/>
          <w:sz w:val="24"/>
          <w:szCs w:val="24"/>
        </w:rPr>
        <w:t>Malinin</w:t>
      </w:r>
      <w:proofErr w:type="spellEnd"/>
      <w:r w:rsidRPr="0003035B">
        <w:rPr>
          <w:rFonts w:ascii="Times New Roman" w:eastAsia="Times New Roman" w:hAnsi="Times New Roman" w:cs="Times New Roman"/>
          <w:sz w:val="24"/>
          <w:szCs w:val="24"/>
        </w:rPr>
        <w:t xml:space="preserve"> and </w:t>
      </w:r>
      <w:proofErr w:type="spellStart"/>
      <w:r w:rsidRPr="0003035B">
        <w:rPr>
          <w:rFonts w:ascii="Times New Roman" w:eastAsia="Times New Roman" w:hAnsi="Times New Roman" w:cs="Times New Roman"/>
          <w:sz w:val="24"/>
          <w:szCs w:val="24"/>
        </w:rPr>
        <w:t>Savelyeva</w:t>
      </w:r>
      <w:proofErr w:type="spellEnd"/>
      <w:r w:rsidRPr="0003035B">
        <w:rPr>
          <w:rFonts w:ascii="Times New Roman" w:eastAsia="Times New Roman" w:hAnsi="Times New Roman" w:cs="Times New Roman"/>
          <w:sz w:val="24"/>
          <w:szCs w:val="24"/>
        </w:rPr>
        <w:t xml:space="preserve"> 1972, </w:t>
      </w:r>
      <w:proofErr w:type="spellStart"/>
      <w:r w:rsidRPr="0003035B">
        <w:rPr>
          <w:rFonts w:ascii="Times New Roman" w:eastAsia="Times New Roman" w:hAnsi="Times New Roman" w:cs="Times New Roman"/>
          <w:sz w:val="24"/>
          <w:szCs w:val="24"/>
        </w:rPr>
        <w:t>Malinin</w:t>
      </w:r>
      <w:proofErr w:type="spellEnd"/>
      <w:r w:rsidRPr="0003035B">
        <w:rPr>
          <w:rFonts w:ascii="Times New Roman" w:eastAsia="Times New Roman" w:hAnsi="Times New Roman" w:cs="Times New Roman"/>
          <w:sz w:val="24"/>
          <w:szCs w:val="24"/>
        </w:rPr>
        <w:t xml:space="preserve"> and </w:t>
      </w:r>
      <w:proofErr w:type="spellStart"/>
      <w:r w:rsidRPr="0003035B">
        <w:rPr>
          <w:rFonts w:ascii="Times New Roman" w:eastAsia="Times New Roman" w:hAnsi="Times New Roman" w:cs="Times New Roman"/>
          <w:sz w:val="24"/>
          <w:szCs w:val="24"/>
        </w:rPr>
        <w:t>Kurovskaya</w:t>
      </w:r>
      <w:proofErr w:type="spellEnd"/>
      <w:r w:rsidRPr="0003035B">
        <w:rPr>
          <w:rFonts w:ascii="Times New Roman" w:eastAsia="Times New Roman" w:hAnsi="Times New Roman" w:cs="Times New Roman"/>
          <w:sz w:val="24"/>
          <w:szCs w:val="24"/>
        </w:rPr>
        <w:t xml:space="preserve"> 1975, Drummond 1981, and Cramer (1982), all of whom conducted their own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solubility experiments. These authors determined Henry’s constants for pure 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O and saline solutions, from which salting-out effects could be quantified, as further discussed later and in Appendix A-1. Nesbitt (1984) and </w:t>
      </w:r>
      <w:proofErr w:type="spellStart"/>
      <w:r w:rsidRPr="0003035B">
        <w:rPr>
          <w:rFonts w:ascii="Times New Roman" w:eastAsia="Times New Roman" w:hAnsi="Times New Roman" w:cs="Times New Roman"/>
          <w:sz w:val="24"/>
          <w:szCs w:val="24"/>
        </w:rPr>
        <w:t>Barta</w:t>
      </w:r>
      <w:proofErr w:type="spellEnd"/>
      <w:r w:rsidRPr="0003035B">
        <w:rPr>
          <w:rFonts w:ascii="Times New Roman" w:eastAsia="Times New Roman" w:hAnsi="Times New Roman" w:cs="Times New Roman"/>
          <w:sz w:val="24"/>
          <w:szCs w:val="24"/>
        </w:rPr>
        <w:t xml:space="preserve"> and Bradley (1985) developed similar models using experimental data from others, but further expanded the formulation of activity coefficients for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as specified later.</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In all studies discussed above, the solubility of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in water was expressed through some form of gas-liquid partitioning function relating either directly or indirectly to a thermodynamic equilibrium constant. If an EOS was used, this was done merely to account for gas phase non-ideality. With this “Henry’s law” or “solution chemistry” approach, the effect of dissolved salts on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solubility is treated by using an activity (or salting-out) coefficient expressing the departure from solubility in pure water. This approach is followed here as well. In the last decade or so, however, other solubility models have been developed that make use of one single EOS (e.g., Peng-Robinson) to compute the properties of both the aqueous and compressed-gas phases at equilibrium. These models, reported primarily in the chemical engineering literature, have been applied to pure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-H</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O systems (e.g., </w:t>
      </w:r>
      <w:proofErr w:type="spellStart"/>
      <w:r w:rsidRPr="0003035B">
        <w:rPr>
          <w:rFonts w:ascii="Times New Roman" w:eastAsia="Times New Roman" w:hAnsi="Times New Roman" w:cs="Times New Roman"/>
          <w:sz w:val="24"/>
          <w:szCs w:val="24"/>
        </w:rPr>
        <w:t>Shyu</w:t>
      </w:r>
      <w:proofErr w:type="spellEnd"/>
      <w:r w:rsidRPr="0003035B">
        <w:rPr>
          <w:rFonts w:ascii="Times New Roman" w:eastAsia="Times New Roman" w:hAnsi="Times New Roman" w:cs="Times New Roman"/>
          <w:sz w:val="24"/>
          <w:szCs w:val="24"/>
        </w:rPr>
        <w:t xml:space="preserve"> et al., 1997) and to systems including electrolyte solutions (e.g., Harvey and </w:t>
      </w:r>
      <w:proofErr w:type="spellStart"/>
      <w:r w:rsidRPr="0003035B">
        <w:rPr>
          <w:rFonts w:ascii="Times New Roman" w:eastAsia="Times New Roman" w:hAnsi="Times New Roman" w:cs="Times New Roman"/>
          <w:sz w:val="24"/>
          <w:szCs w:val="24"/>
        </w:rPr>
        <w:t>Prausnitz</w:t>
      </w:r>
      <w:proofErr w:type="spellEnd"/>
      <w:r w:rsidRPr="0003035B">
        <w:rPr>
          <w:rFonts w:ascii="Times New Roman" w:eastAsia="Times New Roman" w:hAnsi="Times New Roman" w:cs="Times New Roman"/>
          <w:sz w:val="24"/>
          <w:szCs w:val="24"/>
        </w:rPr>
        <w:t xml:space="preserve"> 1989, </w:t>
      </w:r>
      <w:proofErr w:type="spellStart"/>
      <w:r w:rsidRPr="0003035B">
        <w:rPr>
          <w:rFonts w:ascii="Times New Roman" w:eastAsia="Times New Roman" w:hAnsi="Times New Roman" w:cs="Times New Roman"/>
          <w:sz w:val="24"/>
          <w:szCs w:val="24"/>
        </w:rPr>
        <w:t>Zuo</w:t>
      </w:r>
      <w:proofErr w:type="spellEnd"/>
      <w:r w:rsidRPr="0003035B">
        <w:rPr>
          <w:rFonts w:ascii="Times New Roman" w:eastAsia="Times New Roman" w:hAnsi="Times New Roman" w:cs="Times New Roman"/>
          <w:sz w:val="24"/>
          <w:szCs w:val="24"/>
        </w:rPr>
        <w:t xml:space="preserve"> and Guo 1991, </w:t>
      </w:r>
      <w:proofErr w:type="spellStart"/>
      <w:r w:rsidRPr="0003035B">
        <w:rPr>
          <w:rFonts w:ascii="Times New Roman" w:eastAsia="Times New Roman" w:hAnsi="Times New Roman" w:cs="Times New Roman"/>
          <w:sz w:val="24"/>
          <w:szCs w:val="24"/>
        </w:rPr>
        <w:t>Søreide</w:t>
      </w:r>
      <w:proofErr w:type="spellEnd"/>
      <w:r w:rsidRPr="0003035B">
        <w:rPr>
          <w:rFonts w:ascii="Times New Roman" w:eastAsia="Times New Roman" w:hAnsi="Times New Roman" w:cs="Times New Roman"/>
          <w:sz w:val="24"/>
          <w:szCs w:val="24"/>
        </w:rPr>
        <w:t xml:space="preserve"> and Whitson 1992, </w:t>
      </w:r>
      <w:proofErr w:type="spellStart"/>
      <w:r w:rsidRPr="0003035B">
        <w:rPr>
          <w:rFonts w:ascii="Times New Roman" w:eastAsia="Times New Roman" w:hAnsi="Times New Roman" w:cs="Times New Roman"/>
          <w:sz w:val="24"/>
          <w:szCs w:val="24"/>
        </w:rPr>
        <w:t>Sørensen</w:t>
      </w:r>
      <w:proofErr w:type="spellEnd"/>
      <w:r w:rsidRPr="0003035B">
        <w:rPr>
          <w:rFonts w:ascii="Times New Roman" w:eastAsia="Times New Roman" w:hAnsi="Times New Roman" w:cs="Times New Roman"/>
          <w:sz w:val="24"/>
          <w:szCs w:val="24"/>
        </w:rPr>
        <w:t xml:space="preserve"> et al 2002, </w:t>
      </w:r>
      <w:proofErr w:type="spellStart"/>
      <w:r w:rsidRPr="0003035B">
        <w:rPr>
          <w:rFonts w:ascii="Times New Roman" w:eastAsia="Times New Roman" w:hAnsi="Times New Roman" w:cs="Times New Roman"/>
          <w:sz w:val="24"/>
          <w:szCs w:val="24"/>
        </w:rPr>
        <w:t>Masoudi</w:t>
      </w:r>
      <w:proofErr w:type="spellEnd"/>
      <w:r w:rsidRPr="0003035B">
        <w:rPr>
          <w:rFonts w:ascii="Times New Roman" w:eastAsia="Times New Roman" w:hAnsi="Times New Roman" w:cs="Times New Roman"/>
          <w:sz w:val="24"/>
          <w:szCs w:val="24"/>
        </w:rPr>
        <w:t xml:space="preserve"> et </w:t>
      </w:r>
      <w:r w:rsidRPr="0003035B">
        <w:rPr>
          <w:rFonts w:ascii="Times New Roman" w:eastAsia="Times New Roman" w:hAnsi="Times New Roman" w:cs="Times New Roman"/>
          <w:sz w:val="24"/>
          <w:szCs w:val="24"/>
        </w:rPr>
        <w:lastRenderedPageBreak/>
        <w:t xml:space="preserve">al 2004). The main drawback of these models is that an iterative procedure must be used to solve the EOS twice, once for the gas-phase composition and a second time for the liquid-phase composition. Furthermore, while conceptually elegant, these models have not been shown to be superior to traditional “Henry’s law” models and produce large errors when their parameters are extrapolated beyond the range of measured solubilities, particularly in multicomponent systems (e.g., Patel et al., 2001). For these reasons, and because of their incompatibility with the more traditional correlations adopted in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these models were not considered further.</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Section snippets</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Solubility model</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The formulation of the basic model (</w:t>
      </w:r>
      <w:proofErr w:type="spellStart"/>
      <w:r w:rsidRPr="0003035B">
        <w:rPr>
          <w:rFonts w:ascii="Times New Roman" w:eastAsia="Times New Roman" w:hAnsi="Times New Roman" w:cs="Times New Roman"/>
          <w:sz w:val="24"/>
          <w:szCs w:val="24"/>
        </w:rPr>
        <w:t>Spycher</w:t>
      </w:r>
      <w:proofErr w:type="spellEnd"/>
      <w:r w:rsidRPr="0003035B">
        <w:rPr>
          <w:rFonts w:ascii="Times New Roman" w:eastAsia="Times New Roman" w:hAnsi="Times New Roman" w:cs="Times New Roman"/>
          <w:sz w:val="24"/>
          <w:szCs w:val="24"/>
        </w:rPr>
        <w:t xml:space="preserve"> et al., 2003) is extended with an activity coefficient for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and a correction to the activity of water to account for the effects of dissolved salts. The extended formulation is presented below, followed by a review of available models and/or data from which activity coefficients for aqueous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can be derived.</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Results</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solubilities calculated</w:t>
      </w:r>
      <w:r w:rsidRPr="0003035B">
        <w:rPr>
          <w:rFonts w:ascii="Times New Roman" w:eastAsia="Times New Roman" w:hAnsi="Times New Roman" w:cs="Times New Roman"/>
          <w:sz w:val="24"/>
          <w:szCs w:val="24"/>
          <w:vertAlign w:val="superscript"/>
        </w:rPr>
        <w:t>1</w:t>
      </w:r>
      <w:r w:rsidRPr="0003035B">
        <w:rPr>
          <w:rFonts w:ascii="Times New Roman" w:eastAsia="Times New Roman" w:hAnsi="Times New Roman" w:cs="Times New Roman"/>
          <w:sz w:val="24"/>
          <w:szCs w:val="24"/>
        </w:rPr>
        <w:t xml:space="preserve"> using </w:t>
      </w:r>
      <w:proofErr w:type="spellStart"/>
      <w:r w:rsidRPr="0003035B">
        <w:rPr>
          <w:rFonts w:ascii="Times New Roman" w:eastAsia="Times New Roman" w:hAnsi="Times New Roman" w:cs="Times New Roman"/>
          <w:sz w:val="24"/>
          <w:szCs w:val="24"/>
        </w:rPr>
        <w:t>Eqns</w:t>
      </w:r>
      <w:proofErr w:type="spellEnd"/>
      <w:r w:rsidRPr="0003035B">
        <w:rPr>
          <w:rFonts w:ascii="Times New Roman" w:eastAsia="Times New Roman" w:hAnsi="Times New Roman" w:cs="Times New Roman"/>
          <w:sz w:val="24"/>
          <w:szCs w:val="24"/>
        </w:rPr>
        <w:t xml:space="preserve"> (3), (4), (5), (6), (7), (8), (9), (10), (11), in combination with the various activity coefficient formulations discussed earlier and in Appendix A.2, were compared to both experimental and computed data reported in the literature (Table 1). Results of these comparisons are discussed below.</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Most experimental data on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solubility in aqueous electrolyte solutions have been summarized in </w:t>
      </w:r>
      <w:proofErr w:type="spellStart"/>
      <w:r w:rsidRPr="0003035B">
        <w:rPr>
          <w:rFonts w:ascii="Times New Roman" w:eastAsia="Times New Roman" w:hAnsi="Times New Roman" w:cs="Times New Roman"/>
          <w:sz w:val="24"/>
          <w:szCs w:val="24"/>
        </w:rPr>
        <w:t>Scharlin</w:t>
      </w:r>
      <w:proofErr w:type="spellEnd"/>
      <w:r w:rsidRPr="0003035B">
        <w:rPr>
          <w:rFonts w:ascii="Times New Roman" w:eastAsia="Times New Roman" w:hAnsi="Times New Roman" w:cs="Times New Roman"/>
          <w:sz w:val="24"/>
          <w:szCs w:val="24"/>
        </w:rPr>
        <w:t xml:space="preserve"> (1996). Very few experimental data have been published on CO</w:t>
      </w:r>
      <w:r w:rsidRPr="0003035B">
        <w:rPr>
          <w:rFonts w:ascii="Times New Roman" w:eastAsia="Times New Roman" w:hAnsi="Times New Roman" w:cs="Times New Roman"/>
          <w:sz w:val="24"/>
          <w:szCs w:val="24"/>
          <w:vertAlign w:val="subscript"/>
        </w:rPr>
        <w:t>2</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Discussion and Conclusions</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 xml:space="preserve">For NaCl solutions up to 2 </w:t>
      </w:r>
      <w:proofErr w:type="spellStart"/>
      <w:r w:rsidRPr="0003035B">
        <w:rPr>
          <w:rFonts w:ascii="Times New Roman" w:eastAsia="Times New Roman" w:hAnsi="Times New Roman" w:cs="Times New Roman"/>
          <w:sz w:val="24"/>
          <w:szCs w:val="24"/>
        </w:rPr>
        <w:t>molal</w:t>
      </w:r>
      <w:proofErr w:type="spellEnd"/>
      <w:r w:rsidRPr="0003035B">
        <w:rPr>
          <w:rFonts w:ascii="Times New Roman" w:eastAsia="Times New Roman" w:hAnsi="Times New Roman" w:cs="Times New Roman"/>
          <w:sz w:val="24"/>
          <w:szCs w:val="24"/>
        </w:rPr>
        <w:t>, all activity coefficient formulations provide reasonable CO</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aqueous solubilities within </w:t>
      </w:r>
      <w:r w:rsidRPr="0003035B">
        <w:rPr>
          <w:rFonts w:ascii="Cambria Math" w:eastAsia="Times New Roman" w:hAnsi="Cambria Math" w:cs="Cambria Math"/>
          <w:sz w:val="24"/>
          <w:szCs w:val="24"/>
        </w:rPr>
        <w:t>∼</w:t>
      </w:r>
      <w:r w:rsidRPr="0003035B">
        <w:rPr>
          <w:rFonts w:ascii="Times New Roman" w:eastAsia="Times New Roman" w:hAnsi="Times New Roman" w:cs="Times New Roman"/>
          <w:sz w:val="24"/>
          <w:szCs w:val="24"/>
        </w:rPr>
        <w:t xml:space="preserve">10% of the experimental and computed reference data shown in Table 1. At </w:t>
      </w:r>
      <w:proofErr w:type="spellStart"/>
      <w:r w:rsidRPr="0003035B">
        <w:rPr>
          <w:rFonts w:ascii="Times New Roman" w:eastAsia="Times New Roman" w:hAnsi="Times New Roman" w:cs="Times New Roman"/>
          <w:sz w:val="24"/>
          <w:szCs w:val="24"/>
        </w:rPr>
        <w:t>molalities</w:t>
      </w:r>
      <w:proofErr w:type="spellEnd"/>
      <w:r w:rsidRPr="0003035B">
        <w:rPr>
          <w:rFonts w:ascii="Times New Roman" w:eastAsia="Times New Roman" w:hAnsi="Times New Roman" w:cs="Times New Roman"/>
          <w:sz w:val="24"/>
          <w:szCs w:val="24"/>
        </w:rPr>
        <w:t xml:space="preserve"> up to 6 m NaCl and 4 m CaCl</w:t>
      </w:r>
      <w:r w:rsidRPr="0003035B">
        <w:rPr>
          <w:rFonts w:ascii="Times New Roman" w:eastAsia="Times New Roman" w:hAnsi="Times New Roman" w:cs="Times New Roman"/>
          <w:sz w:val="24"/>
          <w:szCs w:val="24"/>
          <w:vertAlign w:val="subscript"/>
        </w:rPr>
        <w:t>2</w:t>
      </w:r>
      <w:r w:rsidRPr="0003035B">
        <w:rPr>
          <w:rFonts w:ascii="Times New Roman" w:eastAsia="Times New Roman" w:hAnsi="Times New Roman" w:cs="Times New Roman"/>
          <w:sz w:val="24"/>
          <w:szCs w:val="24"/>
        </w:rPr>
        <w:t xml:space="preserve">, the activity coefficient expressions of </w:t>
      </w:r>
      <w:proofErr w:type="spellStart"/>
      <w:r w:rsidRPr="0003035B">
        <w:rPr>
          <w:rFonts w:ascii="Times New Roman" w:eastAsia="Times New Roman" w:hAnsi="Times New Roman" w:cs="Times New Roman"/>
          <w:sz w:val="24"/>
          <w:szCs w:val="24"/>
        </w:rPr>
        <w:t>Duan</w:t>
      </w:r>
      <w:proofErr w:type="spellEnd"/>
      <w:r w:rsidRPr="0003035B">
        <w:rPr>
          <w:rFonts w:ascii="Times New Roman" w:eastAsia="Times New Roman" w:hAnsi="Times New Roman" w:cs="Times New Roman"/>
          <w:sz w:val="24"/>
          <w:szCs w:val="24"/>
        </w:rPr>
        <w:t xml:space="preserve"> and Sun (2003) and </w:t>
      </w:r>
      <w:proofErr w:type="spellStart"/>
      <w:r w:rsidRPr="0003035B">
        <w:rPr>
          <w:rFonts w:ascii="Times New Roman" w:eastAsia="Times New Roman" w:hAnsi="Times New Roman" w:cs="Times New Roman"/>
          <w:sz w:val="24"/>
          <w:szCs w:val="24"/>
        </w:rPr>
        <w:t>Rumpf</w:t>
      </w:r>
      <w:proofErr w:type="spellEnd"/>
      <w:r w:rsidRPr="0003035B">
        <w:rPr>
          <w:rFonts w:ascii="Times New Roman" w:eastAsia="Times New Roman" w:hAnsi="Times New Roman" w:cs="Times New Roman"/>
          <w:sz w:val="24"/>
          <w:szCs w:val="24"/>
        </w:rPr>
        <w:t xml:space="preserve"> et al. (1994) provide more accurate results, reflecting the superiority of the Pitzer formulation over simpler models. Overall, the activity coefficient formulation of </w:t>
      </w:r>
      <w:proofErr w:type="spellStart"/>
      <w:r w:rsidRPr="0003035B">
        <w:rPr>
          <w:rFonts w:ascii="Times New Roman" w:eastAsia="Times New Roman" w:hAnsi="Times New Roman" w:cs="Times New Roman"/>
          <w:sz w:val="24"/>
          <w:szCs w:val="24"/>
        </w:rPr>
        <w:t>Rumpf</w:t>
      </w:r>
      <w:proofErr w:type="spellEnd"/>
      <w:r w:rsidRPr="0003035B">
        <w:rPr>
          <w:rFonts w:ascii="Times New Roman" w:eastAsia="Times New Roman" w:hAnsi="Times New Roman" w:cs="Times New Roman"/>
          <w:sz w:val="24"/>
          <w:szCs w:val="24"/>
        </w:rPr>
        <w:t xml:space="preserve"> et al. (1994)</w:t>
      </w:r>
    </w:p>
    <w:p w:rsidR="0003035B" w:rsidRPr="0003035B" w:rsidRDefault="0003035B" w:rsidP="0003035B">
      <w:pPr>
        <w:spacing w:before="100" w:beforeAutospacing="1" w:after="100" w:afterAutospacing="1" w:line="240" w:lineRule="auto"/>
        <w:outlineLvl w:val="1"/>
        <w:rPr>
          <w:rFonts w:ascii="Times New Roman" w:eastAsia="Times New Roman" w:hAnsi="Times New Roman" w:cs="Times New Roman"/>
          <w:b/>
          <w:bCs/>
          <w:sz w:val="36"/>
          <w:szCs w:val="36"/>
        </w:rPr>
      </w:pPr>
      <w:r w:rsidRPr="0003035B">
        <w:rPr>
          <w:rFonts w:ascii="Times New Roman" w:eastAsia="Times New Roman" w:hAnsi="Times New Roman" w:cs="Times New Roman"/>
          <w:b/>
          <w:bCs/>
          <w:sz w:val="36"/>
          <w:szCs w:val="36"/>
        </w:rPr>
        <w:t>Acknowledgments</w:t>
      </w:r>
    </w:p>
    <w:p w:rsidR="0003035B" w:rsidRPr="0003035B" w:rsidRDefault="0003035B" w:rsidP="0003035B">
      <w:pPr>
        <w:spacing w:before="100" w:beforeAutospacing="1" w:after="100" w:afterAutospacing="1" w:line="240" w:lineRule="auto"/>
        <w:rPr>
          <w:rFonts w:ascii="Times New Roman" w:eastAsia="Times New Roman" w:hAnsi="Times New Roman" w:cs="Times New Roman"/>
          <w:sz w:val="24"/>
          <w:szCs w:val="24"/>
        </w:rPr>
      </w:pPr>
      <w:r w:rsidRPr="0003035B">
        <w:rPr>
          <w:rFonts w:ascii="Times New Roman" w:eastAsia="Times New Roman" w:hAnsi="Times New Roman" w:cs="Times New Roman"/>
          <w:sz w:val="24"/>
          <w:szCs w:val="24"/>
        </w:rPr>
        <w:t xml:space="preserve">We thank two anonymous reviewers and the Associate Editor, D. </w:t>
      </w:r>
      <w:proofErr w:type="spellStart"/>
      <w:r w:rsidRPr="0003035B">
        <w:rPr>
          <w:rFonts w:ascii="Times New Roman" w:eastAsia="Times New Roman" w:hAnsi="Times New Roman" w:cs="Times New Roman"/>
          <w:sz w:val="24"/>
          <w:szCs w:val="24"/>
        </w:rPr>
        <w:t>Wesolowski</w:t>
      </w:r>
      <w:proofErr w:type="spellEnd"/>
      <w:r w:rsidRPr="0003035B">
        <w:rPr>
          <w:rFonts w:ascii="Times New Roman" w:eastAsia="Times New Roman" w:hAnsi="Times New Roman" w:cs="Times New Roman"/>
          <w:sz w:val="24"/>
          <w:szCs w:val="24"/>
        </w:rPr>
        <w:t xml:space="preserve">, for their useful comments. We also thank John Apps and Carl </w:t>
      </w:r>
      <w:proofErr w:type="spellStart"/>
      <w:r w:rsidRPr="0003035B">
        <w:rPr>
          <w:rFonts w:ascii="Times New Roman" w:eastAsia="Times New Roman" w:hAnsi="Times New Roman" w:cs="Times New Roman"/>
          <w:sz w:val="24"/>
          <w:szCs w:val="24"/>
        </w:rPr>
        <w:t>Steefel</w:t>
      </w:r>
      <w:proofErr w:type="spellEnd"/>
      <w:r w:rsidRPr="0003035B">
        <w:rPr>
          <w:rFonts w:ascii="Times New Roman" w:eastAsia="Times New Roman" w:hAnsi="Times New Roman" w:cs="Times New Roman"/>
          <w:sz w:val="24"/>
          <w:szCs w:val="24"/>
        </w:rPr>
        <w:t xml:space="preserve"> for their internal review of this paper. This work was supported by the US Department of Energy through the Office of Basic Energy Sciences under Contract No. DE-AC03-76SF00098</w:t>
      </w:r>
    </w:p>
    <w:p w:rsidR="00730173" w:rsidRDefault="00730173"/>
    <w:sectPr w:rsidR="0073017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35B"/>
    <w:rsid w:val="0003035B"/>
    <w:rsid w:val="007301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12AAF"/>
  <w15:chartTrackingRefBased/>
  <w15:docId w15:val="{F9CAA7FE-B693-47F8-B7A6-B974F6199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8125545">
      <w:bodyDiv w:val="1"/>
      <w:marLeft w:val="0"/>
      <w:marRight w:val="0"/>
      <w:marTop w:val="0"/>
      <w:marBottom w:val="0"/>
      <w:divBdr>
        <w:top w:val="none" w:sz="0" w:space="0" w:color="auto"/>
        <w:left w:val="none" w:sz="0" w:space="0" w:color="auto"/>
        <w:bottom w:val="none" w:sz="0" w:space="0" w:color="auto"/>
        <w:right w:val="none" w:sz="0" w:space="0" w:color="auto"/>
      </w:divBdr>
      <w:divsChild>
        <w:div w:id="1906140774">
          <w:marLeft w:val="0"/>
          <w:marRight w:val="0"/>
          <w:marTop w:val="0"/>
          <w:marBottom w:val="0"/>
          <w:divBdr>
            <w:top w:val="none" w:sz="0" w:space="0" w:color="auto"/>
            <w:left w:val="none" w:sz="0" w:space="0" w:color="auto"/>
            <w:bottom w:val="none" w:sz="0" w:space="0" w:color="auto"/>
            <w:right w:val="none" w:sz="0" w:space="0" w:color="auto"/>
          </w:divBdr>
          <w:divsChild>
            <w:div w:id="899679362">
              <w:marLeft w:val="0"/>
              <w:marRight w:val="0"/>
              <w:marTop w:val="0"/>
              <w:marBottom w:val="0"/>
              <w:divBdr>
                <w:top w:val="none" w:sz="0" w:space="0" w:color="auto"/>
                <w:left w:val="none" w:sz="0" w:space="0" w:color="auto"/>
                <w:bottom w:val="none" w:sz="0" w:space="0" w:color="auto"/>
                <w:right w:val="none" w:sz="0" w:space="0" w:color="auto"/>
              </w:divBdr>
              <w:divsChild>
                <w:div w:id="1299261277">
                  <w:marLeft w:val="0"/>
                  <w:marRight w:val="0"/>
                  <w:marTop w:val="0"/>
                  <w:marBottom w:val="0"/>
                  <w:divBdr>
                    <w:top w:val="none" w:sz="0" w:space="0" w:color="auto"/>
                    <w:left w:val="none" w:sz="0" w:space="0" w:color="auto"/>
                    <w:bottom w:val="none" w:sz="0" w:space="0" w:color="auto"/>
                    <w:right w:val="none" w:sz="0" w:space="0" w:color="auto"/>
                  </w:divBdr>
                  <w:divsChild>
                    <w:div w:id="128538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390587">
          <w:marLeft w:val="0"/>
          <w:marRight w:val="0"/>
          <w:marTop w:val="0"/>
          <w:marBottom w:val="0"/>
          <w:divBdr>
            <w:top w:val="none" w:sz="0" w:space="0" w:color="auto"/>
            <w:left w:val="none" w:sz="0" w:space="0" w:color="auto"/>
            <w:bottom w:val="none" w:sz="0" w:space="0" w:color="auto"/>
            <w:right w:val="none" w:sz="0" w:space="0" w:color="auto"/>
          </w:divBdr>
          <w:divsChild>
            <w:div w:id="468744849">
              <w:marLeft w:val="0"/>
              <w:marRight w:val="0"/>
              <w:marTop w:val="0"/>
              <w:marBottom w:val="0"/>
              <w:divBdr>
                <w:top w:val="none" w:sz="0" w:space="0" w:color="auto"/>
                <w:left w:val="none" w:sz="0" w:space="0" w:color="auto"/>
                <w:bottom w:val="none" w:sz="0" w:space="0" w:color="auto"/>
                <w:right w:val="none" w:sz="0" w:space="0" w:color="auto"/>
              </w:divBdr>
              <w:divsChild>
                <w:div w:id="330069041">
                  <w:marLeft w:val="0"/>
                  <w:marRight w:val="0"/>
                  <w:marTop w:val="0"/>
                  <w:marBottom w:val="0"/>
                  <w:divBdr>
                    <w:top w:val="none" w:sz="0" w:space="0" w:color="auto"/>
                    <w:left w:val="none" w:sz="0" w:space="0" w:color="auto"/>
                    <w:bottom w:val="none" w:sz="0" w:space="0" w:color="auto"/>
                    <w:right w:val="none" w:sz="0" w:space="0" w:color="auto"/>
                  </w:divBdr>
                  <w:divsChild>
                    <w:div w:id="4602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008855">
          <w:marLeft w:val="0"/>
          <w:marRight w:val="0"/>
          <w:marTop w:val="0"/>
          <w:marBottom w:val="0"/>
          <w:divBdr>
            <w:top w:val="none" w:sz="0" w:space="0" w:color="auto"/>
            <w:left w:val="none" w:sz="0" w:space="0" w:color="auto"/>
            <w:bottom w:val="none" w:sz="0" w:space="0" w:color="auto"/>
            <w:right w:val="none" w:sz="0" w:space="0" w:color="auto"/>
          </w:divBdr>
          <w:divsChild>
            <w:div w:id="209270489">
              <w:marLeft w:val="0"/>
              <w:marRight w:val="0"/>
              <w:marTop w:val="0"/>
              <w:marBottom w:val="0"/>
              <w:divBdr>
                <w:top w:val="none" w:sz="0" w:space="0" w:color="auto"/>
                <w:left w:val="none" w:sz="0" w:space="0" w:color="auto"/>
                <w:bottom w:val="none" w:sz="0" w:space="0" w:color="auto"/>
                <w:right w:val="none" w:sz="0" w:space="0" w:color="auto"/>
              </w:divBdr>
            </w:div>
          </w:divsChild>
        </w:div>
        <w:div w:id="1020737638">
          <w:marLeft w:val="0"/>
          <w:marRight w:val="0"/>
          <w:marTop w:val="0"/>
          <w:marBottom w:val="0"/>
          <w:divBdr>
            <w:top w:val="none" w:sz="0" w:space="0" w:color="auto"/>
            <w:left w:val="none" w:sz="0" w:space="0" w:color="auto"/>
            <w:bottom w:val="none" w:sz="0" w:space="0" w:color="auto"/>
            <w:right w:val="none" w:sz="0" w:space="0" w:color="auto"/>
          </w:divBdr>
          <w:divsChild>
            <w:div w:id="58295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abs/pii/S0016703705000669?via%3Dihub" TargetMode="External"/><Relationship Id="rId3" Type="http://schemas.openxmlformats.org/officeDocument/2006/relationships/webSettings" Target="webSettings.xml"/><Relationship Id="rId7" Type="http://schemas.openxmlformats.org/officeDocument/2006/relationships/hyperlink" Target="https://www.sciencedirect.com/science/article/abs/pii/S0016703705000669?via%3Dihu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activity-coefficient" TargetMode="External"/><Relationship Id="rId11" Type="http://schemas.openxmlformats.org/officeDocument/2006/relationships/theme" Target="theme/theme1.xml"/><Relationship Id="rId5" Type="http://schemas.openxmlformats.org/officeDocument/2006/relationships/hyperlink" Target="https://www.sciencedirect.com/science/article/abs/pii/S0016703705000669?via%3Dihub" TargetMode="External"/><Relationship Id="rId10" Type="http://schemas.openxmlformats.org/officeDocument/2006/relationships/fontTable" Target="fontTable.xml"/><Relationship Id="rId4" Type="http://schemas.openxmlformats.org/officeDocument/2006/relationships/hyperlink" Target="https://doi.org/10.1016/j.gca.2005.01.015" TargetMode="External"/><Relationship Id="rId9" Type="http://schemas.openxmlformats.org/officeDocument/2006/relationships/hyperlink" Target="https://www.sciencedirect.com/science/article/abs/pii/S0016703705000669?via%3Dih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1595</Words>
  <Characters>9092</Characters>
  <Application>Microsoft Office Word</Application>
  <DocSecurity>0</DocSecurity>
  <Lines>75</Lines>
  <Paragraphs>21</Paragraphs>
  <ScaleCrop>false</ScaleCrop>
  <Company/>
  <LinksUpToDate>false</LinksUpToDate>
  <CharactersWithSpaces>10666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2023-11-18T08:00:00Z</dcterms:created>
  <dcterms:modified xsi:type="dcterms:W3CDTF">2023-11-18T08:00:00Z</dcterms:modified>
</cp:coreProperties>
</file>