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7FBD" w:rsidRPr="003E7FBD" w:rsidRDefault="003E7FBD" w:rsidP="003E7F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E7FBD">
        <w:rPr>
          <w:rFonts w:ascii="Times New Roman" w:eastAsia="Times New Roman" w:hAnsi="Times New Roman" w:cs="Times New Roman"/>
          <w:b/>
          <w:bCs/>
          <w:kern w:val="36"/>
          <w:sz w:val="48"/>
          <w:szCs w:val="48"/>
        </w:rPr>
        <w:t>Evidence from olivine/melt element partitioning that nonbridging oxygen in silicate melts are not equivalent</w:t>
      </w:r>
    </w:p>
    <w:p w:rsidR="003E7FBD" w:rsidRPr="003E7FBD" w:rsidRDefault="003E7FBD" w:rsidP="003E7FBD">
      <w:pPr>
        <w:spacing w:after="0"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Author links open overlay panel</w:t>
      </w:r>
    </w:p>
    <w:p w:rsidR="003E7FBD" w:rsidRPr="003E7FBD" w:rsidRDefault="003E7FBD" w:rsidP="003E7FBD">
      <w:pPr>
        <w:spacing w:after="0"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 </w:t>
      </w:r>
    </w:p>
    <w:p w:rsidR="003E7FBD" w:rsidRPr="003E7FBD" w:rsidRDefault="003E7FBD" w:rsidP="003E7FBD">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3E7FBD">
          <w:rPr>
            <w:rFonts w:ascii="Times New Roman" w:eastAsia="Times New Roman" w:hAnsi="Times New Roman" w:cs="Times New Roman"/>
            <w:color w:val="0000FF"/>
            <w:sz w:val="24"/>
            <w:szCs w:val="24"/>
            <w:u w:val="single"/>
          </w:rPr>
          <w:t>https://doi.org/10.1016/j.gca.2004.12.028</w:t>
        </w:r>
      </w:hyperlink>
      <w:bookmarkStart w:id="0" w:name="_GoBack"/>
      <w:bookmarkEnd w:id="0"/>
      <w:r w:rsidRPr="003E7FBD">
        <w:rPr>
          <w:rFonts w:ascii="Times New Roman" w:eastAsia="Times New Roman" w:hAnsi="Times New Roman" w:cs="Times New Roman"/>
          <w:sz w:val="24"/>
          <w:szCs w:val="24"/>
        </w:rPr>
        <w:t xml:space="preserve"> </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Abstract</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Partitioning of Ca, Mn, Mg, and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between olivine and melt has been used to examine the influence of energetically nonequivalent nonbridging oxygen in silicate melts. Partitioning experiments were conducted at ambient pressure in air and 1400°C with melts in equilibrium with forsterite-rich olivine (</w:t>
      </w:r>
      <w:proofErr w:type="spellStart"/>
      <w:r w:rsidRPr="003E7FBD">
        <w:rPr>
          <w:rFonts w:ascii="Times New Roman" w:eastAsia="Times New Roman" w:hAnsi="Times New Roman" w:cs="Times New Roman"/>
          <w:sz w:val="24"/>
          <w:szCs w:val="24"/>
        </w:rPr>
        <w:t>Fo</w:t>
      </w:r>
      <w:proofErr w:type="spellEnd"/>
      <w:r w:rsidRPr="003E7FBD">
        <w:rPr>
          <w:rFonts w:ascii="Times New Roman" w:eastAsia="Times New Roman" w:hAnsi="Times New Roman" w:cs="Times New Roman"/>
          <w:sz w:val="24"/>
          <w:szCs w:val="24"/>
        </w:rPr>
        <w:t xml:space="preserve"> &gt;95 mol%). The main compositional variables of the melts were NBO/T and Na/(</w:t>
      </w:r>
      <w:proofErr w:type="spellStart"/>
      <w:r w:rsidRPr="003E7FBD">
        <w:rPr>
          <w:rFonts w:ascii="Times New Roman" w:eastAsia="Times New Roman" w:hAnsi="Times New Roman" w:cs="Times New Roman"/>
          <w:sz w:val="24"/>
          <w:szCs w:val="24"/>
        </w:rPr>
        <w:t>Na+Ca</w:t>
      </w:r>
      <w:proofErr w:type="spellEnd"/>
      <w:r w:rsidRPr="003E7FBD">
        <w:rPr>
          <w:rFonts w:ascii="Times New Roman" w:eastAsia="Times New Roman" w:hAnsi="Times New Roman" w:cs="Times New Roman"/>
          <w:sz w:val="24"/>
          <w:szCs w:val="24"/>
        </w:rPr>
        <w:t>). In all melts, the main structural units were of Q</w:t>
      </w:r>
      <w:r w:rsidRPr="003E7FBD">
        <w:rPr>
          <w:rFonts w:ascii="Times New Roman" w:eastAsia="Times New Roman" w:hAnsi="Times New Roman" w:cs="Times New Roman"/>
          <w:sz w:val="24"/>
          <w:szCs w:val="24"/>
          <w:vertAlign w:val="superscript"/>
        </w:rPr>
        <w:t>4</w:t>
      </w:r>
      <w:r w:rsidRPr="003E7FBD">
        <w:rPr>
          <w:rFonts w:ascii="Times New Roman" w:eastAsia="Times New Roman" w:hAnsi="Times New Roman" w:cs="Times New Roman"/>
          <w:sz w:val="24"/>
          <w:szCs w:val="24"/>
        </w:rPr>
        <w:t>,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 and 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type with nonbridging oxygen, therefore, in the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 xml:space="preserve"> and 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units.</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For melts with high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-abundance ratio (corresponding to NBO/T near 1), increasing Na/(</w:t>
      </w:r>
      <w:proofErr w:type="spellStart"/>
      <w:r w:rsidRPr="003E7FBD">
        <w:rPr>
          <w:rFonts w:ascii="Times New Roman" w:eastAsia="Times New Roman" w:hAnsi="Times New Roman" w:cs="Times New Roman"/>
          <w:sz w:val="24"/>
          <w:szCs w:val="24"/>
        </w:rPr>
        <w:t>Na+Ca</w:t>
      </w:r>
      <w:proofErr w:type="spellEnd"/>
      <w:r w:rsidRPr="003E7FBD">
        <w:rPr>
          <w:rFonts w:ascii="Times New Roman" w:eastAsia="Times New Roman" w:hAnsi="Times New Roman" w:cs="Times New Roman"/>
          <w:sz w:val="24"/>
          <w:szCs w:val="24"/>
        </w:rPr>
        <w:t>) [and Na/(Na+Ca+Mn+Mg+Fe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results in a systematic decrease of the </w:t>
      </w:r>
      <w:hyperlink r:id="rId5" w:tooltip="Learn more about partition coefficients from ScienceDirect's AI-generated Topic Pages" w:history="1">
        <w:r w:rsidRPr="003E7FBD">
          <w:rPr>
            <w:rFonts w:ascii="Times New Roman" w:eastAsia="Times New Roman" w:hAnsi="Times New Roman" w:cs="Times New Roman"/>
            <w:color w:val="0000FF"/>
            <w:sz w:val="24"/>
            <w:szCs w:val="24"/>
            <w:u w:val="single"/>
          </w:rPr>
          <w:t>partition coefficients</w:t>
        </w:r>
      </w:hyperlink>
      <w:r w:rsidRPr="003E7FBD">
        <w:rPr>
          <w:rFonts w:ascii="Times New Roman" w:eastAsia="Times New Roman" w:hAnsi="Times New Roman" w:cs="Times New Roman"/>
          <w:sz w:val="24"/>
          <w:szCs w:val="24"/>
        </w:rPr>
        <w:t xml:space="preserve">, </w:t>
      </w:r>
      <w:proofErr w:type="spellStart"/>
      <w:r w:rsidRPr="003E7FBD">
        <w:rPr>
          <w:rFonts w:ascii="Times New Roman" w:eastAsia="Times New Roman" w:hAnsi="Times New Roman" w:cs="Times New Roman"/>
          <w:sz w:val="24"/>
          <w:szCs w:val="24"/>
        </w:rPr>
        <w:t>K</w:t>
      </w:r>
      <w:r w:rsidRPr="003E7FBD">
        <w:rPr>
          <w:rFonts w:ascii="Times New Roman" w:eastAsia="Times New Roman" w:hAnsi="Times New Roman" w:cs="Times New Roman"/>
          <w:sz w:val="24"/>
          <w:szCs w:val="24"/>
          <w:vertAlign w:val="subscript"/>
        </w:rPr>
        <w:t>Ca</w:t>
      </w:r>
      <w:r w:rsidRPr="003E7FBD">
        <w:rPr>
          <w:rFonts w:ascii="Times New Roman" w:eastAsia="Times New Roman" w:hAnsi="Times New Roman" w:cs="Times New Roman"/>
          <w:sz w:val="24"/>
          <w:szCs w:val="24"/>
          <w:vertAlign w:val="superscript"/>
        </w:rPr>
        <w:t>ol</w:t>
      </w:r>
      <w:proofErr w:type="spellEnd"/>
      <w:r w:rsidRPr="003E7FBD">
        <w:rPr>
          <w:rFonts w:ascii="Times New Roman" w:eastAsia="Times New Roman" w:hAnsi="Times New Roman" w:cs="Times New Roman"/>
          <w:sz w:val="24"/>
          <w:szCs w:val="24"/>
          <w:vertAlign w:val="superscript"/>
        </w:rPr>
        <w:t>/melt</w:t>
      </w:r>
      <w:r w:rsidRPr="003E7FBD">
        <w:rPr>
          <w:rFonts w:ascii="Times New Roman" w:eastAsia="Times New Roman" w:hAnsi="Times New Roman" w:cs="Times New Roman"/>
          <w:sz w:val="24"/>
          <w:szCs w:val="24"/>
        </w:rPr>
        <w:t xml:space="preserve">, </w:t>
      </w:r>
      <w:proofErr w:type="spellStart"/>
      <w:r w:rsidRPr="003E7FBD">
        <w:rPr>
          <w:rFonts w:ascii="Times New Roman" w:eastAsia="Times New Roman" w:hAnsi="Times New Roman" w:cs="Times New Roman"/>
          <w:sz w:val="24"/>
          <w:szCs w:val="24"/>
        </w:rPr>
        <w:t>K</w:t>
      </w:r>
      <w:r w:rsidRPr="003E7FBD">
        <w:rPr>
          <w:rFonts w:ascii="Times New Roman" w:eastAsia="Times New Roman" w:hAnsi="Times New Roman" w:cs="Times New Roman"/>
          <w:sz w:val="24"/>
          <w:szCs w:val="24"/>
          <w:vertAlign w:val="subscript"/>
        </w:rPr>
        <w:t>Mn</w:t>
      </w:r>
      <w:r w:rsidRPr="003E7FBD">
        <w:rPr>
          <w:rFonts w:ascii="Times New Roman" w:eastAsia="Times New Roman" w:hAnsi="Times New Roman" w:cs="Times New Roman"/>
          <w:sz w:val="24"/>
          <w:szCs w:val="24"/>
          <w:vertAlign w:val="superscript"/>
        </w:rPr>
        <w:t>ol</w:t>
      </w:r>
      <w:proofErr w:type="spellEnd"/>
      <w:r w:rsidRPr="003E7FBD">
        <w:rPr>
          <w:rFonts w:ascii="Times New Roman" w:eastAsia="Times New Roman" w:hAnsi="Times New Roman" w:cs="Times New Roman"/>
          <w:sz w:val="24"/>
          <w:szCs w:val="24"/>
          <w:vertAlign w:val="superscript"/>
        </w:rPr>
        <w:t>/melt</w:t>
      </w:r>
      <w:r w:rsidRPr="003E7FBD">
        <w:rPr>
          <w:rFonts w:ascii="Times New Roman" w:eastAsia="Times New Roman" w:hAnsi="Times New Roman" w:cs="Times New Roman"/>
          <w:sz w:val="24"/>
          <w:szCs w:val="24"/>
        </w:rPr>
        <w:t xml:space="preserve">, </w:t>
      </w:r>
      <w:proofErr w:type="spellStart"/>
      <w:r w:rsidRPr="003E7FBD">
        <w:rPr>
          <w:rFonts w:ascii="Times New Roman" w:eastAsia="Times New Roman" w:hAnsi="Times New Roman" w:cs="Times New Roman"/>
          <w:sz w:val="24"/>
          <w:szCs w:val="24"/>
        </w:rPr>
        <w:t>K</w:t>
      </w:r>
      <w:r w:rsidRPr="003E7FBD">
        <w:rPr>
          <w:rFonts w:ascii="Times New Roman" w:eastAsia="Times New Roman" w:hAnsi="Times New Roman" w:cs="Times New Roman"/>
          <w:sz w:val="24"/>
          <w:szCs w:val="24"/>
          <w:vertAlign w:val="subscript"/>
        </w:rPr>
        <w:t>Mg</w:t>
      </w:r>
      <w:r w:rsidRPr="003E7FBD">
        <w:rPr>
          <w:rFonts w:ascii="Times New Roman" w:eastAsia="Times New Roman" w:hAnsi="Times New Roman" w:cs="Times New Roman"/>
          <w:sz w:val="24"/>
          <w:szCs w:val="24"/>
          <w:vertAlign w:val="superscript"/>
        </w:rPr>
        <w:t>ol</w:t>
      </w:r>
      <w:proofErr w:type="spellEnd"/>
      <w:r w:rsidRPr="003E7FBD">
        <w:rPr>
          <w:rFonts w:ascii="Times New Roman" w:eastAsia="Times New Roman" w:hAnsi="Times New Roman" w:cs="Times New Roman"/>
          <w:sz w:val="24"/>
          <w:szCs w:val="24"/>
          <w:vertAlign w:val="superscript"/>
        </w:rPr>
        <w:t>/melt</w:t>
      </w:r>
      <w:r w:rsidRPr="003E7FBD">
        <w:rPr>
          <w:rFonts w:ascii="Times New Roman" w:eastAsia="Times New Roman" w:hAnsi="Times New Roman" w:cs="Times New Roman"/>
          <w:sz w:val="24"/>
          <w:szCs w:val="24"/>
        </w:rPr>
        <w:t>, and K</w:t>
      </w:r>
      <w:r w:rsidRPr="003E7FBD">
        <w:rPr>
          <w:rFonts w:ascii="Times New Roman" w:eastAsia="Times New Roman" w:hAnsi="Times New Roman" w:cs="Times New Roman"/>
          <w:sz w:val="24"/>
          <w:szCs w:val="24"/>
          <w:vertAlign w:val="subscript"/>
        </w:rPr>
        <w:t>Fe2+</w:t>
      </w:r>
      <w:r w:rsidRPr="003E7FBD">
        <w:rPr>
          <w:rFonts w:ascii="Times New Roman" w:eastAsia="Times New Roman" w:hAnsi="Times New Roman" w:cs="Times New Roman"/>
          <w:sz w:val="24"/>
          <w:szCs w:val="24"/>
          <w:vertAlign w:val="superscript"/>
        </w:rPr>
        <w:t>ol/melt</w:t>
      </w:r>
      <w:r w:rsidRPr="003E7FBD">
        <w:rPr>
          <w:rFonts w:ascii="Times New Roman" w:eastAsia="Times New Roman" w:hAnsi="Times New Roman" w:cs="Times New Roman"/>
          <w:sz w:val="24"/>
          <w:szCs w:val="24"/>
        </w:rPr>
        <w:t>, because of ordering of the network-modifying Ca, Mn, Mg, and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among nonbridging oxygen in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 xml:space="preserve"> and 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structural units. This decrease is more pronounced the smaller the ionic radius of the cation. With decreasing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abundance ratio (less-polymerized melts) this effect becomes less pronounced.</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Activity-composition relations among network-modifying cations in silicate melts are, therefore, governed by availability of energetically nonequivalent nonbridging oxygen in individual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-species in the melt. As a result, any composition change that enhances abundance of highly depolymerized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-species will cause </w:t>
      </w:r>
      <w:hyperlink r:id="rId6" w:tooltip="Learn more about partition coefficients from ScienceDirect's AI-generated Topic Pages" w:history="1">
        <w:r w:rsidRPr="003E7FBD">
          <w:rPr>
            <w:rFonts w:ascii="Times New Roman" w:eastAsia="Times New Roman" w:hAnsi="Times New Roman" w:cs="Times New Roman"/>
            <w:color w:val="0000FF"/>
            <w:sz w:val="24"/>
            <w:szCs w:val="24"/>
            <w:u w:val="single"/>
          </w:rPr>
          <w:t>partition coefficients</w:t>
        </w:r>
      </w:hyperlink>
      <w:r w:rsidRPr="003E7FBD">
        <w:rPr>
          <w:rFonts w:ascii="Times New Roman" w:eastAsia="Times New Roman" w:hAnsi="Times New Roman" w:cs="Times New Roman"/>
          <w:sz w:val="24"/>
          <w:szCs w:val="24"/>
        </w:rPr>
        <w:t xml:space="preserve"> to decrease.</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Introduction</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Mass transfer processes in the Earth are governed by partitioning behavior of elements between minerals and magmatic liquids. Experimentally determined major, minor, and trace element partitioning between minerals and melts at high temperature and pressure, therefore, is central to our understanding of the petrogenesis of igneous rocks. Structural characterization of the solution mechanisms of these elements in both minerals and melts is necessary to describe and predict mineral/melt element partitioning for this use.</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Evidence from natural rocks and from experimental data points to significant melt composition dependence of major, minor, and trace element partitioning (e.g., Watson 1976, Watson 1977; Irving, 1978;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and Virgo, 1980; </w:t>
      </w:r>
      <w:proofErr w:type="spellStart"/>
      <w:r w:rsidRPr="003E7FBD">
        <w:rPr>
          <w:rFonts w:ascii="Times New Roman" w:eastAsia="Times New Roman" w:hAnsi="Times New Roman" w:cs="Times New Roman"/>
          <w:sz w:val="24"/>
          <w:szCs w:val="24"/>
        </w:rPr>
        <w:t>Hillgren</w:t>
      </w:r>
      <w:proofErr w:type="spellEnd"/>
      <w:r w:rsidRPr="003E7FBD">
        <w:rPr>
          <w:rFonts w:ascii="Times New Roman" w:eastAsia="Times New Roman" w:hAnsi="Times New Roman" w:cs="Times New Roman"/>
          <w:sz w:val="24"/>
          <w:szCs w:val="24"/>
        </w:rPr>
        <w:t xml:space="preserve"> et al., 1996; Kushiro and Walter, 1998; </w:t>
      </w:r>
      <w:proofErr w:type="spellStart"/>
      <w:r w:rsidRPr="003E7FBD">
        <w:rPr>
          <w:rFonts w:ascii="Times New Roman" w:eastAsia="Times New Roman" w:hAnsi="Times New Roman" w:cs="Times New Roman"/>
          <w:sz w:val="24"/>
          <w:szCs w:val="24"/>
        </w:rPr>
        <w:t>Libourel</w:t>
      </w:r>
      <w:proofErr w:type="spellEnd"/>
      <w:r w:rsidRPr="003E7FBD">
        <w:rPr>
          <w:rFonts w:ascii="Times New Roman" w:eastAsia="Times New Roman" w:hAnsi="Times New Roman" w:cs="Times New Roman"/>
          <w:sz w:val="24"/>
          <w:szCs w:val="24"/>
        </w:rPr>
        <w:t>, 1999; Jaeger and Drake, 2000; Walter, 2001). In fact, even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-Mg partitioning between olivine and melts, which for some time was considered nearly independent of composition (</w:t>
      </w:r>
      <w:proofErr w:type="spellStart"/>
      <w:r w:rsidRPr="003E7FBD">
        <w:rPr>
          <w:rFonts w:ascii="Times New Roman" w:eastAsia="Times New Roman" w:hAnsi="Times New Roman" w:cs="Times New Roman"/>
          <w:sz w:val="24"/>
          <w:szCs w:val="24"/>
        </w:rPr>
        <w:t>Roder</w:t>
      </w:r>
      <w:proofErr w:type="spellEnd"/>
      <w:r w:rsidRPr="003E7FBD">
        <w:rPr>
          <w:rFonts w:ascii="Times New Roman" w:eastAsia="Times New Roman" w:hAnsi="Times New Roman" w:cs="Times New Roman"/>
          <w:sz w:val="24"/>
          <w:szCs w:val="24"/>
        </w:rPr>
        <w:t xml:space="preserve"> and Emslie, 1970), more recently has been found quite composition dependent. The exchange equilibrium coefficient, K</w:t>
      </w:r>
      <w:r w:rsidRPr="003E7FBD">
        <w:rPr>
          <w:rFonts w:ascii="Times New Roman" w:eastAsia="Times New Roman" w:hAnsi="Times New Roman" w:cs="Times New Roman"/>
          <w:sz w:val="24"/>
          <w:szCs w:val="24"/>
          <w:vertAlign w:val="subscript"/>
        </w:rPr>
        <w:t>DFe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vertAlign w:val="subscript"/>
        </w:rPr>
        <w:t>−</w:t>
      </w:r>
      <w:proofErr w:type="spellStart"/>
      <w:r w:rsidRPr="003E7FBD">
        <w:rPr>
          <w:rFonts w:ascii="Times New Roman" w:eastAsia="Times New Roman" w:hAnsi="Times New Roman" w:cs="Times New Roman"/>
          <w:sz w:val="24"/>
          <w:szCs w:val="24"/>
          <w:vertAlign w:val="subscript"/>
        </w:rPr>
        <w:t>Mg</w:t>
      </w:r>
      <w:r w:rsidRPr="003E7FBD">
        <w:rPr>
          <w:rFonts w:ascii="Times New Roman" w:eastAsia="Times New Roman" w:hAnsi="Times New Roman" w:cs="Times New Roman"/>
          <w:sz w:val="24"/>
          <w:szCs w:val="24"/>
          <w:vertAlign w:val="superscript"/>
        </w:rPr>
        <w:t>olivine</w:t>
      </w:r>
      <w:proofErr w:type="spellEnd"/>
      <w:r w:rsidRPr="003E7FBD">
        <w:rPr>
          <w:rFonts w:ascii="Times New Roman" w:eastAsia="Times New Roman" w:hAnsi="Times New Roman" w:cs="Times New Roman"/>
          <w:sz w:val="24"/>
          <w:szCs w:val="24"/>
          <w:vertAlign w:val="superscript"/>
        </w:rPr>
        <w:t>/melt</w:t>
      </w:r>
      <w:r w:rsidRPr="003E7FBD">
        <w:rPr>
          <w:rFonts w:ascii="Times New Roman" w:eastAsia="Times New Roman" w:hAnsi="Times New Roman" w:cs="Times New Roman"/>
          <w:sz w:val="24"/>
          <w:szCs w:val="24"/>
        </w:rPr>
        <w:t>, originally considered near constant at 0.3 (</w:t>
      </w:r>
      <w:proofErr w:type="spellStart"/>
      <w:r w:rsidRPr="003E7FBD">
        <w:rPr>
          <w:rFonts w:ascii="Times New Roman" w:eastAsia="Times New Roman" w:hAnsi="Times New Roman" w:cs="Times New Roman"/>
          <w:sz w:val="24"/>
          <w:szCs w:val="24"/>
        </w:rPr>
        <w:t>Roder</w:t>
      </w:r>
      <w:proofErr w:type="spellEnd"/>
      <w:r w:rsidRPr="003E7FBD">
        <w:rPr>
          <w:rFonts w:ascii="Times New Roman" w:eastAsia="Times New Roman" w:hAnsi="Times New Roman" w:cs="Times New Roman"/>
          <w:sz w:val="24"/>
          <w:szCs w:val="24"/>
        </w:rPr>
        <w:t xml:space="preserve"> and </w:t>
      </w:r>
      <w:r w:rsidRPr="003E7FBD">
        <w:rPr>
          <w:rFonts w:ascii="Times New Roman" w:eastAsia="Times New Roman" w:hAnsi="Times New Roman" w:cs="Times New Roman"/>
          <w:sz w:val="24"/>
          <w:szCs w:val="24"/>
        </w:rPr>
        <w:lastRenderedPageBreak/>
        <w:t xml:space="preserve">Emslie, 1970), in more current experimental studies ranges between </w:t>
      </w:r>
      <w:r w:rsidRPr="003E7FBD">
        <w:rPr>
          <w:rFonts w:ascii="Cambria Math" w:eastAsia="Times New Roman" w:hAnsi="Cambria Math" w:cs="Cambria Math"/>
          <w:sz w:val="24"/>
          <w:szCs w:val="24"/>
        </w:rPr>
        <w:t>∼</w:t>
      </w:r>
      <w:r w:rsidRPr="003E7FBD">
        <w:rPr>
          <w:rFonts w:ascii="Times New Roman" w:eastAsia="Times New Roman" w:hAnsi="Times New Roman" w:cs="Times New Roman"/>
          <w:sz w:val="24"/>
          <w:szCs w:val="24"/>
        </w:rPr>
        <w:t xml:space="preserve">0.15 and near 0.45 (see, for example, Takahashi, 1978; Colson et al., 1988; Shi and </w:t>
      </w:r>
      <w:proofErr w:type="spellStart"/>
      <w:r w:rsidRPr="003E7FBD">
        <w:rPr>
          <w:rFonts w:ascii="Times New Roman" w:eastAsia="Times New Roman" w:hAnsi="Times New Roman" w:cs="Times New Roman"/>
          <w:sz w:val="24"/>
          <w:szCs w:val="24"/>
        </w:rPr>
        <w:t>Libourel</w:t>
      </w:r>
      <w:proofErr w:type="spellEnd"/>
      <w:r w:rsidRPr="003E7FBD">
        <w:rPr>
          <w:rFonts w:ascii="Times New Roman" w:eastAsia="Times New Roman" w:hAnsi="Times New Roman" w:cs="Times New Roman"/>
          <w:sz w:val="24"/>
          <w:szCs w:val="24"/>
        </w:rPr>
        <w:t xml:space="preserve">, 1991; Sack et al., 1987; </w:t>
      </w:r>
      <w:proofErr w:type="spellStart"/>
      <w:r w:rsidRPr="003E7FBD">
        <w:rPr>
          <w:rFonts w:ascii="Times New Roman" w:eastAsia="Times New Roman" w:hAnsi="Times New Roman" w:cs="Times New Roman"/>
          <w:sz w:val="24"/>
          <w:szCs w:val="24"/>
        </w:rPr>
        <w:t>Toplis</w:t>
      </w:r>
      <w:proofErr w:type="spellEnd"/>
      <w:r w:rsidRPr="003E7FBD">
        <w:rPr>
          <w:rFonts w:ascii="Times New Roman" w:eastAsia="Times New Roman" w:hAnsi="Times New Roman" w:cs="Times New Roman"/>
          <w:sz w:val="24"/>
          <w:szCs w:val="24"/>
        </w:rPr>
        <w:t xml:space="preserve"> et al., 1994; Kushiro and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2002). These variations, at least in part, reflect melt compositional control on the activity of iron oxides in silicate melts (e.g., Doyle and </w:t>
      </w:r>
      <w:proofErr w:type="spellStart"/>
      <w:r w:rsidRPr="003E7FBD">
        <w:rPr>
          <w:rFonts w:ascii="Times New Roman" w:eastAsia="Times New Roman" w:hAnsi="Times New Roman" w:cs="Times New Roman"/>
          <w:sz w:val="24"/>
          <w:szCs w:val="24"/>
        </w:rPr>
        <w:t>Naldrett</w:t>
      </w:r>
      <w:proofErr w:type="spellEnd"/>
      <w:r w:rsidRPr="003E7FBD">
        <w:rPr>
          <w:rFonts w:ascii="Times New Roman" w:eastAsia="Times New Roman" w:hAnsi="Times New Roman" w:cs="Times New Roman"/>
          <w:sz w:val="24"/>
          <w:szCs w:val="24"/>
        </w:rPr>
        <w:t>, 1986; Doyle, 1989; Gaillard et al 2001, Gaillard et al 2003).</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Activity-composition relations in silicate melts, in turn, are related to the structural roles of the components. Various structure parameters have been employed to account for such effects. For example, the parameter NBO/T</w:t>
      </w:r>
      <w:r w:rsidRPr="003E7FBD">
        <w:rPr>
          <w:rFonts w:ascii="Times New Roman" w:eastAsia="Times New Roman" w:hAnsi="Times New Roman" w:cs="Times New Roman"/>
          <w:sz w:val="24"/>
          <w:szCs w:val="24"/>
          <w:vertAlign w:val="superscript"/>
        </w:rPr>
        <w:t>†</w:t>
      </w:r>
      <w:r w:rsidRPr="003E7FBD">
        <w:rPr>
          <w:rFonts w:ascii="Times New Roman" w:eastAsia="Times New Roman" w:hAnsi="Times New Roman" w:cs="Times New Roman"/>
          <w:sz w:val="24"/>
          <w:szCs w:val="24"/>
        </w:rPr>
        <w:t xml:space="preserve"> empirically has been related to mineral/melt partitioning behavior at least over limited NBO/T ranges (e.g.,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and Virgo, 1980; Kohn and Schofield, 1994; Righter and Drake, 1999; Jaeger and Drake, 2000; Walter, 2001; </w:t>
      </w:r>
      <w:proofErr w:type="spellStart"/>
      <w:r w:rsidRPr="003E7FBD">
        <w:rPr>
          <w:rFonts w:ascii="Times New Roman" w:eastAsia="Times New Roman" w:hAnsi="Times New Roman" w:cs="Times New Roman"/>
          <w:sz w:val="24"/>
          <w:szCs w:val="24"/>
        </w:rPr>
        <w:t>Toplis</w:t>
      </w:r>
      <w:proofErr w:type="spellEnd"/>
      <w:r w:rsidRPr="003E7FBD">
        <w:rPr>
          <w:rFonts w:ascii="Times New Roman" w:eastAsia="Times New Roman" w:hAnsi="Times New Roman" w:cs="Times New Roman"/>
          <w:sz w:val="24"/>
          <w:szCs w:val="24"/>
        </w:rPr>
        <w:t xml:space="preserve"> and </w:t>
      </w:r>
      <w:proofErr w:type="spellStart"/>
      <w:r w:rsidRPr="003E7FBD">
        <w:rPr>
          <w:rFonts w:ascii="Times New Roman" w:eastAsia="Times New Roman" w:hAnsi="Times New Roman" w:cs="Times New Roman"/>
          <w:sz w:val="24"/>
          <w:szCs w:val="24"/>
        </w:rPr>
        <w:t>Corgne</w:t>
      </w:r>
      <w:proofErr w:type="spellEnd"/>
      <w:r w:rsidRPr="003E7FBD">
        <w:rPr>
          <w:rFonts w:ascii="Times New Roman" w:eastAsia="Times New Roman" w:hAnsi="Times New Roman" w:cs="Times New Roman"/>
          <w:sz w:val="24"/>
          <w:szCs w:val="24"/>
        </w:rPr>
        <w:t xml:space="preserve">, 2002). It has been suggested, however, that the use of NBO/T of a melt to calibrate mineral/melt element partitioning is of limited utility (see also O’Neill and </w:t>
      </w:r>
      <w:proofErr w:type="spellStart"/>
      <w:r w:rsidRPr="003E7FBD">
        <w:rPr>
          <w:rFonts w:ascii="Times New Roman" w:eastAsia="Times New Roman" w:hAnsi="Times New Roman" w:cs="Times New Roman"/>
          <w:sz w:val="24"/>
          <w:szCs w:val="24"/>
        </w:rPr>
        <w:t>Eggins</w:t>
      </w:r>
      <w:proofErr w:type="spellEnd"/>
      <w:r w:rsidRPr="003E7FBD">
        <w:rPr>
          <w:rFonts w:ascii="Times New Roman" w:eastAsia="Times New Roman" w:hAnsi="Times New Roman" w:cs="Times New Roman"/>
          <w:sz w:val="24"/>
          <w:szCs w:val="24"/>
        </w:rPr>
        <w:t>, 2002; Bennett et al., 2004). This is at least partly because NBO/T of a melt does not offer insight into important details of structural positions of the elements in melt.</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This conclusion does not, however, imply that melt structure and the role of minor and trace elements in melts structure are not important. However, to characterize the role of melt composition on mineral/melt element partitioning, a deeper structural understanding than that offered by NBO/T is needed.</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To this end it is important to note that most geochemically important minor and trace elements are network modifiers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2004) and form bonds, therefore, with nonbridging oxygen (NBO) in silicate melts. The nonbridging oxygens in silicate melts, however, are not energetically equivalent (Jones et al., 2001; Lee and Stebbins, 2003; </w:t>
      </w:r>
      <w:proofErr w:type="spellStart"/>
      <w:r w:rsidRPr="003E7FBD">
        <w:rPr>
          <w:rFonts w:ascii="Times New Roman" w:eastAsia="Times New Roman" w:hAnsi="Times New Roman" w:cs="Times New Roman"/>
          <w:sz w:val="24"/>
          <w:szCs w:val="24"/>
        </w:rPr>
        <w:t>Allwardt</w:t>
      </w:r>
      <w:proofErr w:type="spellEnd"/>
      <w:r w:rsidRPr="003E7FBD">
        <w:rPr>
          <w:rFonts w:ascii="Times New Roman" w:eastAsia="Times New Roman" w:hAnsi="Times New Roman" w:cs="Times New Roman"/>
          <w:sz w:val="24"/>
          <w:szCs w:val="24"/>
        </w:rPr>
        <w:t xml:space="preserve"> and Stebbins, 2004). This nonequivalence is also evident from the observation that the equilibrium between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-species in silicate melts: </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depends on the nature of the network-modifying cation(s) (e.g., Maekawa et al., 1991; Stebbins, 1995;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1995,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1999). One might expect, therefore, that minor and trace elements would exhibit preference for specific nonbridging oxygen such as those in the different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-species.</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To explore these possibilities, element partitioning between olivine and simple silicate melts has been studied under circumstances where the activity-composition relations of the elements of interest in the olivine are reasonably well known. Thus, variations in partitioning behavior and, therefore, structural behavior, in the melts might be understood in terms of activity-composition variations.</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Section snippets</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Experimental methods</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In silicate melts, ionic radius is a critical factor governing the interaction of network-modifying cations with nonbridging oxygen (e.g.,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1999; Lee and Stebbins, 2003;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and Richet, 2005). The consequences of these interactions for element partitioning between minerals and melts can be examined provided that the composition-activity relations in the minerals are known.</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Olivine/melt partitioning of Ca</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and Mn</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and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and Mg was studied for this purpose in part because the</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lastRenderedPageBreak/>
        <w:t>Redox Ratio of Iron and Degree of Melt Polymerization, NBO/T</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 xml:space="preserve">Existing structural data for ambient-pressure, iron-free silicate and aluminosilicate glass and melt are sufficient to calculate their NBO/T (degree of polymerization of the silicate network) from their major-element composition (see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1990, </w:t>
      </w:r>
      <w:proofErr w:type="spellStart"/>
      <w:r w:rsidRPr="003E7FBD">
        <w:rPr>
          <w:rFonts w:ascii="Times New Roman" w:eastAsia="Times New Roman" w:hAnsi="Times New Roman" w:cs="Times New Roman"/>
          <w:sz w:val="24"/>
          <w:szCs w:val="24"/>
        </w:rPr>
        <w:t>Mysen</w:t>
      </w:r>
      <w:proofErr w:type="spellEnd"/>
      <w:r w:rsidRPr="003E7FBD">
        <w:rPr>
          <w:rFonts w:ascii="Times New Roman" w:eastAsia="Times New Roman" w:hAnsi="Times New Roman" w:cs="Times New Roman"/>
          <w:sz w:val="24"/>
          <w:szCs w:val="24"/>
        </w:rPr>
        <w:t xml:space="preserve"> 2003, for discussion and review of these data and NBO/T calculations). For Fe-bearing glasses and melts, additional information needed to calculate NBO/T is their Fe</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w:t>
      </w:r>
      <w:proofErr w:type="spellStart"/>
      <w:r w:rsidRPr="003E7FBD">
        <w:rPr>
          <w:rFonts w:ascii="Times New Roman" w:eastAsia="Times New Roman" w:hAnsi="Times New Roman" w:cs="Times New Roman"/>
          <w:sz w:val="24"/>
          <w:szCs w:val="24"/>
        </w:rPr>
        <w:t>ΣFe</w:t>
      </w:r>
      <w:proofErr w:type="spellEnd"/>
      <w:r w:rsidRPr="003E7FBD">
        <w:rPr>
          <w:rFonts w:ascii="Times New Roman" w:eastAsia="Times New Roman" w:hAnsi="Times New Roman" w:cs="Times New Roman"/>
          <w:sz w:val="24"/>
          <w:szCs w:val="24"/>
        </w:rPr>
        <w:t>. The structural role or roles of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and Fe</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 xml:space="preserve"> in the melt must also be</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Discussion</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The relationships indicated by the open symbols in Figures 4– reflect relative affinities of Na</w:t>
      </w:r>
      <w:r w:rsidRPr="003E7FBD">
        <w:rPr>
          <w:rFonts w:ascii="Times New Roman" w:eastAsia="Times New Roman" w:hAnsi="Times New Roman" w:cs="Times New Roman"/>
          <w:sz w:val="24"/>
          <w:szCs w:val="24"/>
          <w:vertAlign w:val="superscript"/>
        </w:rPr>
        <w:t>+</w:t>
      </w:r>
      <w:r w:rsidRPr="003E7FBD">
        <w:rPr>
          <w:rFonts w:ascii="Times New Roman" w:eastAsia="Times New Roman" w:hAnsi="Times New Roman" w:cs="Times New Roman"/>
          <w:sz w:val="24"/>
          <w:szCs w:val="24"/>
        </w:rPr>
        <w:t>, Ca</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Mn</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Mg</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and Fe</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for nonbridging oxygen in the different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-species in melts coexisting with olivine. From existing structural data on relations between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 abundance of metal oxide-silica melts and ionic radius and electrical charge of the metal cations, variations in Na/(</w:t>
      </w:r>
      <w:proofErr w:type="spellStart"/>
      <w:r w:rsidRPr="003E7FBD">
        <w:rPr>
          <w:rFonts w:ascii="Times New Roman" w:eastAsia="Times New Roman" w:hAnsi="Times New Roman" w:cs="Times New Roman"/>
          <w:sz w:val="24"/>
          <w:szCs w:val="24"/>
        </w:rPr>
        <w:t>Na+Ca</w:t>
      </w:r>
      <w:proofErr w:type="spellEnd"/>
      <w:r w:rsidRPr="003E7FBD">
        <w:rPr>
          <w:rFonts w:ascii="Times New Roman" w:eastAsia="Times New Roman" w:hAnsi="Times New Roman" w:cs="Times New Roman"/>
          <w:sz w:val="24"/>
          <w:szCs w:val="24"/>
        </w:rPr>
        <w:t xml:space="preserve">) of melts likely affect the </w:t>
      </w:r>
      <w:proofErr w:type="spellStart"/>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n</w:t>
      </w:r>
      <w:proofErr w:type="spellEnd"/>
      <w:r w:rsidRPr="003E7FBD">
        <w:rPr>
          <w:rFonts w:ascii="Times New Roman" w:eastAsia="Times New Roman" w:hAnsi="Times New Roman" w:cs="Times New Roman"/>
          <w:sz w:val="24"/>
          <w:szCs w:val="24"/>
        </w:rPr>
        <w:t xml:space="preserve"> abundance in the melts. The Q</w:t>
      </w:r>
      <w:r w:rsidRPr="003E7FBD">
        <w:rPr>
          <w:rFonts w:ascii="Times New Roman" w:eastAsia="Times New Roman" w:hAnsi="Times New Roman" w:cs="Times New Roman"/>
          <w:sz w:val="24"/>
          <w:szCs w:val="24"/>
          <w:vertAlign w:val="superscript"/>
        </w:rPr>
        <w:t>3</w:t>
      </w:r>
      <w:r w:rsidRPr="003E7FBD">
        <w:rPr>
          <w:rFonts w:ascii="Times New Roman" w:eastAsia="Times New Roman" w:hAnsi="Times New Roman" w:cs="Times New Roman"/>
          <w:sz w:val="24"/>
          <w:szCs w:val="24"/>
        </w:rPr>
        <w:t>/Q</w:t>
      </w:r>
      <w:r w:rsidRPr="003E7FBD">
        <w:rPr>
          <w:rFonts w:ascii="Times New Roman" w:eastAsia="Times New Roman" w:hAnsi="Times New Roman" w:cs="Times New Roman"/>
          <w:sz w:val="24"/>
          <w:szCs w:val="24"/>
          <w:vertAlign w:val="superscript"/>
        </w:rPr>
        <w:t>2</w:t>
      </w:r>
      <w:r w:rsidRPr="003E7FBD">
        <w:rPr>
          <w:rFonts w:ascii="Times New Roman" w:eastAsia="Times New Roman" w:hAnsi="Times New Roman" w:cs="Times New Roman"/>
          <w:sz w:val="24"/>
          <w:szCs w:val="24"/>
        </w:rPr>
        <w:t xml:space="preserve"> abundance ratio increases with Na/(</w:t>
      </w:r>
      <w:proofErr w:type="spellStart"/>
      <w:r w:rsidRPr="003E7FBD">
        <w:rPr>
          <w:rFonts w:ascii="Times New Roman" w:eastAsia="Times New Roman" w:hAnsi="Times New Roman" w:cs="Times New Roman"/>
          <w:sz w:val="24"/>
          <w:szCs w:val="24"/>
        </w:rPr>
        <w:t>Na+Ca</w:t>
      </w:r>
      <w:proofErr w:type="spellEnd"/>
      <w:r w:rsidRPr="003E7FBD">
        <w:rPr>
          <w:rFonts w:ascii="Times New Roman" w:eastAsia="Times New Roman" w:hAnsi="Times New Roman" w:cs="Times New Roman"/>
          <w:sz w:val="24"/>
          <w:szCs w:val="24"/>
        </w:rPr>
        <w:t>) (</w:t>
      </w:r>
    </w:p>
    <w:p w:rsidR="003E7FBD" w:rsidRPr="003E7FBD" w:rsidRDefault="003E7FBD" w:rsidP="003E7FBD">
      <w:pPr>
        <w:spacing w:before="100" w:beforeAutospacing="1" w:after="100" w:afterAutospacing="1" w:line="240" w:lineRule="auto"/>
        <w:outlineLvl w:val="1"/>
        <w:rPr>
          <w:rFonts w:ascii="Times New Roman" w:eastAsia="Times New Roman" w:hAnsi="Times New Roman" w:cs="Times New Roman"/>
          <w:b/>
          <w:bCs/>
          <w:sz w:val="36"/>
          <w:szCs w:val="36"/>
        </w:rPr>
      </w:pPr>
      <w:r w:rsidRPr="003E7FBD">
        <w:rPr>
          <w:rFonts w:ascii="Times New Roman" w:eastAsia="Times New Roman" w:hAnsi="Times New Roman" w:cs="Times New Roman"/>
          <w:b/>
          <w:bCs/>
          <w:sz w:val="36"/>
          <w:szCs w:val="36"/>
        </w:rPr>
        <w:t>Acknowledgments</w:t>
      </w:r>
    </w:p>
    <w:p w:rsidR="003E7FBD" w:rsidRPr="003E7FBD" w:rsidRDefault="003E7FBD" w:rsidP="003E7FBD">
      <w:pPr>
        <w:spacing w:before="100" w:beforeAutospacing="1" w:after="100" w:afterAutospacing="1" w:line="240" w:lineRule="auto"/>
        <w:rPr>
          <w:rFonts w:ascii="Times New Roman" w:eastAsia="Times New Roman" w:hAnsi="Times New Roman" w:cs="Times New Roman"/>
          <w:sz w:val="24"/>
          <w:szCs w:val="24"/>
        </w:rPr>
      </w:pPr>
      <w:r w:rsidRPr="003E7FBD">
        <w:rPr>
          <w:rFonts w:ascii="Times New Roman" w:eastAsia="Times New Roman" w:hAnsi="Times New Roman" w:cs="Times New Roman"/>
          <w:sz w:val="24"/>
          <w:szCs w:val="24"/>
        </w:rPr>
        <w:t>This research was conducted with partial support from NSF grants EAR-9901886 and -0405383, and an REU grant from NSF to the Carnegie Institution of Washington. Critical comments by K. Russell, F. Gaillard, and an anonymous reviewer are appreciated.</w:t>
      </w:r>
    </w:p>
    <w:p w:rsidR="008F1F6A" w:rsidRDefault="008F1F6A"/>
    <w:sectPr w:rsidR="008F1F6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BD"/>
    <w:rsid w:val="003E7FBD"/>
    <w:rsid w:val="008F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57A4"/>
  <w15:chartTrackingRefBased/>
  <w15:docId w15:val="{C51ACD4E-2D96-460C-ADF1-41807CB3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8105511">
      <w:bodyDiv w:val="1"/>
      <w:marLeft w:val="0"/>
      <w:marRight w:val="0"/>
      <w:marTop w:val="0"/>
      <w:marBottom w:val="0"/>
      <w:divBdr>
        <w:top w:val="none" w:sz="0" w:space="0" w:color="auto"/>
        <w:left w:val="none" w:sz="0" w:space="0" w:color="auto"/>
        <w:bottom w:val="none" w:sz="0" w:space="0" w:color="auto"/>
        <w:right w:val="none" w:sz="0" w:space="0" w:color="auto"/>
      </w:divBdr>
      <w:divsChild>
        <w:div w:id="738600180">
          <w:marLeft w:val="0"/>
          <w:marRight w:val="0"/>
          <w:marTop w:val="0"/>
          <w:marBottom w:val="0"/>
          <w:divBdr>
            <w:top w:val="none" w:sz="0" w:space="0" w:color="auto"/>
            <w:left w:val="none" w:sz="0" w:space="0" w:color="auto"/>
            <w:bottom w:val="none" w:sz="0" w:space="0" w:color="auto"/>
            <w:right w:val="none" w:sz="0" w:space="0" w:color="auto"/>
          </w:divBdr>
          <w:divsChild>
            <w:div w:id="1491873249">
              <w:marLeft w:val="0"/>
              <w:marRight w:val="0"/>
              <w:marTop w:val="0"/>
              <w:marBottom w:val="0"/>
              <w:divBdr>
                <w:top w:val="none" w:sz="0" w:space="0" w:color="auto"/>
                <w:left w:val="none" w:sz="0" w:space="0" w:color="auto"/>
                <w:bottom w:val="none" w:sz="0" w:space="0" w:color="auto"/>
                <w:right w:val="none" w:sz="0" w:space="0" w:color="auto"/>
              </w:divBdr>
              <w:divsChild>
                <w:div w:id="916865438">
                  <w:marLeft w:val="0"/>
                  <w:marRight w:val="0"/>
                  <w:marTop w:val="0"/>
                  <w:marBottom w:val="0"/>
                  <w:divBdr>
                    <w:top w:val="none" w:sz="0" w:space="0" w:color="auto"/>
                    <w:left w:val="none" w:sz="0" w:space="0" w:color="auto"/>
                    <w:bottom w:val="none" w:sz="0" w:space="0" w:color="auto"/>
                    <w:right w:val="none" w:sz="0" w:space="0" w:color="auto"/>
                  </w:divBdr>
                  <w:divsChild>
                    <w:div w:id="3649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512445">
          <w:marLeft w:val="0"/>
          <w:marRight w:val="0"/>
          <w:marTop w:val="0"/>
          <w:marBottom w:val="0"/>
          <w:divBdr>
            <w:top w:val="none" w:sz="0" w:space="0" w:color="auto"/>
            <w:left w:val="none" w:sz="0" w:space="0" w:color="auto"/>
            <w:bottom w:val="none" w:sz="0" w:space="0" w:color="auto"/>
            <w:right w:val="none" w:sz="0" w:space="0" w:color="auto"/>
          </w:divBdr>
          <w:divsChild>
            <w:div w:id="1168254826">
              <w:marLeft w:val="0"/>
              <w:marRight w:val="0"/>
              <w:marTop w:val="0"/>
              <w:marBottom w:val="0"/>
              <w:divBdr>
                <w:top w:val="none" w:sz="0" w:space="0" w:color="auto"/>
                <w:left w:val="none" w:sz="0" w:space="0" w:color="auto"/>
                <w:bottom w:val="none" w:sz="0" w:space="0" w:color="auto"/>
                <w:right w:val="none" w:sz="0" w:space="0" w:color="auto"/>
              </w:divBdr>
              <w:divsChild>
                <w:div w:id="1643926098">
                  <w:marLeft w:val="0"/>
                  <w:marRight w:val="0"/>
                  <w:marTop w:val="0"/>
                  <w:marBottom w:val="0"/>
                  <w:divBdr>
                    <w:top w:val="none" w:sz="0" w:space="0" w:color="auto"/>
                    <w:left w:val="none" w:sz="0" w:space="0" w:color="auto"/>
                    <w:bottom w:val="none" w:sz="0" w:space="0" w:color="auto"/>
                    <w:right w:val="none" w:sz="0" w:space="0" w:color="auto"/>
                  </w:divBdr>
                  <w:divsChild>
                    <w:div w:id="9983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34598">
          <w:marLeft w:val="0"/>
          <w:marRight w:val="0"/>
          <w:marTop w:val="0"/>
          <w:marBottom w:val="0"/>
          <w:divBdr>
            <w:top w:val="none" w:sz="0" w:space="0" w:color="auto"/>
            <w:left w:val="none" w:sz="0" w:space="0" w:color="auto"/>
            <w:bottom w:val="none" w:sz="0" w:space="0" w:color="auto"/>
            <w:right w:val="none" w:sz="0" w:space="0" w:color="auto"/>
          </w:divBdr>
          <w:divsChild>
            <w:div w:id="588080416">
              <w:marLeft w:val="0"/>
              <w:marRight w:val="0"/>
              <w:marTop w:val="0"/>
              <w:marBottom w:val="0"/>
              <w:divBdr>
                <w:top w:val="none" w:sz="0" w:space="0" w:color="auto"/>
                <w:left w:val="none" w:sz="0" w:space="0" w:color="auto"/>
                <w:bottom w:val="none" w:sz="0" w:space="0" w:color="auto"/>
                <w:right w:val="none" w:sz="0" w:space="0" w:color="auto"/>
              </w:divBdr>
            </w:div>
          </w:divsChild>
        </w:div>
        <w:div w:id="478227681">
          <w:marLeft w:val="0"/>
          <w:marRight w:val="0"/>
          <w:marTop w:val="0"/>
          <w:marBottom w:val="0"/>
          <w:divBdr>
            <w:top w:val="none" w:sz="0" w:space="0" w:color="auto"/>
            <w:left w:val="none" w:sz="0" w:space="0" w:color="auto"/>
            <w:bottom w:val="none" w:sz="0" w:space="0" w:color="auto"/>
            <w:right w:val="none" w:sz="0" w:space="0" w:color="auto"/>
          </w:divBdr>
          <w:divsChild>
            <w:div w:id="1412894498">
              <w:marLeft w:val="0"/>
              <w:marRight w:val="0"/>
              <w:marTop w:val="0"/>
              <w:marBottom w:val="0"/>
              <w:divBdr>
                <w:top w:val="none" w:sz="0" w:space="0" w:color="auto"/>
                <w:left w:val="none" w:sz="0" w:space="0" w:color="auto"/>
                <w:bottom w:val="none" w:sz="0" w:space="0" w:color="auto"/>
                <w:right w:val="none" w:sz="0" w:space="0" w:color="auto"/>
              </w:divBdr>
            </w:div>
          </w:divsChild>
        </w:div>
        <w:div w:id="1835487100">
          <w:marLeft w:val="0"/>
          <w:marRight w:val="0"/>
          <w:marTop w:val="0"/>
          <w:marBottom w:val="0"/>
          <w:divBdr>
            <w:top w:val="none" w:sz="0" w:space="0" w:color="auto"/>
            <w:left w:val="none" w:sz="0" w:space="0" w:color="auto"/>
            <w:bottom w:val="none" w:sz="0" w:space="0" w:color="auto"/>
            <w:right w:val="none" w:sz="0" w:space="0" w:color="auto"/>
          </w:divBdr>
          <w:divsChild>
            <w:div w:id="141624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artition-coefficient" TargetMode="External"/><Relationship Id="rId5" Type="http://schemas.openxmlformats.org/officeDocument/2006/relationships/hyperlink" Target="https://www.sciencedirect.com/topics/earth-and-planetary-sciences/partition-coefficient" TargetMode="External"/><Relationship Id="rId4" Type="http://schemas.openxmlformats.org/officeDocument/2006/relationships/hyperlink" Target="https://doi.org/10.1016/j.gca.2004.12.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6721</Characters>
  <Application>Microsoft Office Word</Application>
  <DocSecurity>0</DocSecurity>
  <Lines>56</Lines>
  <Paragraphs>15</Paragraphs>
  <ScaleCrop>false</ScaleCrop>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2023-11-18T08:53:00Z</dcterms:created>
  <dcterms:modified xsi:type="dcterms:W3CDTF">2023-11-18T08:53:00Z</dcterms:modified>
</cp:coreProperties>
</file>