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3E7FBD" w:rsidRPr="003E7FBD" w:rsidRDefault="003E7FBD" w:rsidP="003E7FBD">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3E7FBD">
        <w:rPr>
          <w:rFonts w:ascii="Times New Roman" w:eastAsia="Times New Roman" w:hAnsi="Times New Roman" w:cs="Times New Roman"/>
          <w:b/>
          <w:bCs/>
          <w:kern w:val="36"/>
          <w:sz w:val="48"/>
          <w:szCs w:val="48"/>
        </w:rPr>
        <w:t>Evidence from olivine/melt element partitioning that nonbridging oxygen in silicate melts are not equivalent</w:t>
      </w:r>
    </w:p>
    <w:p w:rsidR="003E7FBD" w:rsidRPr="003E7FBD" w:rsidRDefault="003E7FBD" w:rsidP="003E7FBD">
      <w:pPr>
        <w:spacing w:after="0" w:line="240" w:lineRule="auto"/>
        <w:rPr>
          <w:rFonts w:ascii="Times New Roman" w:eastAsia="Times New Roman" w:hAnsi="Times New Roman" w:cs="Times New Roman"/>
          <w:sz w:val="24"/>
          <w:szCs w:val="24"/>
        </w:rPr>
      </w:pPr>
      <w:r w:rsidRPr="003E7FBD">
        <w:rPr>
          <w:rFonts w:ascii="Times New Roman" w:eastAsia="Times New Roman" w:hAnsi="Times New Roman" w:cs="Times New Roman"/>
          <w:sz w:val="24"/>
          <w:szCs w:val="24"/>
        </w:rPr>
        <w:t>Author links open overlay panel</w:t>
      </w:r>
    </w:p>
    <w:p w:rsidR="003E7FBD" w:rsidRPr="003E7FBD" w:rsidRDefault="003E7FBD" w:rsidP="003E7FBD">
      <w:pPr>
        <w:spacing w:after="0" w:line="240" w:lineRule="auto"/>
        <w:rPr>
          <w:rFonts w:ascii="Times New Roman" w:eastAsia="Times New Roman" w:hAnsi="Times New Roman" w:cs="Times New Roman"/>
          <w:sz w:val="24"/>
          <w:szCs w:val="24"/>
        </w:rPr>
      </w:pPr>
      <w:r w:rsidRPr="003E7FBD">
        <w:rPr>
          <w:rFonts w:ascii="Times New Roman" w:eastAsia="Times New Roman" w:hAnsi="Times New Roman" w:cs="Times New Roman"/>
          <w:sz w:val="24"/>
          <w:szCs w:val="24"/>
        </w:rPr>
        <w:t xml:space="preserve">, </w:t>
      </w:r>
    </w:p>
    <w:p w:rsidR="003E7FBD" w:rsidRPr="003E7FBD" w:rsidRDefault="003E7FBD" w:rsidP="003E7FBD">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3E7FBD">
          <w:rPr>
            <w:rFonts w:ascii="Times New Roman" w:eastAsia="Times New Roman" w:hAnsi="Times New Roman" w:cs="Times New Roman"/>
            <w:color w:val="0000FF"/>
            <w:sz w:val="24"/>
            <w:szCs w:val="24"/>
            <w:u w:val="single"/>
          </w:rPr>
          <w:t>https://doi.org/10.1016/j.gca.2004.12.028</w:t>
        </w:r>
      </w:hyperlink>
      <w:bookmarkStart w:id="0" w:name="_GoBack"/>
      <w:bookmarkEnd w:id="0"/>
      <w:r w:rsidRPr="003E7FBD">
        <w:rPr>
          <w:rFonts w:ascii="Times New Roman" w:eastAsia="Times New Roman" w:hAnsi="Times New Roman" w:cs="Times New Roman"/>
          <w:sz w:val="24"/>
          <w:szCs w:val="24"/>
        </w:rPr>
        <w:t xml:space="preserve"> </w:t>
      </w:r>
    </w:p>
    <w:p w:rsidR="003E7FBD" w:rsidRPr="003E7FBD" w:rsidRDefault="003E7FBD" w:rsidP="003E7FBD">
      <w:pPr>
        <w:spacing w:before="100" w:beforeAutospacing="1" w:after="100" w:afterAutospacing="1" w:line="240" w:lineRule="auto"/>
        <w:outlineLvl w:val="1"/>
        <w:rPr>
          <w:rFonts w:ascii="Times New Roman" w:eastAsia="Times New Roman" w:hAnsi="Times New Roman" w:cs="Times New Roman"/>
          <w:b/>
          <w:bCs/>
          <w:sz w:val="36"/>
          <w:szCs w:val="36"/>
        </w:rPr>
      </w:pPr>
      <w:r w:rsidRPr="003E7FBD">
        <w:rPr>
          <w:rFonts w:ascii="Times New Roman" w:eastAsia="Times New Roman" w:hAnsi="Times New Roman" w:cs="Times New Roman"/>
          <w:b/>
          <w:bCs/>
          <w:sz w:val="36"/>
          <w:szCs w:val="36"/>
        </w:rPr>
        <w:t>Abstract</w:t>
      </w:r>
    </w:p>
    <w:p w:rsidR="003E7FBD" w:rsidRPr="003E7FBD" w:rsidRDefault="003E7FBD" w:rsidP="003E7FBD">
      <w:pPr>
        <w:spacing w:before="100" w:beforeAutospacing="1" w:after="100" w:afterAutospacing="1" w:line="240" w:lineRule="auto"/>
        <w:rPr>
          <w:rFonts w:ascii="Times New Roman" w:eastAsia="Times New Roman" w:hAnsi="Times New Roman" w:cs="Times New Roman"/>
          <w:sz w:val="24"/>
          <w:szCs w:val="24"/>
        </w:rPr>
      </w:pPr>
      <w:r w:rsidRPr="003E7FBD">
        <w:rPr>
          <w:rFonts w:ascii="Times New Roman" w:eastAsia="Times New Roman" w:hAnsi="Times New Roman" w:cs="Times New Roman"/>
          <w:sz w:val="24"/>
          <w:szCs w:val="24"/>
        </w:rPr>
        <w:t>Partitioning of Ca, Mn, Mg, and Fe</w:t>
      </w:r>
      <w:r w:rsidRPr="003E7FBD">
        <w:rPr>
          <w:rFonts w:ascii="Times New Roman" w:eastAsia="Times New Roman" w:hAnsi="Times New Roman" w:cs="Times New Roman"/>
          <w:sz w:val="24"/>
          <w:szCs w:val="24"/>
          <w:vertAlign w:val="superscript"/>
        </w:rPr>
        <w:t>2+</w:t>
      </w:r>
      <w:r w:rsidRPr="003E7FBD">
        <w:rPr>
          <w:rFonts w:ascii="Times New Roman" w:eastAsia="Times New Roman" w:hAnsi="Times New Roman" w:cs="Times New Roman"/>
          <w:sz w:val="24"/>
          <w:szCs w:val="24"/>
        </w:rPr>
        <w:t xml:space="preserve"> between olivine and melt has been used to examine the influence of energetically nonequivalent nonbridging oxygen in silicate melts. Partitioning experiments were conducted at ambient pressure in air and 1400°C with melts in equilibrium with forsterite-rich olivine (</w:t>
      </w:r>
      <w:proofErr w:type="spellStart"/>
      <w:r w:rsidRPr="003E7FBD">
        <w:rPr>
          <w:rFonts w:ascii="Times New Roman" w:eastAsia="Times New Roman" w:hAnsi="Times New Roman" w:cs="Times New Roman"/>
          <w:sz w:val="24"/>
          <w:szCs w:val="24"/>
        </w:rPr>
        <w:t>Fo</w:t>
      </w:r>
      <w:proofErr w:type="spellEnd"/>
      <w:r w:rsidRPr="003E7FBD">
        <w:rPr>
          <w:rFonts w:ascii="Times New Roman" w:eastAsia="Times New Roman" w:hAnsi="Times New Roman" w:cs="Times New Roman"/>
          <w:sz w:val="24"/>
          <w:szCs w:val="24"/>
        </w:rPr>
        <w:t xml:space="preserve"> &gt;95 mol%). The main compositional variables of the melts were NBO/T and Na/(</w:t>
      </w:r>
      <w:proofErr w:type="spellStart"/>
      <w:r w:rsidRPr="003E7FBD">
        <w:rPr>
          <w:rFonts w:ascii="Times New Roman" w:eastAsia="Times New Roman" w:hAnsi="Times New Roman" w:cs="Times New Roman"/>
          <w:sz w:val="24"/>
          <w:szCs w:val="24"/>
        </w:rPr>
        <w:t>Na+Ca</w:t>
      </w:r>
      <w:proofErr w:type="spellEnd"/>
      <w:r w:rsidRPr="003E7FBD">
        <w:rPr>
          <w:rFonts w:ascii="Times New Roman" w:eastAsia="Times New Roman" w:hAnsi="Times New Roman" w:cs="Times New Roman"/>
          <w:sz w:val="24"/>
          <w:szCs w:val="24"/>
        </w:rPr>
        <w:t>). In all melts, the main structural units were of Q</w:t>
      </w:r>
      <w:r w:rsidRPr="003E7FBD">
        <w:rPr>
          <w:rFonts w:ascii="Times New Roman" w:eastAsia="Times New Roman" w:hAnsi="Times New Roman" w:cs="Times New Roman"/>
          <w:sz w:val="24"/>
          <w:szCs w:val="24"/>
          <w:vertAlign w:val="superscript"/>
        </w:rPr>
        <w:t>4</w:t>
      </w:r>
      <w:r w:rsidRPr="003E7FBD">
        <w:rPr>
          <w:rFonts w:ascii="Times New Roman" w:eastAsia="Times New Roman" w:hAnsi="Times New Roman" w:cs="Times New Roman"/>
          <w:sz w:val="24"/>
          <w:szCs w:val="24"/>
        </w:rPr>
        <w:t>, Q</w:t>
      </w:r>
      <w:r w:rsidRPr="003E7FBD">
        <w:rPr>
          <w:rFonts w:ascii="Times New Roman" w:eastAsia="Times New Roman" w:hAnsi="Times New Roman" w:cs="Times New Roman"/>
          <w:sz w:val="24"/>
          <w:szCs w:val="24"/>
          <w:vertAlign w:val="superscript"/>
        </w:rPr>
        <w:t>3</w:t>
      </w:r>
      <w:r w:rsidRPr="003E7FBD">
        <w:rPr>
          <w:rFonts w:ascii="Times New Roman" w:eastAsia="Times New Roman" w:hAnsi="Times New Roman" w:cs="Times New Roman"/>
          <w:sz w:val="24"/>
          <w:szCs w:val="24"/>
        </w:rPr>
        <w:t>, and Q</w:t>
      </w:r>
      <w:r w:rsidRPr="003E7FBD">
        <w:rPr>
          <w:rFonts w:ascii="Times New Roman" w:eastAsia="Times New Roman" w:hAnsi="Times New Roman" w:cs="Times New Roman"/>
          <w:sz w:val="24"/>
          <w:szCs w:val="24"/>
          <w:vertAlign w:val="superscript"/>
        </w:rPr>
        <w:t>2</w:t>
      </w:r>
      <w:r w:rsidRPr="003E7FBD">
        <w:rPr>
          <w:rFonts w:ascii="Times New Roman" w:eastAsia="Times New Roman" w:hAnsi="Times New Roman" w:cs="Times New Roman"/>
          <w:sz w:val="24"/>
          <w:szCs w:val="24"/>
        </w:rPr>
        <w:t xml:space="preserve"> type with nonbridging oxygen, therefore, in the Q</w:t>
      </w:r>
      <w:r w:rsidRPr="003E7FBD">
        <w:rPr>
          <w:rFonts w:ascii="Times New Roman" w:eastAsia="Times New Roman" w:hAnsi="Times New Roman" w:cs="Times New Roman"/>
          <w:sz w:val="24"/>
          <w:szCs w:val="24"/>
          <w:vertAlign w:val="superscript"/>
        </w:rPr>
        <w:t>3</w:t>
      </w:r>
      <w:r w:rsidRPr="003E7FBD">
        <w:rPr>
          <w:rFonts w:ascii="Times New Roman" w:eastAsia="Times New Roman" w:hAnsi="Times New Roman" w:cs="Times New Roman"/>
          <w:sz w:val="24"/>
          <w:szCs w:val="24"/>
        </w:rPr>
        <w:t xml:space="preserve"> and Q</w:t>
      </w:r>
      <w:r w:rsidRPr="003E7FBD">
        <w:rPr>
          <w:rFonts w:ascii="Times New Roman" w:eastAsia="Times New Roman" w:hAnsi="Times New Roman" w:cs="Times New Roman"/>
          <w:sz w:val="24"/>
          <w:szCs w:val="24"/>
          <w:vertAlign w:val="superscript"/>
        </w:rPr>
        <w:t>2</w:t>
      </w:r>
      <w:r w:rsidRPr="003E7FBD">
        <w:rPr>
          <w:rFonts w:ascii="Times New Roman" w:eastAsia="Times New Roman" w:hAnsi="Times New Roman" w:cs="Times New Roman"/>
          <w:sz w:val="24"/>
          <w:szCs w:val="24"/>
        </w:rPr>
        <w:t xml:space="preserve"> units.</w:t>
      </w:r>
    </w:p>
    <w:p w:rsidR="003E7FBD" w:rsidRPr="003E7FBD" w:rsidRDefault="003E7FBD" w:rsidP="003E7FBD">
      <w:pPr>
        <w:spacing w:before="100" w:beforeAutospacing="1" w:after="100" w:afterAutospacing="1" w:line="240" w:lineRule="auto"/>
        <w:rPr>
          <w:rFonts w:ascii="Times New Roman" w:eastAsia="Times New Roman" w:hAnsi="Times New Roman" w:cs="Times New Roman"/>
          <w:sz w:val="24"/>
          <w:szCs w:val="24"/>
        </w:rPr>
      </w:pPr>
      <w:r w:rsidRPr="003E7FBD">
        <w:rPr>
          <w:rFonts w:ascii="Times New Roman" w:eastAsia="Times New Roman" w:hAnsi="Times New Roman" w:cs="Times New Roman"/>
          <w:sz w:val="24"/>
          <w:szCs w:val="24"/>
        </w:rPr>
        <w:t>For melts with high Q</w:t>
      </w:r>
      <w:r w:rsidRPr="003E7FBD">
        <w:rPr>
          <w:rFonts w:ascii="Times New Roman" w:eastAsia="Times New Roman" w:hAnsi="Times New Roman" w:cs="Times New Roman"/>
          <w:sz w:val="24"/>
          <w:szCs w:val="24"/>
          <w:vertAlign w:val="superscript"/>
        </w:rPr>
        <w:t>3</w:t>
      </w:r>
      <w:r w:rsidRPr="003E7FBD">
        <w:rPr>
          <w:rFonts w:ascii="Times New Roman" w:eastAsia="Times New Roman" w:hAnsi="Times New Roman" w:cs="Times New Roman"/>
          <w:sz w:val="24"/>
          <w:szCs w:val="24"/>
        </w:rPr>
        <w:t>/Q</w:t>
      </w:r>
      <w:r w:rsidRPr="003E7FBD">
        <w:rPr>
          <w:rFonts w:ascii="Times New Roman" w:eastAsia="Times New Roman" w:hAnsi="Times New Roman" w:cs="Times New Roman"/>
          <w:sz w:val="24"/>
          <w:szCs w:val="24"/>
          <w:vertAlign w:val="superscript"/>
        </w:rPr>
        <w:t>2</w:t>
      </w:r>
      <w:r w:rsidRPr="003E7FBD">
        <w:rPr>
          <w:rFonts w:ascii="Times New Roman" w:eastAsia="Times New Roman" w:hAnsi="Times New Roman" w:cs="Times New Roman"/>
          <w:sz w:val="24"/>
          <w:szCs w:val="24"/>
        </w:rPr>
        <w:t>-abundance ratio (corresponding to NBO/T near 1), increasing Na/(</w:t>
      </w:r>
      <w:proofErr w:type="spellStart"/>
      <w:r w:rsidRPr="003E7FBD">
        <w:rPr>
          <w:rFonts w:ascii="Times New Roman" w:eastAsia="Times New Roman" w:hAnsi="Times New Roman" w:cs="Times New Roman"/>
          <w:sz w:val="24"/>
          <w:szCs w:val="24"/>
        </w:rPr>
        <w:t>Na+Ca</w:t>
      </w:r>
      <w:proofErr w:type="spellEnd"/>
      <w:r w:rsidRPr="003E7FBD">
        <w:rPr>
          <w:rFonts w:ascii="Times New Roman" w:eastAsia="Times New Roman" w:hAnsi="Times New Roman" w:cs="Times New Roman"/>
          <w:sz w:val="24"/>
          <w:szCs w:val="24"/>
        </w:rPr>
        <w:t>) [and Na/(Na+Ca+Mn+Mg+Fe</w:t>
      </w:r>
      <w:r w:rsidRPr="003E7FBD">
        <w:rPr>
          <w:rFonts w:ascii="Times New Roman" w:eastAsia="Times New Roman" w:hAnsi="Times New Roman" w:cs="Times New Roman"/>
          <w:sz w:val="24"/>
          <w:szCs w:val="24"/>
          <w:vertAlign w:val="superscript"/>
        </w:rPr>
        <w:t>2+</w:t>
      </w:r>
      <w:r w:rsidRPr="003E7FBD">
        <w:rPr>
          <w:rFonts w:ascii="Times New Roman" w:eastAsia="Times New Roman" w:hAnsi="Times New Roman" w:cs="Times New Roman"/>
          <w:sz w:val="24"/>
          <w:szCs w:val="24"/>
        </w:rPr>
        <w:t xml:space="preserve">)] results in a systematic decrease of the </w:t>
      </w:r>
      <w:hyperlink r:id="rId5" w:tooltip="Learn more about partition coefficients from ScienceDirect's AI-generated Topic Pages" w:history="1">
        <w:r w:rsidRPr="003E7FBD">
          <w:rPr>
            <w:rFonts w:ascii="Times New Roman" w:eastAsia="Times New Roman" w:hAnsi="Times New Roman" w:cs="Times New Roman"/>
            <w:color w:val="0000FF"/>
            <w:sz w:val="24"/>
            <w:szCs w:val="24"/>
            <w:u w:val="single"/>
          </w:rPr>
          <w:t>partition coefficients</w:t>
        </w:r>
      </w:hyperlink>
      <w:r w:rsidRPr="003E7FBD">
        <w:rPr>
          <w:rFonts w:ascii="Times New Roman" w:eastAsia="Times New Roman" w:hAnsi="Times New Roman" w:cs="Times New Roman"/>
          <w:sz w:val="24"/>
          <w:szCs w:val="24"/>
        </w:rPr>
        <w:t xml:space="preserve">, </w:t>
      </w:r>
      <w:proofErr w:type="spellStart"/>
      <w:r w:rsidRPr="003E7FBD">
        <w:rPr>
          <w:rFonts w:ascii="Times New Roman" w:eastAsia="Times New Roman" w:hAnsi="Times New Roman" w:cs="Times New Roman"/>
          <w:sz w:val="24"/>
          <w:szCs w:val="24"/>
        </w:rPr>
        <w:t>K</w:t>
      </w:r>
      <w:r w:rsidRPr="003E7FBD">
        <w:rPr>
          <w:rFonts w:ascii="Times New Roman" w:eastAsia="Times New Roman" w:hAnsi="Times New Roman" w:cs="Times New Roman"/>
          <w:sz w:val="24"/>
          <w:szCs w:val="24"/>
          <w:vertAlign w:val="subscript"/>
        </w:rPr>
        <w:t>Ca</w:t>
      </w:r>
      <w:r w:rsidRPr="003E7FBD">
        <w:rPr>
          <w:rFonts w:ascii="Times New Roman" w:eastAsia="Times New Roman" w:hAnsi="Times New Roman" w:cs="Times New Roman"/>
          <w:sz w:val="24"/>
          <w:szCs w:val="24"/>
          <w:vertAlign w:val="superscript"/>
        </w:rPr>
        <w:t>ol</w:t>
      </w:r>
      <w:proofErr w:type="spellEnd"/>
      <w:r w:rsidRPr="003E7FBD">
        <w:rPr>
          <w:rFonts w:ascii="Times New Roman" w:eastAsia="Times New Roman" w:hAnsi="Times New Roman" w:cs="Times New Roman"/>
          <w:sz w:val="24"/>
          <w:szCs w:val="24"/>
          <w:vertAlign w:val="superscript"/>
        </w:rPr>
        <w:t>/melt</w:t>
      </w:r>
      <w:r w:rsidRPr="003E7FBD">
        <w:rPr>
          <w:rFonts w:ascii="Times New Roman" w:eastAsia="Times New Roman" w:hAnsi="Times New Roman" w:cs="Times New Roman"/>
          <w:sz w:val="24"/>
          <w:szCs w:val="24"/>
        </w:rPr>
        <w:t xml:space="preserve">, </w:t>
      </w:r>
      <w:proofErr w:type="spellStart"/>
      <w:r w:rsidRPr="003E7FBD">
        <w:rPr>
          <w:rFonts w:ascii="Times New Roman" w:eastAsia="Times New Roman" w:hAnsi="Times New Roman" w:cs="Times New Roman"/>
          <w:sz w:val="24"/>
          <w:szCs w:val="24"/>
        </w:rPr>
        <w:t>K</w:t>
      </w:r>
      <w:r w:rsidRPr="003E7FBD">
        <w:rPr>
          <w:rFonts w:ascii="Times New Roman" w:eastAsia="Times New Roman" w:hAnsi="Times New Roman" w:cs="Times New Roman"/>
          <w:sz w:val="24"/>
          <w:szCs w:val="24"/>
          <w:vertAlign w:val="subscript"/>
        </w:rPr>
        <w:t>Mn</w:t>
      </w:r>
      <w:r w:rsidRPr="003E7FBD">
        <w:rPr>
          <w:rFonts w:ascii="Times New Roman" w:eastAsia="Times New Roman" w:hAnsi="Times New Roman" w:cs="Times New Roman"/>
          <w:sz w:val="24"/>
          <w:szCs w:val="24"/>
          <w:vertAlign w:val="superscript"/>
        </w:rPr>
        <w:t>ol</w:t>
      </w:r>
      <w:proofErr w:type="spellEnd"/>
      <w:r w:rsidRPr="003E7FBD">
        <w:rPr>
          <w:rFonts w:ascii="Times New Roman" w:eastAsia="Times New Roman" w:hAnsi="Times New Roman" w:cs="Times New Roman"/>
          <w:sz w:val="24"/>
          <w:szCs w:val="24"/>
          <w:vertAlign w:val="superscript"/>
        </w:rPr>
        <w:t>/melt</w:t>
      </w:r>
      <w:r w:rsidRPr="003E7FBD">
        <w:rPr>
          <w:rFonts w:ascii="Times New Roman" w:eastAsia="Times New Roman" w:hAnsi="Times New Roman" w:cs="Times New Roman"/>
          <w:sz w:val="24"/>
          <w:szCs w:val="24"/>
        </w:rPr>
        <w:t xml:space="preserve">, </w:t>
      </w:r>
      <w:proofErr w:type="spellStart"/>
      <w:r w:rsidRPr="003E7FBD">
        <w:rPr>
          <w:rFonts w:ascii="Times New Roman" w:eastAsia="Times New Roman" w:hAnsi="Times New Roman" w:cs="Times New Roman"/>
          <w:sz w:val="24"/>
          <w:szCs w:val="24"/>
        </w:rPr>
        <w:t>K</w:t>
      </w:r>
      <w:r w:rsidRPr="003E7FBD">
        <w:rPr>
          <w:rFonts w:ascii="Times New Roman" w:eastAsia="Times New Roman" w:hAnsi="Times New Roman" w:cs="Times New Roman"/>
          <w:sz w:val="24"/>
          <w:szCs w:val="24"/>
          <w:vertAlign w:val="subscript"/>
        </w:rPr>
        <w:t>Mg</w:t>
      </w:r>
      <w:r w:rsidRPr="003E7FBD">
        <w:rPr>
          <w:rFonts w:ascii="Times New Roman" w:eastAsia="Times New Roman" w:hAnsi="Times New Roman" w:cs="Times New Roman"/>
          <w:sz w:val="24"/>
          <w:szCs w:val="24"/>
          <w:vertAlign w:val="superscript"/>
        </w:rPr>
        <w:t>ol</w:t>
      </w:r>
      <w:proofErr w:type="spellEnd"/>
      <w:r w:rsidRPr="003E7FBD">
        <w:rPr>
          <w:rFonts w:ascii="Times New Roman" w:eastAsia="Times New Roman" w:hAnsi="Times New Roman" w:cs="Times New Roman"/>
          <w:sz w:val="24"/>
          <w:szCs w:val="24"/>
          <w:vertAlign w:val="superscript"/>
        </w:rPr>
        <w:t>/melt</w:t>
      </w:r>
      <w:r w:rsidRPr="003E7FBD">
        <w:rPr>
          <w:rFonts w:ascii="Times New Roman" w:eastAsia="Times New Roman" w:hAnsi="Times New Roman" w:cs="Times New Roman"/>
          <w:sz w:val="24"/>
          <w:szCs w:val="24"/>
        </w:rPr>
        <w:t>, and K</w:t>
      </w:r>
      <w:r w:rsidRPr="003E7FBD">
        <w:rPr>
          <w:rFonts w:ascii="Times New Roman" w:eastAsia="Times New Roman" w:hAnsi="Times New Roman" w:cs="Times New Roman"/>
          <w:sz w:val="24"/>
          <w:szCs w:val="24"/>
          <w:vertAlign w:val="subscript"/>
        </w:rPr>
        <w:t>Fe2+</w:t>
      </w:r>
      <w:r w:rsidRPr="003E7FBD">
        <w:rPr>
          <w:rFonts w:ascii="Times New Roman" w:eastAsia="Times New Roman" w:hAnsi="Times New Roman" w:cs="Times New Roman"/>
          <w:sz w:val="24"/>
          <w:szCs w:val="24"/>
          <w:vertAlign w:val="superscript"/>
        </w:rPr>
        <w:t>ol/melt</w:t>
      </w:r>
      <w:r w:rsidRPr="003E7FBD">
        <w:rPr>
          <w:rFonts w:ascii="Times New Roman" w:eastAsia="Times New Roman" w:hAnsi="Times New Roman" w:cs="Times New Roman"/>
          <w:sz w:val="24"/>
          <w:szCs w:val="24"/>
        </w:rPr>
        <w:t>, because of ordering of the network-modifying Ca, Mn, Mg, and Fe</w:t>
      </w:r>
      <w:r w:rsidRPr="003E7FBD">
        <w:rPr>
          <w:rFonts w:ascii="Times New Roman" w:eastAsia="Times New Roman" w:hAnsi="Times New Roman" w:cs="Times New Roman"/>
          <w:sz w:val="24"/>
          <w:szCs w:val="24"/>
          <w:vertAlign w:val="superscript"/>
        </w:rPr>
        <w:t>2+</w:t>
      </w:r>
      <w:r w:rsidRPr="003E7FBD">
        <w:rPr>
          <w:rFonts w:ascii="Times New Roman" w:eastAsia="Times New Roman" w:hAnsi="Times New Roman" w:cs="Times New Roman"/>
          <w:sz w:val="24"/>
          <w:szCs w:val="24"/>
        </w:rPr>
        <w:t xml:space="preserve"> among nonbridging oxygen in Q</w:t>
      </w:r>
      <w:r w:rsidRPr="003E7FBD">
        <w:rPr>
          <w:rFonts w:ascii="Times New Roman" w:eastAsia="Times New Roman" w:hAnsi="Times New Roman" w:cs="Times New Roman"/>
          <w:sz w:val="24"/>
          <w:szCs w:val="24"/>
          <w:vertAlign w:val="superscript"/>
        </w:rPr>
        <w:t>3</w:t>
      </w:r>
      <w:r w:rsidRPr="003E7FBD">
        <w:rPr>
          <w:rFonts w:ascii="Times New Roman" w:eastAsia="Times New Roman" w:hAnsi="Times New Roman" w:cs="Times New Roman"/>
          <w:sz w:val="24"/>
          <w:szCs w:val="24"/>
        </w:rPr>
        <w:t xml:space="preserve"> and Q</w:t>
      </w:r>
      <w:r w:rsidRPr="003E7FBD">
        <w:rPr>
          <w:rFonts w:ascii="Times New Roman" w:eastAsia="Times New Roman" w:hAnsi="Times New Roman" w:cs="Times New Roman"/>
          <w:sz w:val="24"/>
          <w:szCs w:val="24"/>
          <w:vertAlign w:val="superscript"/>
        </w:rPr>
        <w:t>2</w:t>
      </w:r>
      <w:r w:rsidRPr="003E7FBD">
        <w:rPr>
          <w:rFonts w:ascii="Times New Roman" w:eastAsia="Times New Roman" w:hAnsi="Times New Roman" w:cs="Times New Roman"/>
          <w:sz w:val="24"/>
          <w:szCs w:val="24"/>
        </w:rPr>
        <w:t xml:space="preserve"> structural units. This decrease is more pronounced the smaller the ionic radius of the cation. With decreasing Q</w:t>
      </w:r>
      <w:r w:rsidRPr="003E7FBD">
        <w:rPr>
          <w:rFonts w:ascii="Times New Roman" w:eastAsia="Times New Roman" w:hAnsi="Times New Roman" w:cs="Times New Roman"/>
          <w:sz w:val="24"/>
          <w:szCs w:val="24"/>
          <w:vertAlign w:val="superscript"/>
        </w:rPr>
        <w:t>3</w:t>
      </w:r>
      <w:r w:rsidRPr="003E7FBD">
        <w:rPr>
          <w:rFonts w:ascii="Times New Roman" w:eastAsia="Times New Roman" w:hAnsi="Times New Roman" w:cs="Times New Roman"/>
          <w:sz w:val="24"/>
          <w:szCs w:val="24"/>
        </w:rPr>
        <w:t>/Q</w:t>
      </w:r>
      <w:r w:rsidRPr="003E7FBD">
        <w:rPr>
          <w:rFonts w:ascii="Times New Roman" w:eastAsia="Times New Roman" w:hAnsi="Times New Roman" w:cs="Times New Roman"/>
          <w:sz w:val="24"/>
          <w:szCs w:val="24"/>
          <w:vertAlign w:val="superscript"/>
        </w:rPr>
        <w:t>2</w:t>
      </w:r>
      <w:r w:rsidRPr="003E7FBD">
        <w:rPr>
          <w:rFonts w:ascii="Times New Roman" w:eastAsia="Times New Roman" w:hAnsi="Times New Roman" w:cs="Times New Roman"/>
          <w:sz w:val="24"/>
          <w:szCs w:val="24"/>
        </w:rPr>
        <w:t xml:space="preserve"> abundance ratio (less-polymerized melts) this effect becomes less pronounced.</w:t>
      </w:r>
    </w:p>
    <w:p w:rsidR="003E7FBD" w:rsidRPr="003E7FBD" w:rsidRDefault="003E7FBD" w:rsidP="003E7FBD">
      <w:pPr>
        <w:spacing w:before="100" w:beforeAutospacing="1" w:after="100" w:afterAutospacing="1" w:line="240" w:lineRule="auto"/>
        <w:rPr>
          <w:rFonts w:ascii="Times New Roman" w:eastAsia="Times New Roman" w:hAnsi="Times New Roman" w:cs="Times New Roman"/>
          <w:sz w:val="24"/>
          <w:szCs w:val="24"/>
        </w:rPr>
      </w:pPr>
      <w:r w:rsidRPr="003E7FBD">
        <w:rPr>
          <w:rFonts w:ascii="Times New Roman" w:eastAsia="Times New Roman" w:hAnsi="Times New Roman" w:cs="Times New Roman"/>
          <w:sz w:val="24"/>
          <w:szCs w:val="24"/>
        </w:rPr>
        <w:t xml:space="preserve">Activity-composition relations among network-modifying cations in silicate melts are, therefore, governed by availability of energetically nonequivalent nonbridging oxygen in individual </w:t>
      </w:r>
      <w:proofErr w:type="spellStart"/>
      <w:r w:rsidRPr="003E7FBD">
        <w:rPr>
          <w:rFonts w:ascii="Times New Roman" w:eastAsia="Times New Roman" w:hAnsi="Times New Roman" w:cs="Times New Roman"/>
          <w:sz w:val="24"/>
          <w:szCs w:val="24"/>
        </w:rPr>
        <w:t>Q</w:t>
      </w:r>
      <w:r w:rsidRPr="003E7FBD">
        <w:rPr>
          <w:rFonts w:ascii="Times New Roman" w:eastAsia="Times New Roman" w:hAnsi="Times New Roman" w:cs="Times New Roman"/>
          <w:sz w:val="24"/>
          <w:szCs w:val="24"/>
          <w:vertAlign w:val="superscript"/>
        </w:rPr>
        <w:t>n</w:t>
      </w:r>
      <w:proofErr w:type="spellEnd"/>
      <w:r w:rsidRPr="003E7FBD">
        <w:rPr>
          <w:rFonts w:ascii="Times New Roman" w:eastAsia="Times New Roman" w:hAnsi="Times New Roman" w:cs="Times New Roman"/>
          <w:sz w:val="24"/>
          <w:szCs w:val="24"/>
        </w:rPr>
        <w:t xml:space="preserve">-species in the melt. As a result, any composition change that enhances abundance of highly depolymerized </w:t>
      </w:r>
      <w:proofErr w:type="spellStart"/>
      <w:r w:rsidRPr="003E7FBD">
        <w:rPr>
          <w:rFonts w:ascii="Times New Roman" w:eastAsia="Times New Roman" w:hAnsi="Times New Roman" w:cs="Times New Roman"/>
          <w:sz w:val="24"/>
          <w:szCs w:val="24"/>
        </w:rPr>
        <w:t>Q</w:t>
      </w:r>
      <w:r w:rsidRPr="003E7FBD">
        <w:rPr>
          <w:rFonts w:ascii="Times New Roman" w:eastAsia="Times New Roman" w:hAnsi="Times New Roman" w:cs="Times New Roman"/>
          <w:sz w:val="24"/>
          <w:szCs w:val="24"/>
          <w:vertAlign w:val="superscript"/>
        </w:rPr>
        <w:t>n</w:t>
      </w:r>
      <w:proofErr w:type="spellEnd"/>
      <w:r w:rsidRPr="003E7FBD">
        <w:rPr>
          <w:rFonts w:ascii="Times New Roman" w:eastAsia="Times New Roman" w:hAnsi="Times New Roman" w:cs="Times New Roman"/>
          <w:sz w:val="24"/>
          <w:szCs w:val="24"/>
        </w:rPr>
        <w:t xml:space="preserve">-species will cause </w:t>
      </w:r>
      <w:hyperlink r:id="rId6" w:tooltip="Learn more about partition coefficients from ScienceDirect's AI-generated Topic Pages" w:history="1">
        <w:r w:rsidRPr="003E7FBD">
          <w:rPr>
            <w:rFonts w:ascii="Times New Roman" w:eastAsia="Times New Roman" w:hAnsi="Times New Roman" w:cs="Times New Roman"/>
            <w:color w:val="0000FF"/>
            <w:sz w:val="24"/>
            <w:szCs w:val="24"/>
            <w:u w:val="single"/>
          </w:rPr>
          <w:t>partition coefficients</w:t>
        </w:r>
      </w:hyperlink>
      <w:r w:rsidRPr="003E7FBD">
        <w:rPr>
          <w:rFonts w:ascii="Times New Roman" w:eastAsia="Times New Roman" w:hAnsi="Times New Roman" w:cs="Times New Roman"/>
          <w:sz w:val="24"/>
          <w:szCs w:val="24"/>
        </w:rPr>
        <w:t xml:space="preserve"> to decrease.</w:t>
      </w:r>
    </w:p>
    <w:p w:rsidR="003E7FBD" w:rsidRPr="003E7FBD" w:rsidRDefault="003E7FBD" w:rsidP="003E7FBD">
      <w:pPr>
        <w:spacing w:before="100" w:beforeAutospacing="1" w:after="100" w:afterAutospacing="1" w:line="240" w:lineRule="auto"/>
        <w:outlineLvl w:val="1"/>
        <w:rPr>
          <w:rFonts w:ascii="Times New Roman" w:eastAsia="Times New Roman" w:hAnsi="Times New Roman" w:cs="Times New Roman"/>
          <w:b/>
          <w:bCs/>
          <w:sz w:val="36"/>
          <w:szCs w:val="36"/>
        </w:rPr>
      </w:pPr>
      <w:r w:rsidRPr="003E7FBD">
        <w:rPr>
          <w:rFonts w:ascii="Times New Roman" w:eastAsia="Times New Roman" w:hAnsi="Times New Roman" w:cs="Times New Roman"/>
          <w:b/>
          <w:bCs/>
          <w:sz w:val="36"/>
          <w:szCs w:val="36"/>
        </w:rPr>
        <w:t>Introduction</w:t>
      </w:r>
    </w:p>
    <w:p w:rsidR="003E7FBD" w:rsidRPr="003E7FBD" w:rsidRDefault="003E7FBD" w:rsidP="003E7FBD">
      <w:pPr>
        <w:spacing w:before="100" w:beforeAutospacing="1" w:after="100" w:afterAutospacing="1" w:line="240" w:lineRule="auto"/>
        <w:rPr>
          <w:rFonts w:ascii="Times New Roman" w:eastAsia="Times New Roman" w:hAnsi="Times New Roman" w:cs="Times New Roman"/>
          <w:sz w:val="24"/>
          <w:szCs w:val="24"/>
        </w:rPr>
      </w:pPr>
      <w:r w:rsidRPr="003E7FBD">
        <w:rPr>
          <w:rFonts w:ascii="Times New Roman" w:eastAsia="Times New Roman" w:hAnsi="Times New Roman" w:cs="Times New Roman"/>
          <w:sz w:val="24"/>
          <w:szCs w:val="24"/>
        </w:rPr>
        <w:t>Mass transfer processes in the Earth are governed by partitioning behavior of elements between minerals and magmatic liquids. Experimentally determined major, minor, and trace element partitioning between minerals and melts at high temperature and pressure, therefore, is central to our understanding of the petrogenesis of igneous rocks. Structural characterization of the solution mechanisms of these elements in both minerals and melts is necessary to describe and predict mineral/melt element partitioning for this use.</w:t>
      </w:r>
    </w:p>
    <w:p w:rsidR="003E7FBD" w:rsidRPr="003E7FBD" w:rsidRDefault="003E7FBD" w:rsidP="003E7FBD">
      <w:pPr>
        <w:spacing w:before="100" w:beforeAutospacing="1" w:after="100" w:afterAutospacing="1" w:line="240" w:lineRule="auto"/>
        <w:rPr>
          <w:rFonts w:ascii="Times New Roman" w:eastAsia="Times New Roman" w:hAnsi="Times New Roman" w:cs="Times New Roman"/>
          <w:sz w:val="24"/>
          <w:szCs w:val="24"/>
        </w:rPr>
      </w:pPr>
      <w:r w:rsidRPr="003E7FBD">
        <w:rPr>
          <w:rFonts w:ascii="Times New Roman" w:eastAsia="Times New Roman" w:hAnsi="Times New Roman" w:cs="Times New Roman"/>
          <w:sz w:val="24"/>
          <w:szCs w:val="24"/>
        </w:rPr>
        <w:t xml:space="preserve">Evidence from natural rocks and from experimental data points to significant melt composition dependence of major, minor, and trace element partitioning (e.g., Watson 1976, Watson 1977; Irving, 1978; </w:t>
      </w:r>
      <w:proofErr w:type="spellStart"/>
      <w:r w:rsidRPr="003E7FBD">
        <w:rPr>
          <w:rFonts w:ascii="Times New Roman" w:eastAsia="Times New Roman" w:hAnsi="Times New Roman" w:cs="Times New Roman"/>
          <w:sz w:val="24"/>
          <w:szCs w:val="24"/>
        </w:rPr>
        <w:t>Mysen</w:t>
      </w:r>
      <w:proofErr w:type="spellEnd"/>
      <w:r w:rsidRPr="003E7FBD">
        <w:rPr>
          <w:rFonts w:ascii="Times New Roman" w:eastAsia="Times New Roman" w:hAnsi="Times New Roman" w:cs="Times New Roman"/>
          <w:sz w:val="24"/>
          <w:szCs w:val="24"/>
        </w:rPr>
        <w:t xml:space="preserve"> and Virgo, 1980; </w:t>
      </w:r>
      <w:proofErr w:type="spellStart"/>
      <w:r w:rsidRPr="003E7FBD">
        <w:rPr>
          <w:rFonts w:ascii="Times New Roman" w:eastAsia="Times New Roman" w:hAnsi="Times New Roman" w:cs="Times New Roman"/>
          <w:sz w:val="24"/>
          <w:szCs w:val="24"/>
        </w:rPr>
        <w:t>Hillgren</w:t>
      </w:r>
      <w:proofErr w:type="spellEnd"/>
      <w:r w:rsidRPr="003E7FBD">
        <w:rPr>
          <w:rFonts w:ascii="Times New Roman" w:eastAsia="Times New Roman" w:hAnsi="Times New Roman" w:cs="Times New Roman"/>
          <w:sz w:val="24"/>
          <w:szCs w:val="24"/>
        </w:rPr>
        <w:t xml:space="preserve"> et al., 1996; Kushiro and Walter, 1998; </w:t>
      </w:r>
      <w:proofErr w:type="spellStart"/>
      <w:r w:rsidRPr="003E7FBD">
        <w:rPr>
          <w:rFonts w:ascii="Times New Roman" w:eastAsia="Times New Roman" w:hAnsi="Times New Roman" w:cs="Times New Roman"/>
          <w:sz w:val="24"/>
          <w:szCs w:val="24"/>
        </w:rPr>
        <w:t>Libourel</w:t>
      </w:r>
      <w:proofErr w:type="spellEnd"/>
      <w:r w:rsidRPr="003E7FBD">
        <w:rPr>
          <w:rFonts w:ascii="Times New Roman" w:eastAsia="Times New Roman" w:hAnsi="Times New Roman" w:cs="Times New Roman"/>
          <w:sz w:val="24"/>
          <w:szCs w:val="24"/>
        </w:rPr>
        <w:t>, 1999; Jaeger and Drake, 2000; Walter, 2001). In fact, even Fe</w:t>
      </w:r>
      <w:r w:rsidRPr="003E7FBD">
        <w:rPr>
          <w:rFonts w:ascii="Times New Roman" w:eastAsia="Times New Roman" w:hAnsi="Times New Roman" w:cs="Times New Roman"/>
          <w:sz w:val="24"/>
          <w:szCs w:val="24"/>
          <w:vertAlign w:val="superscript"/>
        </w:rPr>
        <w:t>2+</w:t>
      </w:r>
      <w:r w:rsidRPr="003E7FBD">
        <w:rPr>
          <w:rFonts w:ascii="Times New Roman" w:eastAsia="Times New Roman" w:hAnsi="Times New Roman" w:cs="Times New Roman"/>
          <w:sz w:val="24"/>
          <w:szCs w:val="24"/>
        </w:rPr>
        <w:t>-Mg partitioning between olivine and melts, which for some time was considered nearly independent of composition (</w:t>
      </w:r>
      <w:proofErr w:type="spellStart"/>
      <w:r w:rsidRPr="003E7FBD">
        <w:rPr>
          <w:rFonts w:ascii="Times New Roman" w:eastAsia="Times New Roman" w:hAnsi="Times New Roman" w:cs="Times New Roman"/>
          <w:sz w:val="24"/>
          <w:szCs w:val="24"/>
        </w:rPr>
        <w:t>Roder</w:t>
      </w:r>
      <w:proofErr w:type="spellEnd"/>
      <w:r w:rsidRPr="003E7FBD">
        <w:rPr>
          <w:rFonts w:ascii="Times New Roman" w:eastAsia="Times New Roman" w:hAnsi="Times New Roman" w:cs="Times New Roman"/>
          <w:sz w:val="24"/>
          <w:szCs w:val="24"/>
        </w:rPr>
        <w:t xml:space="preserve"> and Emslie, 1970), more recently has been found quite composition dependent. The exchange equilibrium coefficient, K</w:t>
      </w:r>
      <w:r w:rsidRPr="003E7FBD">
        <w:rPr>
          <w:rFonts w:ascii="Times New Roman" w:eastAsia="Times New Roman" w:hAnsi="Times New Roman" w:cs="Times New Roman"/>
          <w:sz w:val="24"/>
          <w:szCs w:val="24"/>
          <w:vertAlign w:val="subscript"/>
        </w:rPr>
        <w:t>DFe</w:t>
      </w:r>
      <w:r w:rsidRPr="003E7FBD">
        <w:rPr>
          <w:rFonts w:ascii="Times New Roman" w:eastAsia="Times New Roman" w:hAnsi="Times New Roman" w:cs="Times New Roman"/>
          <w:sz w:val="24"/>
          <w:szCs w:val="24"/>
          <w:vertAlign w:val="superscript"/>
        </w:rPr>
        <w:t>2+</w:t>
      </w:r>
      <w:r w:rsidRPr="003E7FBD">
        <w:rPr>
          <w:rFonts w:ascii="Times New Roman" w:eastAsia="Times New Roman" w:hAnsi="Times New Roman" w:cs="Times New Roman"/>
          <w:sz w:val="24"/>
          <w:szCs w:val="24"/>
          <w:vertAlign w:val="subscript"/>
        </w:rPr>
        <w:t>−</w:t>
      </w:r>
      <w:proofErr w:type="spellStart"/>
      <w:r w:rsidRPr="003E7FBD">
        <w:rPr>
          <w:rFonts w:ascii="Times New Roman" w:eastAsia="Times New Roman" w:hAnsi="Times New Roman" w:cs="Times New Roman"/>
          <w:sz w:val="24"/>
          <w:szCs w:val="24"/>
          <w:vertAlign w:val="subscript"/>
        </w:rPr>
        <w:t>Mg</w:t>
      </w:r>
      <w:r w:rsidRPr="003E7FBD">
        <w:rPr>
          <w:rFonts w:ascii="Times New Roman" w:eastAsia="Times New Roman" w:hAnsi="Times New Roman" w:cs="Times New Roman"/>
          <w:sz w:val="24"/>
          <w:szCs w:val="24"/>
          <w:vertAlign w:val="superscript"/>
        </w:rPr>
        <w:t>olivine</w:t>
      </w:r>
      <w:proofErr w:type="spellEnd"/>
      <w:r w:rsidRPr="003E7FBD">
        <w:rPr>
          <w:rFonts w:ascii="Times New Roman" w:eastAsia="Times New Roman" w:hAnsi="Times New Roman" w:cs="Times New Roman"/>
          <w:sz w:val="24"/>
          <w:szCs w:val="24"/>
          <w:vertAlign w:val="superscript"/>
        </w:rPr>
        <w:t>/melt</w:t>
      </w:r>
      <w:r w:rsidRPr="003E7FBD">
        <w:rPr>
          <w:rFonts w:ascii="Times New Roman" w:eastAsia="Times New Roman" w:hAnsi="Times New Roman" w:cs="Times New Roman"/>
          <w:sz w:val="24"/>
          <w:szCs w:val="24"/>
        </w:rPr>
        <w:t>, originally considered near constant at 0.3 (</w:t>
      </w:r>
      <w:proofErr w:type="spellStart"/>
      <w:r w:rsidRPr="003E7FBD">
        <w:rPr>
          <w:rFonts w:ascii="Times New Roman" w:eastAsia="Times New Roman" w:hAnsi="Times New Roman" w:cs="Times New Roman"/>
          <w:sz w:val="24"/>
          <w:szCs w:val="24"/>
        </w:rPr>
        <w:t>Roder</w:t>
      </w:r>
      <w:proofErr w:type="spellEnd"/>
      <w:r w:rsidRPr="003E7FBD">
        <w:rPr>
          <w:rFonts w:ascii="Times New Roman" w:eastAsia="Times New Roman" w:hAnsi="Times New Roman" w:cs="Times New Roman"/>
          <w:sz w:val="24"/>
          <w:szCs w:val="24"/>
        </w:rPr>
        <w:t xml:space="preserve"> and </w:t>
      </w:r>
      <w:r w:rsidRPr="003E7FBD">
        <w:rPr>
          <w:rFonts w:ascii="Times New Roman" w:eastAsia="Times New Roman" w:hAnsi="Times New Roman" w:cs="Times New Roman"/>
          <w:sz w:val="24"/>
          <w:szCs w:val="24"/>
        </w:rPr>
        <w:lastRenderedPageBreak/>
        <w:t xml:space="preserve">Emslie, 1970), in more current experimental studies ranges between </w:t>
      </w:r>
      <w:r w:rsidRPr="003E7FBD">
        <w:rPr>
          <w:rFonts w:ascii="Cambria Math" w:eastAsia="Times New Roman" w:hAnsi="Cambria Math" w:cs="Cambria Math"/>
          <w:sz w:val="24"/>
          <w:szCs w:val="24"/>
        </w:rPr>
        <w:t>∼</w:t>
      </w:r>
      <w:r w:rsidRPr="003E7FBD">
        <w:rPr>
          <w:rFonts w:ascii="Times New Roman" w:eastAsia="Times New Roman" w:hAnsi="Times New Roman" w:cs="Times New Roman"/>
          <w:sz w:val="24"/>
          <w:szCs w:val="24"/>
        </w:rPr>
        <w:t xml:space="preserve">0.15 and near 0.45 (see, for example, Takahashi, 1978; Colson et al., 1988; Shi and </w:t>
      </w:r>
      <w:proofErr w:type="spellStart"/>
      <w:r w:rsidRPr="003E7FBD">
        <w:rPr>
          <w:rFonts w:ascii="Times New Roman" w:eastAsia="Times New Roman" w:hAnsi="Times New Roman" w:cs="Times New Roman"/>
          <w:sz w:val="24"/>
          <w:szCs w:val="24"/>
        </w:rPr>
        <w:t>Libourel</w:t>
      </w:r>
      <w:proofErr w:type="spellEnd"/>
      <w:r w:rsidRPr="003E7FBD">
        <w:rPr>
          <w:rFonts w:ascii="Times New Roman" w:eastAsia="Times New Roman" w:hAnsi="Times New Roman" w:cs="Times New Roman"/>
          <w:sz w:val="24"/>
          <w:szCs w:val="24"/>
        </w:rPr>
        <w:t xml:space="preserve">, 1991; Sack et al., 1987; </w:t>
      </w:r>
      <w:proofErr w:type="spellStart"/>
      <w:r w:rsidRPr="003E7FBD">
        <w:rPr>
          <w:rFonts w:ascii="Times New Roman" w:eastAsia="Times New Roman" w:hAnsi="Times New Roman" w:cs="Times New Roman"/>
          <w:sz w:val="24"/>
          <w:szCs w:val="24"/>
        </w:rPr>
        <w:t>Toplis</w:t>
      </w:r>
      <w:proofErr w:type="spellEnd"/>
      <w:r w:rsidRPr="003E7FBD">
        <w:rPr>
          <w:rFonts w:ascii="Times New Roman" w:eastAsia="Times New Roman" w:hAnsi="Times New Roman" w:cs="Times New Roman"/>
          <w:sz w:val="24"/>
          <w:szCs w:val="24"/>
        </w:rPr>
        <w:t xml:space="preserve"> et al., 1994; Kushiro and </w:t>
      </w:r>
      <w:proofErr w:type="spellStart"/>
      <w:r w:rsidRPr="003E7FBD">
        <w:rPr>
          <w:rFonts w:ascii="Times New Roman" w:eastAsia="Times New Roman" w:hAnsi="Times New Roman" w:cs="Times New Roman"/>
          <w:sz w:val="24"/>
          <w:szCs w:val="24"/>
        </w:rPr>
        <w:t>Mysen</w:t>
      </w:r>
      <w:proofErr w:type="spellEnd"/>
      <w:r w:rsidRPr="003E7FBD">
        <w:rPr>
          <w:rFonts w:ascii="Times New Roman" w:eastAsia="Times New Roman" w:hAnsi="Times New Roman" w:cs="Times New Roman"/>
          <w:sz w:val="24"/>
          <w:szCs w:val="24"/>
        </w:rPr>
        <w:t xml:space="preserve">, 2002). These variations, at least in part, reflect melt compositional control on the activity of iron oxides in silicate melts (e.g., Doyle and </w:t>
      </w:r>
      <w:proofErr w:type="spellStart"/>
      <w:r w:rsidRPr="003E7FBD">
        <w:rPr>
          <w:rFonts w:ascii="Times New Roman" w:eastAsia="Times New Roman" w:hAnsi="Times New Roman" w:cs="Times New Roman"/>
          <w:sz w:val="24"/>
          <w:szCs w:val="24"/>
        </w:rPr>
        <w:t>Naldrett</w:t>
      </w:r>
      <w:proofErr w:type="spellEnd"/>
      <w:r w:rsidRPr="003E7FBD">
        <w:rPr>
          <w:rFonts w:ascii="Times New Roman" w:eastAsia="Times New Roman" w:hAnsi="Times New Roman" w:cs="Times New Roman"/>
          <w:sz w:val="24"/>
          <w:szCs w:val="24"/>
        </w:rPr>
        <w:t>, 1986; Doyle, 1989; Gaillard et al 2001, Gaillard et al 2003).</w:t>
      </w:r>
    </w:p>
    <w:p w:rsidR="003E7FBD" w:rsidRPr="003E7FBD" w:rsidRDefault="003E7FBD" w:rsidP="003E7FBD">
      <w:pPr>
        <w:spacing w:before="100" w:beforeAutospacing="1" w:after="100" w:afterAutospacing="1" w:line="240" w:lineRule="auto"/>
        <w:rPr>
          <w:rFonts w:ascii="Times New Roman" w:eastAsia="Times New Roman" w:hAnsi="Times New Roman" w:cs="Times New Roman"/>
          <w:sz w:val="24"/>
          <w:szCs w:val="24"/>
        </w:rPr>
      </w:pPr>
      <w:r w:rsidRPr="003E7FBD">
        <w:rPr>
          <w:rFonts w:ascii="Times New Roman" w:eastAsia="Times New Roman" w:hAnsi="Times New Roman" w:cs="Times New Roman"/>
          <w:sz w:val="24"/>
          <w:szCs w:val="24"/>
        </w:rPr>
        <w:t>Activity-composition relations in silicate melts, in turn, are related to the structural roles of the components. Various structure parameters have been employed to account for such effects. For example, the parameter NBO/T</w:t>
      </w:r>
      <w:r w:rsidRPr="003E7FBD">
        <w:rPr>
          <w:rFonts w:ascii="Times New Roman" w:eastAsia="Times New Roman" w:hAnsi="Times New Roman" w:cs="Times New Roman"/>
          <w:sz w:val="24"/>
          <w:szCs w:val="24"/>
          <w:vertAlign w:val="superscript"/>
        </w:rPr>
        <w:t>†</w:t>
      </w:r>
      <w:r w:rsidRPr="003E7FBD">
        <w:rPr>
          <w:rFonts w:ascii="Times New Roman" w:eastAsia="Times New Roman" w:hAnsi="Times New Roman" w:cs="Times New Roman"/>
          <w:sz w:val="24"/>
          <w:szCs w:val="24"/>
        </w:rPr>
        <w:t xml:space="preserve"> empirically has been related to mineral/melt partitioning behavior at least over limited NBO/T ranges (e.g., </w:t>
      </w:r>
      <w:proofErr w:type="spellStart"/>
      <w:r w:rsidRPr="003E7FBD">
        <w:rPr>
          <w:rFonts w:ascii="Times New Roman" w:eastAsia="Times New Roman" w:hAnsi="Times New Roman" w:cs="Times New Roman"/>
          <w:sz w:val="24"/>
          <w:szCs w:val="24"/>
        </w:rPr>
        <w:t>Mysen</w:t>
      </w:r>
      <w:proofErr w:type="spellEnd"/>
      <w:r w:rsidRPr="003E7FBD">
        <w:rPr>
          <w:rFonts w:ascii="Times New Roman" w:eastAsia="Times New Roman" w:hAnsi="Times New Roman" w:cs="Times New Roman"/>
          <w:sz w:val="24"/>
          <w:szCs w:val="24"/>
        </w:rPr>
        <w:t xml:space="preserve"> and Virgo, 1980; Kohn and Schofield, 1994; Righter and Drake, 1999; Jaeger and Drake, 2000; Walter, 2001; </w:t>
      </w:r>
      <w:proofErr w:type="spellStart"/>
      <w:r w:rsidRPr="003E7FBD">
        <w:rPr>
          <w:rFonts w:ascii="Times New Roman" w:eastAsia="Times New Roman" w:hAnsi="Times New Roman" w:cs="Times New Roman"/>
          <w:sz w:val="24"/>
          <w:szCs w:val="24"/>
        </w:rPr>
        <w:t>Toplis</w:t>
      </w:r>
      <w:proofErr w:type="spellEnd"/>
      <w:r w:rsidRPr="003E7FBD">
        <w:rPr>
          <w:rFonts w:ascii="Times New Roman" w:eastAsia="Times New Roman" w:hAnsi="Times New Roman" w:cs="Times New Roman"/>
          <w:sz w:val="24"/>
          <w:szCs w:val="24"/>
        </w:rPr>
        <w:t xml:space="preserve"> and </w:t>
      </w:r>
      <w:proofErr w:type="spellStart"/>
      <w:r w:rsidRPr="003E7FBD">
        <w:rPr>
          <w:rFonts w:ascii="Times New Roman" w:eastAsia="Times New Roman" w:hAnsi="Times New Roman" w:cs="Times New Roman"/>
          <w:sz w:val="24"/>
          <w:szCs w:val="24"/>
        </w:rPr>
        <w:t>Corgne</w:t>
      </w:r>
      <w:proofErr w:type="spellEnd"/>
      <w:r w:rsidRPr="003E7FBD">
        <w:rPr>
          <w:rFonts w:ascii="Times New Roman" w:eastAsia="Times New Roman" w:hAnsi="Times New Roman" w:cs="Times New Roman"/>
          <w:sz w:val="24"/>
          <w:szCs w:val="24"/>
        </w:rPr>
        <w:t xml:space="preserve">, 2002). It has been suggested, however, that the use of NBO/T of a melt to calibrate mineral/melt element partitioning is of limited utility (see also O’Neill and </w:t>
      </w:r>
      <w:proofErr w:type="spellStart"/>
      <w:r w:rsidRPr="003E7FBD">
        <w:rPr>
          <w:rFonts w:ascii="Times New Roman" w:eastAsia="Times New Roman" w:hAnsi="Times New Roman" w:cs="Times New Roman"/>
          <w:sz w:val="24"/>
          <w:szCs w:val="24"/>
        </w:rPr>
        <w:t>Eggins</w:t>
      </w:r>
      <w:proofErr w:type="spellEnd"/>
      <w:r w:rsidRPr="003E7FBD">
        <w:rPr>
          <w:rFonts w:ascii="Times New Roman" w:eastAsia="Times New Roman" w:hAnsi="Times New Roman" w:cs="Times New Roman"/>
          <w:sz w:val="24"/>
          <w:szCs w:val="24"/>
        </w:rPr>
        <w:t>, 2002; Bennett et al., 2004). This is at least partly because NBO/T of a melt does not offer insight into important details of structural positions of the elements in melt.</w:t>
      </w:r>
    </w:p>
    <w:p w:rsidR="003E7FBD" w:rsidRPr="003E7FBD" w:rsidRDefault="003E7FBD" w:rsidP="003E7FBD">
      <w:pPr>
        <w:spacing w:before="100" w:beforeAutospacing="1" w:after="100" w:afterAutospacing="1" w:line="240" w:lineRule="auto"/>
        <w:rPr>
          <w:rFonts w:ascii="Times New Roman" w:eastAsia="Times New Roman" w:hAnsi="Times New Roman" w:cs="Times New Roman"/>
          <w:sz w:val="24"/>
          <w:szCs w:val="24"/>
        </w:rPr>
      </w:pPr>
      <w:r w:rsidRPr="003E7FBD">
        <w:rPr>
          <w:rFonts w:ascii="Times New Roman" w:eastAsia="Times New Roman" w:hAnsi="Times New Roman" w:cs="Times New Roman"/>
          <w:sz w:val="24"/>
          <w:szCs w:val="24"/>
        </w:rPr>
        <w:t>This conclusion does not, however, imply that melt structure and the role of minor and trace elements in melts structure are not important. However, to characterize the role of melt composition on mineral/melt element partitioning, a deeper structural understanding than that offered by NBO/T is needed.</w:t>
      </w:r>
    </w:p>
    <w:p w:rsidR="003E7FBD" w:rsidRPr="003E7FBD" w:rsidRDefault="003E7FBD" w:rsidP="003E7FBD">
      <w:pPr>
        <w:spacing w:before="100" w:beforeAutospacing="1" w:after="100" w:afterAutospacing="1" w:line="240" w:lineRule="auto"/>
        <w:rPr>
          <w:rFonts w:ascii="Times New Roman" w:eastAsia="Times New Roman" w:hAnsi="Times New Roman" w:cs="Times New Roman"/>
          <w:sz w:val="24"/>
          <w:szCs w:val="24"/>
        </w:rPr>
      </w:pPr>
      <w:r w:rsidRPr="003E7FBD">
        <w:rPr>
          <w:rFonts w:ascii="Times New Roman" w:eastAsia="Times New Roman" w:hAnsi="Times New Roman" w:cs="Times New Roman"/>
          <w:sz w:val="24"/>
          <w:szCs w:val="24"/>
        </w:rPr>
        <w:t>To this end it is important to note that most geochemically important minor and trace elements are network modifiers (</w:t>
      </w:r>
      <w:proofErr w:type="spellStart"/>
      <w:r w:rsidRPr="003E7FBD">
        <w:rPr>
          <w:rFonts w:ascii="Times New Roman" w:eastAsia="Times New Roman" w:hAnsi="Times New Roman" w:cs="Times New Roman"/>
          <w:sz w:val="24"/>
          <w:szCs w:val="24"/>
        </w:rPr>
        <w:t>Mysen</w:t>
      </w:r>
      <w:proofErr w:type="spellEnd"/>
      <w:r w:rsidRPr="003E7FBD">
        <w:rPr>
          <w:rFonts w:ascii="Times New Roman" w:eastAsia="Times New Roman" w:hAnsi="Times New Roman" w:cs="Times New Roman"/>
          <w:sz w:val="24"/>
          <w:szCs w:val="24"/>
        </w:rPr>
        <w:t xml:space="preserve">, 2004) and form bonds, therefore, with nonbridging oxygen (NBO) in silicate melts. The nonbridging oxygens in silicate melts, however, are not energetically equivalent (Jones et al., 2001; Lee and Stebbins, 2003; </w:t>
      </w:r>
      <w:proofErr w:type="spellStart"/>
      <w:r w:rsidRPr="003E7FBD">
        <w:rPr>
          <w:rFonts w:ascii="Times New Roman" w:eastAsia="Times New Roman" w:hAnsi="Times New Roman" w:cs="Times New Roman"/>
          <w:sz w:val="24"/>
          <w:szCs w:val="24"/>
        </w:rPr>
        <w:t>Allwardt</w:t>
      </w:r>
      <w:proofErr w:type="spellEnd"/>
      <w:r w:rsidRPr="003E7FBD">
        <w:rPr>
          <w:rFonts w:ascii="Times New Roman" w:eastAsia="Times New Roman" w:hAnsi="Times New Roman" w:cs="Times New Roman"/>
          <w:sz w:val="24"/>
          <w:szCs w:val="24"/>
        </w:rPr>
        <w:t xml:space="preserve"> and Stebbins, 2004). This nonequivalence is also evident from the observation that the equilibrium between </w:t>
      </w:r>
      <w:proofErr w:type="spellStart"/>
      <w:r w:rsidRPr="003E7FBD">
        <w:rPr>
          <w:rFonts w:ascii="Times New Roman" w:eastAsia="Times New Roman" w:hAnsi="Times New Roman" w:cs="Times New Roman"/>
          <w:sz w:val="24"/>
          <w:szCs w:val="24"/>
        </w:rPr>
        <w:t>Q</w:t>
      </w:r>
      <w:r w:rsidRPr="003E7FBD">
        <w:rPr>
          <w:rFonts w:ascii="Times New Roman" w:eastAsia="Times New Roman" w:hAnsi="Times New Roman" w:cs="Times New Roman"/>
          <w:sz w:val="24"/>
          <w:szCs w:val="24"/>
          <w:vertAlign w:val="superscript"/>
        </w:rPr>
        <w:t>n</w:t>
      </w:r>
      <w:proofErr w:type="spellEnd"/>
      <w:r w:rsidRPr="003E7FBD">
        <w:rPr>
          <w:rFonts w:ascii="Times New Roman" w:eastAsia="Times New Roman" w:hAnsi="Times New Roman" w:cs="Times New Roman"/>
          <w:sz w:val="24"/>
          <w:szCs w:val="24"/>
        </w:rPr>
        <w:t xml:space="preserve">-species in silicate melts: </w:t>
      </w:r>
    </w:p>
    <w:p w:rsidR="003E7FBD" w:rsidRPr="003E7FBD" w:rsidRDefault="003E7FBD" w:rsidP="003E7FBD">
      <w:pPr>
        <w:spacing w:before="100" w:beforeAutospacing="1" w:after="100" w:afterAutospacing="1" w:line="240" w:lineRule="auto"/>
        <w:rPr>
          <w:rFonts w:ascii="Times New Roman" w:eastAsia="Times New Roman" w:hAnsi="Times New Roman" w:cs="Times New Roman"/>
          <w:sz w:val="24"/>
          <w:szCs w:val="24"/>
        </w:rPr>
      </w:pPr>
      <w:r w:rsidRPr="003E7FBD">
        <w:rPr>
          <w:rFonts w:ascii="Times New Roman" w:eastAsia="Times New Roman" w:hAnsi="Times New Roman" w:cs="Times New Roman"/>
          <w:sz w:val="24"/>
          <w:szCs w:val="24"/>
        </w:rPr>
        <w:t xml:space="preserve">depends on the nature of the network-modifying cation(s) (e.g., Maekawa et al., 1991; Stebbins, 1995; </w:t>
      </w:r>
      <w:proofErr w:type="spellStart"/>
      <w:r w:rsidRPr="003E7FBD">
        <w:rPr>
          <w:rFonts w:ascii="Times New Roman" w:eastAsia="Times New Roman" w:hAnsi="Times New Roman" w:cs="Times New Roman"/>
          <w:sz w:val="24"/>
          <w:szCs w:val="24"/>
        </w:rPr>
        <w:t>Mysen</w:t>
      </w:r>
      <w:proofErr w:type="spellEnd"/>
      <w:r w:rsidRPr="003E7FBD">
        <w:rPr>
          <w:rFonts w:ascii="Times New Roman" w:eastAsia="Times New Roman" w:hAnsi="Times New Roman" w:cs="Times New Roman"/>
          <w:sz w:val="24"/>
          <w:szCs w:val="24"/>
        </w:rPr>
        <w:t xml:space="preserve"> 1995, </w:t>
      </w:r>
      <w:proofErr w:type="spellStart"/>
      <w:r w:rsidRPr="003E7FBD">
        <w:rPr>
          <w:rFonts w:ascii="Times New Roman" w:eastAsia="Times New Roman" w:hAnsi="Times New Roman" w:cs="Times New Roman"/>
          <w:sz w:val="24"/>
          <w:szCs w:val="24"/>
        </w:rPr>
        <w:t>Mysen</w:t>
      </w:r>
      <w:proofErr w:type="spellEnd"/>
      <w:r w:rsidRPr="003E7FBD">
        <w:rPr>
          <w:rFonts w:ascii="Times New Roman" w:eastAsia="Times New Roman" w:hAnsi="Times New Roman" w:cs="Times New Roman"/>
          <w:sz w:val="24"/>
          <w:szCs w:val="24"/>
        </w:rPr>
        <w:t xml:space="preserve"> 1999). One might expect, therefore, that minor and trace elements would exhibit preference for specific nonbridging oxygen such as those in the different </w:t>
      </w:r>
      <w:proofErr w:type="spellStart"/>
      <w:r w:rsidRPr="003E7FBD">
        <w:rPr>
          <w:rFonts w:ascii="Times New Roman" w:eastAsia="Times New Roman" w:hAnsi="Times New Roman" w:cs="Times New Roman"/>
          <w:sz w:val="24"/>
          <w:szCs w:val="24"/>
        </w:rPr>
        <w:t>Q</w:t>
      </w:r>
      <w:r w:rsidRPr="003E7FBD">
        <w:rPr>
          <w:rFonts w:ascii="Times New Roman" w:eastAsia="Times New Roman" w:hAnsi="Times New Roman" w:cs="Times New Roman"/>
          <w:sz w:val="24"/>
          <w:szCs w:val="24"/>
          <w:vertAlign w:val="superscript"/>
        </w:rPr>
        <w:t>n</w:t>
      </w:r>
      <w:proofErr w:type="spellEnd"/>
      <w:r w:rsidRPr="003E7FBD">
        <w:rPr>
          <w:rFonts w:ascii="Times New Roman" w:eastAsia="Times New Roman" w:hAnsi="Times New Roman" w:cs="Times New Roman"/>
          <w:sz w:val="24"/>
          <w:szCs w:val="24"/>
        </w:rPr>
        <w:t>-species.</w:t>
      </w:r>
    </w:p>
    <w:p w:rsidR="003E7FBD" w:rsidRPr="003E7FBD" w:rsidRDefault="003E7FBD" w:rsidP="003E7FBD">
      <w:pPr>
        <w:spacing w:before="100" w:beforeAutospacing="1" w:after="100" w:afterAutospacing="1" w:line="240" w:lineRule="auto"/>
        <w:rPr>
          <w:rFonts w:ascii="Times New Roman" w:eastAsia="Times New Roman" w:hAnsi="Times New Roman" w:cs="Times New Roman"/>
          <w:sz w:val="24"/>
          <w:szCs w:val="24"/>
        </w:rPr>
      </w:pPr>
      <w:r w:rsidRPr="003E7FBD">
        <w:rPr>
          <w:rFonts w:ascii="Times New Roman" w:eastAsia="Times New Roman" w:hAnsi="Times New Roman" w:cs="Times New Roman"/>
          <w:sz w:val="24"/>
          <w:szCs w:val="24"/>
        </w:rPr>
        <w:t>To explore these possibilities, element partitioning between olivine and simple silicate melts has been studied under circumstances where the activity-composition relations of the elements of interest in the olivine are reasonably well known. Thus, variations in partitioning behavior and, therefore, structural behavior, in the melts might be understood in terms of activity-composition variations.</w:t>
      </w:r>
    </w:p>
    <w:p w:rsidR="003E7FBD" w:rsidRPr="003E7FBD" w:rsidRDefault="003E7FBD" w:rsidP="003E7FBD">
      <w:pPr>
        <w:spacing w:before="100" w:beforeAutospacing="1" w:after="100" w:afterAutospacing="1" w:line="240" w:lineRule="auto"/>
        <w:outlineLvl w:val="1"/>
        <w:rPr>
          <w:rFonts w:ascii="Times New Roman" w:eastAsia="Times New Roman" w:hAnsi="Times New Roman" w:cs="Times New Roman"/>
          <w:b/>
          <w:bCs/>
          <w:sz w:val="36"/>
          <w:szCs w:val="36"/>
        </w:rPr>
      </w:pPr>
      <w:r w:rsidRPr="003E7FBD">
        <w:rPr>
          <w:rFonts w:ascii="Times New Roman" w:eastAsia="Times New Roman" w:hAnsi="Times New Roman" w:cs="Times New Roman"/>
          <w:b/>
          <w:bCs/>
          <w:sz w:val="36"/>
          <w:szCs w:val="36"/>
        </w:rPr>
        <w:t>Section snippets</w:t>
      </w:r>
    </w:p>
    <w:p w:rsidR="003E7FBD" w:rsidRPr="003E7FBD" w:rsidRDefault="003E7FBD" w:rsidP="003E7FBD">
      <w:pPr>
        <w:spacing w:before="100" w:beforeAutospacing="1" w:after="100" w:afterAutospacing="1" w:line="240" w:lineRule="auto"/>
        <w:outlineLvl w:val="1"/>
        <w:rPr>
          <w:rFonts w:ascii="Times New Roman" w:eastAsia="Times New Roman" w:hAnsi="Times New Roman" w:cs="Times New Roman"/>
          <w:b/>
          <w:bCs/>
          <w:sz w:val="36"/>
          <w:szCs w:val="36"/>
        </w:rPr>
      </w:pPr>
      <w:r w:rsidRPr="003E7FBD">
        <w:rPr>
          <w:rFonts w:ascii="Times New Roman" w:eastAsia="Times New Roman" w:hAnsi="Times New Roman" w:cs="Times New Roman"/>
          <w:b/>
          <w:bCs/>
          <w:sz w:val="36"/>
          <w:szCs w:val="36"/>
        </w:rPr>
        <w:t>Experimental methods</w:t>
      </w:r>
    </w:p>
    <w:p w:rsidR="003E7FBD" w:rsidRPr="003E7FBD" w:rsidRDefault="003E7FBD" w:rsidP="003E7FBD">
      <w:pPr>
        <w:spacing w:before="100" w:beforeAutospacing="1" w:after="100" w:afterAutospacing="1" w:line="240" w:lineRule="auto"/>
        <w:rPr>
          <w:rFonts w:ascii="Times New Roman" w:eastAsia="Times New Roman" w:hAnsi="Times New Roman" w:cs="Times New Roman"/>
          <w:sz w:val="24"/>
          <w:szCs w:val="24"/>
        </w:rPr>
      </w:pPr>
      <w:r w:rsidRPr="003E7FBD">
        <w:rPr>
          <w:rFonts w:ascii="Times New Roman" w:eastAsia="Times New Roman" w:hAnsi="Times New Roman" w:cs="Times New Roman"/>
          <w:sz w:val="24"/>
          <w:szCs w:val="24"/>
        </w:rPr>
        <w:t xml:space="preserve">In silicate melts, ionic radius is a critical factor governing the interaction of network-modifying cations with nonbridging oxygen (e.g., </w:t>
      </w:r>
      <w:proofErr w:type="spellStart"/>
      <w:r w:rsidRPr="003E7FBD">
        <w:rPr>
          <w:rFonts w:ascii="Times New Roman" w:eastAsia="Times New Roman" w:hAnsi="Times New Roman" w:cs="Times New Roman"/>
          <w:sz w:val="24"/>
          <w:szCs w:val="24"/>
        </w:rPr>
        <w:t>Mysen</w:t>
      </w:r>
      <w:proofErr w:type="spellEnd"/>
      <w:r w:rsidRPr="003E7FBD">
        <w:rPr>
          <w:rFonts w:ascii="Times New Roman" w:eastAsia="Times New Roman" w:hAnsi="Times New Roman" w:cs="Times New Roman"/>
          <w:sz w:val="24"/>
          <w:szCs w:val="24"/>
        </w:rPr>
        <w:t xml:space="preserve">, 1999; Lee and Stebbins, 2003; </w:t>
      </w:r>
      <w:proofErr w:type="spellStart"/>
      <w:r w:rsidRPr="003E7FBD">
        <w:rPr>
          <w:rFonts w:ascii="Times New Roman" w:eastAsia="Times New Roman" w:hAnsi="Times New Roman" w:cs="Times New Roman"/>
          <w:sz w:val="24"/>
          <w:szCs w:val="24"/>
        </w:rPr>
        <w:t>Mysen</w:t>
      </w:r>
      <w:proofErr w:type="spellEnd"/>
      <w:r w:rsidRPr="003E7FBD">
        <w:rPr>
          <w:rFonts w:ascii="Times New Roman" w:eastAsia="Times New Roman" w:hAnsi="Times New Roman" w:cs="Times New Roman"/>
          <w:sz w:val="24"/>
          <w:szCs w:val="24"/>
        </w:rPr>
        <w:t xml:space="preserve"> and Richet, 2005). The consequences of these interactions for element partitioning between minerals and melts can be examined provided that the composition-activity relations in the minerals are known.</w:t>
      </w:r>
    </w:p>
    <w:p w:rsidR="003E7FBD" w:rsidRPr="003E7FBD" w:rsidRDefault="003E7FBD" w:rsidP="003E7FBD">
      <w:pPr>
        <w:spacing w:before="100" w:beforeAutospacing="1" w:after="100" w:afterAutospacing="1" w:line="240" w:lineRule="auto"/>
        <w:rPr>
          <w:rFonts w:ascii="Times New Roman" w:eastAsia="Times New Roman" w:hAnsi="Times New Roman" w:cs="Times New Roman"/>
          <w:sz w:val="24"/>
          <w:szCs w:val="24"/>
        </w:rPr>
      </w:pPr>
      <w:r w:rsidRPr="003E7FBD">
        <w:rPr>
          <w:rFonts w:ascii="Times New Roman" w:eastAsia="Times New Roman" w:hAnsi="Times New Roman" w:cs="Times New Roman"/>
          <w:sz w:val="24"/>
          <w:szCs w:val="24"/>
        </w:rPr>
        <w:t>Olivine/melt partitioning of Ca</w:t>
      </w:r>
      <w:r w:rsidRPr="003E7FBD">
        <w:rPr>
          <w:rFonts w:ascii="Times New Roman" w:eastAsia="Times New Roman" w:hAnsi="Times New Roman" w:cs="Times New Roman"/>
          <w:sz w:val="24"/>
          <w:szCs w:val="24"/>
          <w:vertAlign w:val="superscript"/>
        </w:rPr>
        <w:t>2+</w:t>
      </w:r>
      <w:r w:rsidRPr="003E7FBD">
        <w:rPr>
          <w:rFonts w:ascii="Times New Roman" w:eastAsia="Times New Roman" w:hAnsi="Times New Roman" w:cs="Times New Roman"/>
          <w:sz w:val="24"/>
          <w:szCs w:val="24"/>
        </w:rPr>
        <w:t xml:space="preserve"> and Mn</w:t>
      </w:r>
      <w:r w:rsidRPr="003E7FBD">
        <w:rPr>
          <w:rFonts w:ascii="Times New Roman" w:eastAsia="Times New Roman" w:hAnsi="Times New Roman" w:cs="Times New Roman"/>
          <w:sz w:val="24"/>
          <w:szCs w:val="24"/>
          <w:vertAlign w:val="superscript"/>
        </w:rPr>
        <w:t>2+</w:t>
      </w:r>
      <w:r w:rsidRPr="003E7FBD">
        <w:rPr>
          <w:rFonts w:ascii="Times New Roman" w:eastAsia="Times New Roman" w:hAnsi="Times New Roman" w:cs="Times New Roman"/>
          <w:sz w:val="24"/>
          <w:szCs w:val="24"/>
        </w:rPr>
        <w:t xml:space="preserve"> and Fe</w:t>
      </w:r>
      <w:r w:rsidRPr="003E7FBD">
        <w:rPr>
          <w:rFonts w:ascii="Times New Roman" w:eastAsia="Times New Roman" w:hAnsi="Times New Roman" w:cs="Times New Roman"/>
          <w:sz w:val="24"/>
          <w:szCs w:val="24"/>
          <w:vertAlign w:val="superscript"/>
        </w:rPr>
        <w:t>2+</w:t>
      </w:r>
      <w:r w:rsidRPr="003E7FBD">
        <w:rPr>
          <w:rFonts w:ascii="Times New Roman" w:eastAsia="Times New Roman" w:hAnsi="Times New Roman" w:cs="Times New Roman"/>
          <w:sz w:val="24"/>
          <w:szCs w:val="24"/>
        </w:rPr>
        <w:t xml:space="preserve"> and Mg was studied for this purpose in part because the</w:t>
      </w:r>
    </w:p>
    <w:p w:rsidR="003E7FBD" w:rsidRPr="003E7FBD" w:rsidRDefault="003E7FBD" w:rsidP="003E7FBD">
      <w:pPr>
        <w:spacing w:before="100" w:beforeAutospacing="1" w:after="100" w:afterAutospacing="1" w:line="240" w:lineRule="auto"/>
        <w:outlineLvl w:val="1"/>
        <w:rPr>
          <w:rFonts w:ascii="Times New Roman" w:eastAsia="Times New Roman" w:hAnsi="Times New Roman" w:cs="Times New Roman"/>
          <w:b/>
          <w:bCs/>
          <w:sz w:val="36"/>
          <w:szCs w:val="36"/>
        </w:rPr>
      </w:pPr>
      <w:r w:rsidRPr="003E7FBD">
        <w:rPr>
          <w:rFonts w:ascii="Times New Roman" w:eastAsia="Times New Roman" w:hAnsi="Times New Roman" w:cs="Times New Roman"/>
          <w:b/>
          <w:bCs/>
          <w:sz w:val="36"/>
          <w:szCs w:val="36"/>
        </w:rPr>
        <w:lastRenderedPageBreak/>
        <w:t>Redox Ratio of Iron and Degree of Melt Polymerization, NBO/T</w:t>
      </w:r>
    </w:p>
    <w:p w:rsidR="003E7FBD" w:rsidRPr="003E7FBD" w:rsidRDefault="003E7FBD" w:rsidP="003E7FBD">
      <w:pPr>
        <w:spacing w:before="100" w:beforeAutospacing="1" w:after="100" w:afterAutospacing="1" w:line="240" w:lineRule="auto"/>
        <w:rPr>
          <w:rFonts w:ascii="Times New Roman" w:eastAsia="Times New Roman" w:hAnsi="Times New Roman" w:cs="Times New Roman"/>
          <w:sz w:val="24"/>
          <w:szCs w:val="24"/>
        </w:rPr>
      </w:pPr>
      <w:r w:rsidRPr="003E7FBD">
        <w:rPr>
          <w:rFonts w:ascii="Times New Roman" w:eastAsia="Times New Roman" w:hAnsi="Times New Roman" w:cs="Times New Roman"/>
          <w:sz w:val="24"/>
          <w:szCs w:val="24"/>
        </w:rPr>
        <w:t xml:space="preserve">Existing structural data for ambient-pressure, iron-free silicate and aluminosilicate glass and melt are sufficient to calculate their NBO/T (degree of polymerization of the silicate network) from their major-element composition (see </w:t>
      </w:r>
      <w:proofErr w:type="spellStart"/>
      <w:r w:rsidRPr="003E7FBD">
        <w:rPr>
          <w:rFonts w:ascii="Times New Roman" w:eastAsia="Times New Roman" w:hAnsi="Times New Roman" w:cs="Times New Roman"/>
          <w:sz w:val="24"/>
          <w:szCs w:val="24"/>
        </w:rPr>
        <w:t>Mysen</w:t>
      </w:r>
      <w:proofErr w:type="spellEnd"/>
      <w:r w:rsidRPr="003E7FBD">
        <w:rPr>
          <w:rFonts w:ascii="Times New Roman" w:eastAsia="Times New Roman" w:hAnsi="Times New Roman" w:cs="Times New Roman"/>
          <w:sz w:val="24"/>
          <w:szCs w:val="24"/>
        </w:rPr>
        <w:t xml:space="preserve"> 1990, </w:t>
      </w:r>
      <w:proofErr w:type="spellStart"/>
      <w:r w:rsidRPr="003E7FBD">
        <w:rPr>
          <w:rFonts w:ascii="Times New Roman" w:eastAsia="Times New Roman" w:hAnsi="Times New Roman" w:cs="Times New Roman"/>
          <w:sz w:val="24"/>
          <w:szCs w:val="24"/>
        </w:rPr>
        <w:t>Mysen</w:t>
      </w:r>
      <w:proofErr w:type="spellEnd"/>
      <w:r w:rsidRPr="003E7FBD">
        <w:rPr>
          <w:rFonts w:ascii="Times New Roman" w:eastAsia="Times New Roman" w:hAnsi="Times New Roman" w:cs="Times New Roman"/>
          <w:sz w:val="24"/>
          <w:szCs w:val="24"/>
        </w:rPr>
        <w:t xml:space="preserve"> 2003, for discussion and review of these data and NBO/T calculations). For Fe-bearing glasses and melts, additional information needed to calculate NBO/T is their Fe</w:t>
      </w:r>
      <w:r w:rsidRPr="003E7FBD">
        <w:rPr>
          <w:rFonts w:ascii="Times New Roman" w:eastAsia="Times New Roman" w:hAnsi="Times New Roman" w:cs="Times New Roman"/>
          <w:sz w:val="24"/>
          <w:szCs w:val="24"/>
          <w:vertAlign w:val="superscript"/>
        </w:rPr>
        <w:t>3+</w:t>
      </w:r>
      <w:r w:rsidRPr="003E7FBD">
        <w:rPr>
          <w:rFonts w:ascii="Times New Roman" w:eastAsia="Times New Roman" w:hAnsi="Times New Roman" w:cs="Times New Roman"/>
          <w:sz w:val="24"/>
          <w:szCs w:val="24"/>
        </w:rPr>
        <w:t>/</w:t>
      </w:r>
      <w:proofErr w:type="spellStart"/>
      <w:r w:rsidRPr="003E7FBD">
        <w:rPr>
          <w:rFonts w:ascii="Times New Roman" w:eastAsia="Times New Roman" w:hAnsi="Times New Roman" w:cs="Times New Roman"/>
          <w:sz w:val="24"/>
          <w:szCs w:val="24"/>
        </w:rPr>
        <w:t>ΣFe</w:t>
      </w:r>
      <w:proofErr w:type="spellEnd"/>
      <w:r w:rsidRPr="003E7FBD">
        <w:rPr>
          <w:rFonts w:ascii="Times New Roman" w:eastAsia="Times New Roman" w:hAnsi="Times New Roman" w:cs="Times New Roman"/>
          <w:sz w:val="24"/>
          <w:szCs w:val="24"/>
        </w:rPr>
        <w:t>. The structural role or roles of Fe</w:t>
      </w:r>
      <w:r w:rsidRPr="003E7FBD">
        <w:rPr>
          <w:rFonts w:ascii="Times New Roman" w:eastAsia="Times New Roman" w:hAnsi="Times New Roman" w:cs="Times New Roman"/>
          <w:sz w:val="24"/>
          <w:szCs w:val="24"/>
          <w:vertAlign w:val="superscript"/>
        </w:rPr>
        <w:t>2+</w:t>
      </w:r>
      <w:r w:rsidRPr="003E7FBD">
        <w:rPr>
          <w:rFonts w:ascii="Times New Roman" w:eastAsia="Times New Roman" w:hAnsi="Times New Roman" w:cs="Times New Roman"/>
          <w:sz w:val="24"/>
          <w:szCs w:val="24"/>
        </w:rPr>
        <w:t xml:space="preserve"> and Fe</w:t>
      </w:r>
      <w:r w:rsidRPr="003E7FBD">
        <w:rPr>
          <w:rFonts w:ascii="Times New Roman" w:eastAsia="Times New Roman" w:hAnsi="Times New Roman" w:cs="Times New Roman"/>
          <w:sz w:val="24"/>
          <w:szCs w:val="24"/>
          <w:vertAlign w:val="superscript"/>
        </w:rPr>
        <w:t>3+</w:t>
      </w:r>
      <w:r w:rsidRPr="003E7FBD">
        <w:rPr>
          <w:rFonts w:ascii="Times New Roman" w:eastAsia="Times New Roman" w:hAnsi="Times New Roman" w:cs="Times New Roman"/>
          <w:sz w:val="24"/>
          <w:szCs w:val="24"/>
        </w:rPr>
        <w:t xml:space="preserve"> in the melt must also be</w:t>
      </w:r>
    </w:p>
    <w:p w:rsidR="003E7FBD" w:rsidRPr="003E7FBD" w:rsidRDefault="003E7FBD" w:rsidP="003E7FBD">
      <w:pPr>
        <w:spacing w:before="100" w:beforeAutospacing="1" w:after="100" w:afterAutospacing="1" w:line="240" w:lineRule="auto"/>
        <w:outlineLvl w:val="1"/>
        <w:rPr>
          <w:rFonts w:ascii="Times New Roman" w:eastAsia="Times New Roman" w:hAnsi="Times New Roman" w:cs="Times New Roman"/>
          <w:b/>
          <w:bCs/>
          <w:sz w:val="36"/>
          <w:szCs w:val="36"/>
        </w:rPr>
      </w:pPr>
      <w:r w:rsidRPr="003E7FBD">
        <w:rPr>
          <w:rFonts w:ascii="Times New Roman" w:eastAsia="Times New Roman" w:hAnsi="Times New Roman" w:cs="Times New Roman"/>
          <w:b/>
          <w:bCs/>
          <w:sz w:val="36"/>
          <w:szCs w:val="36"/>
        </w:rPr>
        <w:t>Discussion</w:t>
      </w:r>
    </w:p>
    <w:p w:rsidR="003E7FBD" w:rsidRPr="003E7FBD" w:rsidRDefault="003E7FBD" w:rsidP="003E7FBD">
      <w:pPr>
        <w:spacing w:before="100" w:beforeAutospacing="1" w:after="100" w:afterAutospacing="1" w:line="240" w:lineRule="auto"/>
        <w:rPr>
          <w:rFonts w:ascii="Times New Roman" w:eastAsia="Times New Roman" w:hAnsi="Times New Roman" w:cs="Times New Roman"/>
          <w:sz w:val="24"/>
          <w:szCs w:val="24"/>
        </w:rPr>
      </w:pPr>
      <w:r w:rsidRPr="003E7FBD">
        <w:rPr>
          <w:rFonts w:ascii="Times New Roman" w:eastAsia="Times New Roman" w:hAnsi="Times New Roman" w:cs="Times New Roman"/>
          <w:sz w:val="24"/>
          <w:szCs w:val="24"/>
        </w:rPr>
        <w:t>The relationships indicated by the open symbols in Figures 4– reflect relative affinities of Na</w:t>
      </w:r>
      <w:r w:rsidRPr="003E7FBD">
        <w:rPr>
          <w:rFonts w:ascii="Times New Roman" w:eastAsia="Times New Roman" w:hAnsi="Times New Roman" w:cs="Times New Roman"/>
          <w:sz w:val="24"/>
          <w:szCs w:val="24"/>
          <w:vertAlign w:val="superscript"/>
        </w:rPr>
        <w:t>+</w:t>
      </w:r>
      <w:r w:rsidRPr="003E7FBD">
        <w:rPr>
          <w:rFonts w:ascii="Times New Roman" w:eastAsia="Times New Roman" w:hAnsi="Times New Roman" w:cs="Times New Roman"/>
          <w:sz w:val="24"/>
          <w:szCs w:val="24"/>
        </w:rPr>
        <w:t>, Ca</w:t>
      </w:r>
      <w:r w:rsidRPr="003E7FBD">
        <w:rPr>
          <w:rFonts w:ascii="Times New Roman" w:eastAsia="Times New Roman" w:hAnsi="Times New Roman" w:cs="Times New Roman"/>
          <w:sz w:val="24"/>
          <w:szCs w:val="24"/>
          <w:vertAlign w:val="superscript"/>
        </w:rPr>
        <w:t>2+</w:t>
      </w:r>
      <w:r w:rsidRPr="003E7FBD">
        <w:rPr>
          <w:rFonts w:ascii="Times New Roman" w:eastAsia="Times New Roman" w:hAnsi="Times New Roman" w:cs="Times New Roman"/>
          <w:sz w:val="24"/>
          <w:szCs w:val="24"/>
        </w:rPr>
        <w:t>, Mn</w:t>
      </w:r>
      <w:r w:rsidRPr="003E7FBD">
        <w:rPr>
          <w:rFonts w:ascii="Times New Roman" w:eastAsia="Times New Roman" w:hAnsi="Times New Roman" w:cs="Times New Roman"/>
          <w:sz w:val="24"/>
          <w:szCs w:val="24"/>
          <w:vertAlign w:val="superscript"/>
        </w:rPr>
        <w:t>2+</w:t>
      </w:r>
      <w:r w:rsidRPr="003E7FBD">
        <w:rPr>
          <w:rFonts w:ascii="Times New Roman" w:eastAsia="Times New Roman" w:hAnsi="Times New Roman" w:cs="Times New Roman"/>
          <w:sz w:val="24"/>
          <w:szCs w:val="24"/>
        </w:rPr>
        <w:t>, Mg</w:t>
      </w:r>
      <w:r w:rsidRPr="003E7FBD">
        <w:rPr>
          <w:rFonts w:ascii="Times New Roman" w:eastAsia="Times New Roman" w:hAnsi="Times New Roman" w:cs="Times New Roman"/>
          <w:sz w:val="24"/>
          <w:szCs w:val="24"/>
          <w:vertAlign w:val="superscript"/>
        </w:rPr>
        <w:t>2+</w:t>
      </w:r>
      <w:r w:rsidRPr="003E7FBD">
        <w:rPr>
          <w:rFonts w:ascii="Times New Roman" w:eastAsia="Times New Roman" w:hAnsi="Times New Roman" w:cs="Times New Roman"/>
          <w:sz w:val="24"/>
          <w:szCs w:val="24"/>
        </w:rPr>
        <w:t>, and Fe</w:t>
      </w:r>
      <w:r w:rsidRPr="003E7FBD">
        <w:rPr>
          <w:rFonts w:ascii="Times New Roman" w:eastAsia="Times New Roman" w:hAnsi="Times New Roman" w:cs="Times New Roman"/>
          <w:sz w:val="24"/>
          <w:szCs w:val="24"/>
          <w:vertAlign w:val="superscript"/>
        </w:rPr>
        <w:t>2+</w:t>
      </w:r>
      <w:r w:rsidRPr="003E7FBD">
        <w:rPr>
          <w:rFonts w:ascii="Times New Roman" w:eastAsia="Times New Roman" w:hAnsi="Times New Roman" w:cs="Times New Roman"/>
          <w:sz w:val="24"/>
          <w:szCs w:val="24"/>
        </w:rPr>
        <w:t xml:space="preserve"> for nonbridging oxygen in the different </w:t>
      </w:r>
      <w:proofErr w:type="spellStart"/>
      <w:r w:rsidRPr="003E7FBD">
        <w:rPr>
          <w:rFonts w:ascii="Times New Roman" w:eastAsia="Times New Roman" w:hAnsi="Times New Roman" w:cs="Times New Roman"/>
          <w:sz w:val="24"/>
          <w:szCs w:val="24"/>
        </w:rPr>
        <w:t>Q</w:t>
      </w:r>
      <w:r w:rsidRPr="003E7FBD">
        <w:rPr>
          <w:rFonts w:ascii="Times New Roman" w:eastAsia="Times New Roman" w:hAnsi="Times New Roman" w:cs="Times New Roman"/>
          <w:sz w:val="24"/>
          <w:szCs w:val="24"/>
          <w:vertAlign w:val="superscript"/>
        </w:rPr>
        <w:t>n</w:t>
      </w:r>
      <w:proofErr w:type="spellEnd"/>
      <w:r w:rsidRPr="003E7FBD">
        <w:rPr>
          <w:rFonts w:ascii="Times New Roman" w:eastAsia="Times New Roman" w:hAnsi="Times New Roman" w:cs="Times New Roman"/>
          <w:sz w:val="24"/>
          <w:szCs w:val="24"/>
        </w:rPr>
        <w:t xml:space="preserve">-species in melts coexisting with olivine. From existing structural data on relations between </w:t>
      </w:r>
      <w:proofErr w:type="spellStart"/>
      <w:r w:rsidRPr="003E7FBD">
        <w:rPr>
          <w:rFonts w:ascii="Times New Roman" w:eastAsia="Times New Roman" w:hAnsi="Times New Roman" w:cs="Times New Roman"/>
          <w:sz w:val="24"/>
          <w:szCs w:val="24"/>
        </w:rPr>
        <w:t>Q</w:t>
      </w:r>
      <w:r w:rsidRPr="003E7FBD">
        <w:rPr>
          <w:rFonts w:ascii="Times New Roman" w:eastAsia="Times New Roman" w:hAnsi="Times New Roman" w:cs="Times New Roman"/>
          <w:sz w:val="24"/>
          <w:szCs w:val="24"/>
          <w:vertAlign w:val="superscript"/>
        </w:rPr>
        <w:t>n</w:t>
      </w:r>
      <w:proofErr w:type="spellEnd"/>
      <w:r w:rsidRPr="003E7FBD">
        <w:rPr>
          <w:rFonts w:ascii="Times New Roman" w:eastAsia="Times New Roman" w:hAnsi="Times New Roman" w:cs="Times New Roman"/>
          <w:sz w:val="24"/>
          <w:szCs w:val="24"/>
        </w:rPr>
        <w:t xml:space="preserve"> abundance of metal oxide-silica melts and ionic radius and electrical charge of the metal cations, variations in Na/(</w:t>
      </w:r>
      <w:proofErr w:type="spellStart"/>
      <w:r w:rsidRPr="003E7FBD">
        <w:rPr>
          <w:rFonts w:ascii="Times New Roman" w:eastAsia="Times New Roman" w:hAnsi="Times New Roman" w:cs="Times New Roman"/>
          <w:sz w:val="24"/>
          <w:szCs w:val="24"/>
        </w:rPr>
        <w:t>Na+Ca</w:t>
      </w:r>
      <w:proofErr w:type="spellEnd"/>
      <w:r w:rsidRPr="003E7FBD">
        <w:rPr>
          <w:rFonts w:ascii="Times New Roman" w:eastAsia="Times New Roman" w:hAnsi="Times New Roman" w:cs="Times New Roman"/>
          <w:sz w:val="24"/>
          <w:szCs w:val="24"/>
        </w:rPr>
        <w:t xml:space="preserve">) of melts likely affect the </w:t>
      </w:r>
      <w:proofErr w:type="spellStart"/>
      <w:r w:rsidRPr="003E7FBD">
        <w:rPr>
          <w:rFonts w:ascii="Times New Roman" w:eastAsia="Times New Roman" w:hAnsi="Times New Roman" w:cs="Times New Roman"/>
          <w:sz w:val="24"/>
          <w:szCs w:val="24"/>
        </w:rPr>
        <w:t>Q</w:t>
      </w:r>
      <w:r w:rsidRPr="003E7FBD">
        <w:rPr>
          <w:rFonts w:ascii="Times New Roman" w:eastAsia="Times New Roman" w:hAnsi="Times New Roman" w:cs="Times New Roman"/>
          <w:sz w:val="24"/>
          <w:szCs w:val="24"/>
          <w:vertAlign w:val="superscript"/>
        </w:rPr>
        <w:t>n</w:t>
      </w:r>
      <w:proofErr w:type="spellEnd"/>
      <w:r w:rsidRPr="003E7FBD">
        <w:rPr>
          <w:rFonts w:ascii="Times New Roman" w:eastAsia="Times New Roman" w:hAnsi="Times New Roman" w:cs="Times New Roman"/>
          <w:sz w:val="24"/>
          <w:szCs w:val="24"/>
        </w:rPr>
        <w:t xml:space="preserve"> abundance in the melts. The Q</w:t>
      </w:r>
      <w:r w:rsidRPr="003E7FBD">
        <w:rPr>
          <w:rFonts w:ascii="Times New Roman" w:eastAsia="Times New Roman" w:hAnsi="Times New Roman" w:cs="Times New Roman"/>
          <w:sz w:val="24"/>
          <w:szCs w:val="24"/>
          <w:vertAlign w:val="superscript"/>
        </w:rPr>
        <w:t>3</w:t>
      </w:r>
      <w:r w:rsidRPr="003E7FBD">
        <w:rPr>
          <w:rFonts w:ascii="Times New Roman" w:eastAsia="Times New Roman" w:hAnsi="Times New Roman" w:cs="Times New Roman"/>
          <w:sz w:val="24"/>
          <w:szCs w:val="24"/>
        </w:rPr>
        <w:t>/Q</w:t>
      </w:r>
      <w:r w:rsidRPr="003E7FBD">
        <w:rPr>
          <w:rFonts w:ascii="Times New Roman" w:eastAsia="Times New Roman" w:hAnsi="Times New Roman" w:cs="Times New Roman"/>
          <w:sz w:val="24"/>
          <w:szCs w:val="24"/>
          <w:vertAlign w:val="superscript"/>
        </w:rPr>
        <w:t>2</w:t>
      </w:r>
      <w:r w:rsidRPr="003E7FBD">
        <w:rPr>
          <w:rFonts w:ascii="Times New Roman" w:eastAsia="Times New Roman" w:hAnsi="Times New Roman" w:cs="Times New Roman"/>
          <w:sz w:val="24"/>
          <w:szCs w:val="24"/>
        </w:rPr>
        <w:t xml:space="preserve"> abundance ratio increases with Na/(</w:t>
      </w:r>
      <w:proofErr w:type="spellStart"/>
      <w:r w:rsidRPr="003E7FBD">
        <w:rPr>
          <w:rFonts w:ascii="Times New Roman" w:eastAsia="Times New Roman" w:hAnsi="Times New Roman" w:cs="Times New Roman"/>
          <w:sz w:val="24"/>
          <w:szCs w:val="24"/>
        </w:rPr>
        <w:t>Na+Ca</w:t>
      </w:r>
      <w:proofErr w:type="spellEnd"/>
      <w:r w:rsidRPr="003E7FBD">
        <w:rPr>
          <w:rFonts w:ascii="Times New Roman" w:eastAsia="Times New Roman" w:hAnsi="Times New Roman" w:cs="Times New Roman"/>
          <w:sz w:val="24"/>
          <w:szCs w:val="24"/>
        </w:rPr>
        <w:t>) (</w:t>
      </w:r>
    </w:p>
    <w:p w:rsidR="003E7FBD" w:rsidRPr="003E7FBD" w:rsidRDefault="003E7FBD" w:rsidP="003E7FBD">
      <w:pPr>
        <w:spacing w:before="100" w:beforeAutospacing="1" w:after="100" w:afterAutospacing="1" w:line="240" w:lineRule="auto"/>
        <w:outlineLvl w:val="1"/>
        <w:rPr>
          <w:rFonts w:ascii="Times New Roman" w:eastAsia="Times New Roman" w:hAnsi="Times New Roman" w:cs="Times New Roman"/>
          <w:b/>
          <w:bCs/>
          <w:sz w:val="36"/>
          <w:szCs w:val="36"/>
        </w:rPr>
      </w:pPr>
      <w:r w:rsidRPr="003E7FBD">
        <w:rPr>
          <w:rFonts w:ascii="Times New Roman" w:eastAsia="Times New Roman" w:hAnsi="Times New Roman" w:cs="Times New Roman"/>
          <w:b/>
          <w:bCs/>
          <w:sz w:val="36"/>
          <w:szCs w:val="36"/>
        </w:rPr>
        <w:t>Acknowledgments</w:t>
      </w:r>
    </w:p>
    <w:p w:rsidR="003E7FBD" w:rsidRPr="003E7FBD" w:rsidRDefault="003E7FBD" w:rsidP="003E7FBD">
      <w:pPr>
        <w:spacing w:before="100" w:beforeAutospacing="1" w:after="100" w:afterAutospacing="1" w:line="240" w:lineRule="auto"/>
        <w:rPr>
          <w:rFonts w:ascii="Times New Roman" w:eastAsia="Times New Roman" w:hAnsi="Times New Roman" w:cs="Times New Roman"/>
          <w:sz w:val="24"/>
          <w:szCs w:val="24"/>
        </w:rPr>
      </w:pPr>
      <w:r w:rsidRPr="003E7FBD">
        <w:rPr>
          <w:rFonts w:ascii="Times New Roman" w:eastAsia="Times New Roman" w:hAnsi="Times New Roman" w:cs="Times New Roman"/>
          <w:sz w:val="24"/>
          <w:szCs w:val="24"/>
        </w:rPr>
        <w:t>This research was conducted with partial support from NSF grants EAR-9901886 and -0405383, and an REU grant from NSF to the Carnegie Institution of Washington. Critical comments by K. Russell, F. Gaillard, and an anonymous reviewer are appreciated.</w:t>
      </w:r>
    </w:p>
    <w:p w:rsidR="008F1F6A" w:rsidRDefault="008F1F6A"/>
    <w:sectPr w:rsidR="008F1F6A">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7FBD"/>
    <w:rsid w:val="003E7FBD"/>
    <w:rsid w:val="008F1F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A157A4"/>
  <w15:chartTrackingRefBased/>
  <w15:docId w15:val="{C51ACD4E-2D96-460C-ADF1-41807CB3CB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38105511">
      <w:bodyDiv w:val="1"/>
      <w:marLeft w:val="0"/>
      <w:marRight w:val="0"/>
      <w:marTop w:val="0"/>
      <w:marBottom w:val="0"/>
      <w:divBdr>
        <w:top w:val="none" w:sz="0" w:space="0" w:color="auto"/>
        <w:left w:val="none" w:sz="0" w:space="0" w:color="auto"/>
        <w:bottom w:val="none" w:sz="0" w:space="0" w:color="auto"/>
        <w:right w:val="none" w:sz="0" w:space="0" w:color="auto"/>
      </w:divBdr>
      <w:divsChild>
        <w:div w:id="738600180">
          <w:marLeft w:val="0"/>
          <w:marRight w:val="0"/>
          <w:marTop w:val="0"/>
          <w:marBottom w:val="0"/>
          <w:divBdr>
            <w:top w:val="none" w:sz="0" w:space="0" w:color="auto"/>
            <w:left w:val="none" w:sz="0" w:space="0" w:color="auto"/>
            <w:bottom w:val="none" w:sz="0" w:space="0" w:color="auto"/>
            <w:right w:val="none" w:sz="0" w:space="0" w:color="auto"/>
          </w:divBdr>
          <w:divsChild>
            <w:div w:id="1491873249">
              <w:marLeft w:val="0"/>
              <w:marRight w:val="0"/>
              <w:marTop w:val="0"/>
              <w:marBottom w:val="0"/>
              <w:divBdr>
                <w:top w:val="none" w:sz="0" w:space="0" w:color="auto"/>
                <w:left w:val="none" w:sz="0" w:space="0" w:color="auto"/>
                <w:bottom w:val="none" w:sz="0" w:space="0" w:color="auto"/>
                <w:right w:val="none" w:sz="0" w:space="0" w:color="auto"/>
              </w:divBdr>
              <w:divsChild>
                <w:div w:id="916865438">
                  <w:marLeft w:val="0"/>
                  <w:marRight w:val="0"/>
                  <w:marTop w:val="0"/>
                  <w:marBottom w:val="0"/>
                  <w:divBdr>
                    <w:top w:val="none" w:sz="0" w:space="0" w:color="auto"/>
                    <w:left w:val="none" w:sz="0" w:space="0" w:color="auto"/>
                    <w:bottom w:val="none" w:sz="0" w:space="0" w:color="auto"/>
                    <w:right w:val="none" w:sz="0" w:space="0" w:color="auto"/>
                  </w:divBdr>
                  <w:divsChild>
                    <w:div w:id="364990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3512445">
          <w:marLeft w:val="0"/>
          <w:marRight w:val="0"/>
          <w:marTop w:val="0"/>
          <w:marBottom w:val="0"/>
          <w:divBdr>
            <w:top w:val="none" w:sz="0" w:space="0" w:color="auto"/>
            <w:left w:val="none" w:sz="0" w:space="0" w:color="auto"/>
            <w:bottom w:val="none" w:sz="0" w:space="0" w:color="auto"/>
            <w:right w:val="none" w:sz="0" w:space="0" w:color="auto"/>
          </w:divBdr>
          <w:divsChild>
            <w:div w:id="1168254826">
              <w:marLeft w:val="0"/>
              <w:marRight w:val="0"/>
              <w:marTop w:val="0"/>
              <w:marBottom w:val="0"/>
              <w:divBdr>
                <w:top w:val="none" w:sz="0" w:space="0" w:color="auto"/>
                <w:left w:val="none" w:sz="0" w:space="0" w:color="auto"/>
                <w:bottom w:val="none" w:sz="0" w:space="0" w:color="auto"/>
                <w:right w:val="none" w:sz="0" w:space="0" w:color="auto"/>
              </w:divBdr>
              <w:divsChild>
                <w:div w:id="1643926098">
                  <w:marLeft w:val="0"/>
                  <w:marRight w:val="0"/>
                  <w:marTop w:val="0"/>
                  <w:marBottom w:val="0"/>
                  <w:divBdr>
                    <w:top w:val="none" w:sz="0" w:space="0" w:color="auto"/>
                    <w:left w:val="none" w:sz="0" w:space="0" w:color="auto"/>
                    <w:bottom w:val="none" w:sz="0" w:space="0" w:color="auto"/>
                    <w:right w:val="none" w:sz="0" w:space="0" w:color="auto"/>
                  </w:divBdr>
                  <w:divsChild>
                    <w:div w:id="998385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3134598">
          <w:marLeft w:val="0"/>
          <w:marRight w:val="0"/>
          <w:marTop w:val="0"/>
          <w:marBottom w:val="0"/>
          <w:divBdr>
            <w:top w:val="none" w:sz="0" w:space="0" w:color="auto"/>
            <w:left w:val="none" w:sz="0" w:space="0" w:color="auto"/>
            <w:bottom w:val="none" w:sz="0" w:space="0" w:color="auto"/>
            <w:right w:val="none" w:sz="0" w:space="0" w:color="auto"/>
          </w:divBdr>
          <w:divsChild>
            <w:div w:id="588080416">
              <w:marLeft w:val="0"/>
              <w:marRight w:val="0"/>
              <w:marTop w:val="0"/>
              <w:marBottom w:val="0"/>
              <w:divBdr>
                <w:top w:val="none" w:sz="0" w:space="0" w:color="auto"/>
                <w:left w:val="none" w:sz="0" w:space="0" w:color="auto"/>
                <w:bottom w:val="none" w:sz="0" w:space="0" w:color="auto"/>
                <w:right w:val="none" w:sz="0" w:space="0" w:color="auto"/>
              </w:divBdr>
            </w:div>
          </w:divsChild>
        </w:div>
        <w:div w:id="478227681">
          <w:marLeft w:val="0"/>
          <w:marRight w:val="0"/>
          <w:marTop w:val="0"/>
          <w:marBottom w:val="0"/>
          <w:divBdr>
            <w:top w:val="none" w:sz="0" w:space="0" w:color="auto"/>
            <w:left w:val="none" w:sz="0" w:space="0" w:color="auto"/>
            <w:bottom w:val="none" w:sz="0" w:space="0" w:color="auto"/>
            <w:right w:val="none" w:sz="0" w:space="0" w:color="auto"/>
          </w:divBdr>
          <w:divsChild>
            <w:div w:id="1412894498">
              <w:marLeft w:val="0"/>
              <w:marRight w:val="0"/>
              <w:marTop w:val="0"/>
              <w:marBottom w:val="0"/>
              <w:divBdr>
                <w:top w:val="none" w:sz="0" w:space="0" w:color="auto"/>
                <w:left w:val="none" w:sz="0" w:space="0" w:color="auto"/>
                <w:bottom w:val="none" w:sz="0" w:space="0" w:color="auto"/>
                <w:right w:val="none" w:sz="0" w:space="0" w:color="auto"/>
              </w:divBdr>
            </w:div>
          </w:divsChild>
        </w:div>
        <w:div w:id="1835487100">
          <w:marLeft w:val="0"/>
          <w:marRight w:val="0"/>
          <w:marTop w:val="0"/>
          <w:marBottom w:val="0"/>
          <w:divBdr>
            <w:top w:val="none" w:sz="0" w:space="0" w:color="auto"/>
            <w:left w:val="none" w:sz="0" w:space="0" w:color="auto"/>
            <w:bottom w:val="none" w:sz="0" w:space="0" w:color="auto"/>
            <w:right w:val="none" w:sz="0" w:space="0" w:color="auto"/>
          </w:divBdr>
          <w:divsChild>
            <w:div w:id="1416244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partition-coefficient" TargetMode="External"/><Relationship Id="rId5" Type="http://schemas.openxmlformats.org/officeDocument/2006/relationships/hyperlink" Target="https://www.sciencedirect.com/topics/earth-and-planetary-sciences/partition-coefficient" TargetMode="External"/><Relationship Id="rId4" Type="http://schemas.openxmlformats.org/officeDocument/2006/relationships/hyperlink" Target="https://doi.org/10.1016/j.gca.2004.12.02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1179</Words>
  <Characters>6721</Characters>
  <Application>Microsoft Office Word</Application>
  <DocSecurity>0</DocSecurity>
  <Lines>56</Lines>
  <Paragraphs>15</Paragraphs>
  <ScaleCrop>false</ScaleCrop>
  <Company/>
  <LinksUpToDate>false</LinksUpToDate>
  <CharactersWithSpaces>7885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2023-11-18T08:53:00Z</dcterms:created>
  <dcterms:modified xsi:type="dcterms:W3CDTF">2023-11-18T08:53:00Z</dcterms:modified>
</cp:coreProperties>
</file>