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14B45" w:rsidRPr="00B14B45" w:rsidRDefault="00B14B45" w:rsidP="00B14B45">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B14B45">
        <w:rPr>
          <w:rFonts w:ascii="Times New Roman" w:eastAsia="Times New Roman" w:hAnsi="Times New Roman" w:cs="Times New Roman"/>
          <w:b/>
          <w:bCs/>
          <w:kern w:val="36"/>
          <w:sz w:val="48"/>
          <w:szCs w:val="48"/>
          <w:lang w:val="en-US" w:eastAsia="ru-RU"/>
        </w:rPr>
        <w:t>The Tambien Group, Ethiopia: An early Cryogenian (ca. 800–735 Ma) Neoproterozoic sequence in the Arabian–Nubian Shield</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Author links open overlay </w:t>
      </w:r>
      <w:proofErr w:type="spellStart"/>
      <w:r w:rsidRPr="00B14B45">
        <w:rPr>
          <w:rFonts w:ascii="Times New Roman" w:eastAsia="Times New Roman" w:hAnsi="Times New Roman" w:cs="Times New Roman"/>
          <w:sz w:val="24"/>
          <w:szCs w:val="24"/>
          <w:lang w:val="en-US" w:eastAsia="ru-RU"/>
        </w:rPr>
        <w:t>panelMulugeta</w:t>
      </w:r>
      <w:proofErr w:type="spellEnd"/>
      <w:r w:rsidRPr="00B14B45">
        <w:rPr>
          <w:rFonts w:ascii="Times New Roman" w:eastAsia="Times New Roman" w:hAnsi="Times New Roman" w:cs="Times New Roman"/>
          <w:sz w:val="24"/>
          <w:szCs w:val="24"/>
          <w:lang w:val="en-US" w:eastAsia="ru-RU"/>
        </w:rPr>
        <w:t xml:space="preserve"> Alene </w:t>
      </w:r>
      <w:r w:rsidRPr="00B14B45">
        <w:rPr>
          <w:rFonts w:ascii="Times New Roman" w:eastAsia="Times New Roman" w:hAnsi="Times New Roman" w:cs="Times New Roman"/>
          <w:sz w:val="24"/>
          <w:szCs w:val="24"/>
          <w:vertAlign w:val="superscript"/>
          <w:lang w:val="en-US" w:eastAsia="ru-RU"/>
        </w:rPr>
        <w:t>a</w:t>
      </w:r>
      <w:r w:rsidRPr="00B14B45">
        <w:rPr>
          <w:rFonts w:ascii="Times New Roman" w:eastAsia="Times New Roman" w:hAnsi="Times New Roman" w:cs="Times New Roman"/>
          <w:sz w:val="24"/>
          <w:szCs w:val="24"/>
          <w:lang w:val="en-US" w:eastAsia="ru-RU"/>
        </w:rPr>
        <w:t xml:space="preserve">, </w:t>
      </w:r>
      <w:proofErr w:type="spellStart"/>
      <w:r w:rsidRPr="00B14B45">
        <w:rPr>
          <w:rFonts w:ascii="Times New Roman" w:eastAsia="Times New Roman" w:hAnsi="Times New Roman" w:cs="Times New Roman"/>
          <w:sz w:val="24"/>
          <w:szCs w:val="24"/>
          <w:lang w:val="en-US" w:eastAsia="ru-RU"/>
        </w:rPr>
        <w:t>Gawen</w:t>
      </w:r>
      <w:proofErr w:type="spellEnd"/>
      <w:r w:rsidRPr="00B14B45">
        <w:rPr>
          <w:rFonts w:ascii="Times New Roman" w:eastAsia="Times New Roman" w:hAnsi="Times New Roman" w:cs="Times New Roman"/>
          <w:sz w:val="24"/>
          <w:szCs w:val="24"/>
          <w:lang w:val="en-US" w:eastAsia="ru-RU"/>
        </w:rPr>
        <w:t xml:space="preserve"> R.T. Jenkin </w:t>
      </w:r>
      <w:r w:rsidRPr="00B14B45">
        <w:rPr>
          <w:rFonts w:ascii="Times New Roman" w:eastAsia="Times New Roman" w:hAnsi="Times New Roman" w:cs="Times New Roman"/>
          <w:sz w:val="24"/>
          <w:szCs w:val="24"/>
          <w:vertAlign w:val="superscript"/>
          <w:lang w:val="en-US" w:eastAsia="ru-RU"/>
        </w:rPr>
        <w:t>b</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 </w:t>
      </w:r>
      <w:bookmarkStart w:id="0" w:name="baep-author-id11-profile"/>
      <w:r w:rsidRPr="00B14B45">
        <w:rPr>
          <w:rFonts w:ascii="Times New Roman" w:eastAsia="Times New Roman" w:hAnsi="Times New Roman" w:cs="Times New Roman"/>
          <w:sz w:val="24"/>
          <w:szCs w:val="24"/>
          <w:lang w:eastAsia="ru-RU"/>
        </w:rPr>
        <w:fldChar w:fldCharType="begin"/>
      </w:r>
      <w:r w:rsidRPr="00B14B45">
        <w:rPr>
          <w:rFonts w:ascii="Times New Roman" w:eastAsia="Times New Roman" w:hAnsi="Times New Roman" w:cs="Times New Roman"/>
          <w:sz w:val="24"/>
          <w:szCs w:val="24"/>
          <w:lang w:val="en-US" w:eastAsia="ru-RU"/>
        </w:rPr>
        <w:instrText xml:space="preserve"> HYPERLINK "https://www.sciencedirect.com/author/7006497331/melanie-j-leng" </w:instrText>
      </w:r>
      <w:r w:rsidRPr="00B14B45">
        <w:rPr>
          <w:rFonts w:ascii="Times New Roman" w:eastAsia="Times New Roman" w:hAnsi="Times New Roman" w:cs="Times New Roman"/>
          <w:sz w:val="24"/>
          <w:szCs w:val="24"/>
          <w:lang w:eastAsia="ru-RU"/>
        </w:rPr>
        <w:fldChar w:fldCharType="separate"/>
      </w:r>
      <w:r w:rsidRPr="00B14B45">
        <w:rPr>
          <w:rFonts w:ascii="Times New Roman" w:eastAsia="Times New Roman" w:hAnsi="Times New Roman" w:cs="Times New Roman"/>
          <w:color w:val="0000FF"/>
          <w:sz w:val="24"/>
          <w:szCs w:val="24"/>
          <w:u w:val="single"/>
          <w:lang w:val="en-US" w:eastAsia="ru-RU"/>
        </w:rPr>
        <w:t xml:space="preserve">Melanie J. </w:t>
      </w:r>
      <w:proofErr w:type="spellStart"/>
      <w:r w:rsidRPr="00B14B45">
        <w:rPr>
          <w:rFonts w:ascii="Times New Roman" w:eastAsia="Times New Roman" w:hAnsi="Times New Roman" w:cs="Times New Roman"/>
          <w:color w:val="0000FF"/>
          <w:sz w:val="24"/>
          <w:szCs w:val="24"/>
          <w:u w:val="single"/>
          <w:lang w:val="en-US" w:eastAsia="ru-RU"/>
        </w:rPr>
        <w:t>Leng</w:t>
      </w:r>
      <w:proofErr w:type="spellEnd"/>
      <w:r w:rsidRPr="00B14B45">
        <w:rPr>
          <w:rFonts w:ascii="Times New Roman" w:eastAsia="Times New Roman" w:hAnsi="Times New Roman" w:cs="Times New Roman"/>
          <w:color w:val="0000FF"/>
          <w:sz w:val="24"/>
          <w:szCs w:val="24"/>
          <w:u w:val="single"/>
          <w:lang w:val="en-US" w:eastAsia="ru-RU"/>
        </w:rPr>
        <w:t xml:space="preserve"> </w:t>
      </w:r>
      <w:r w:rsidRPr="00B14B45">
        <w:rPr>
          <w:rFonts w:ascii="Times New Roman" w:eastAsia="Times New Roman" w:hAnsi="Times New Roman" w:cs="Times New Roman"/>
          <w:sz w:val="24"/>
          <w:szCs w:val="24"/>
          <w:vertAlign w:val="superscript"/>
          <w:lang w:val="en-US" w:eastAsia="ru-RU"/>
        </w:rPr>
        <w:t>c</w:t>
      </w:r>
      <w:r w:rsidRPr="00B14B45">
        <w:rPr>
          <w:rFonts w:ascii="Times New Roman" w:eastAsia="Times New Roman" w:hAnsi="Times New Roman" w:cs="Times New Roman"/>
          <w:color w:val="0000FF"/>
          <w:sz w:val="24"/>
          <w:szCs w:val="24"/>
          <w:u w:val="single"/>
          <w:lang w:val="en-US" w:eastAsia="ru-RU"/>
        </w:rPr>
        <w:t xml:space="preserve"> </w:t>
      </w:r>
      <w:r w:rsidRPr="00B14B45">
        <w:rPr>
          <w:rFonts w:ascii="Times New Roman" w:eastAsia="Times New Roman" w:hAnsi="Times New Roman" w:cs="Times New Roman"/>
          <w:sz w:val="24"/>
          <w:szCs w:val="24"/>
          <w:vertAlign w:val="superscript"/>
          <w:lang w:val="en-US" w:eastAsia="ru-RU"/>
        </w:rPr>
        <w:t>d</w:t>
      </w:r>
      <w:r w:rsidRPr="00B14B45">
        <w:rPr>
          <w:rFonts w:ascii="Times New Roman" w:eastAsia="Times New Roman" w:hAnsi="Times New Roman" w:cs="Times New Roman"/>
          <w:sz w:val="24"/>
          <w:szCs w:val="24"/>
          <w:lang w:eastAsia="ru-RU"/>
        </w:rPr>
        <w:fldChar w:fldCharType="end"/>
      </w:r>
      <w:bookmarkEnd w:id="0"/>
      <w:r w:rsidRPr="00B14B45">
        <w:rPr>
          <w:rFonts w:ascii="Times New Roman" w:eastAsia="Times New Roman" w:hAnsi="Times New Roman" w:cs="Times New Roman"/>
          <w:sz w:val="24"/>
          <w:szCs w:val="24"/>
          <w:lang w:val="en-US" w:eastAsia="ru-RU"/>
        </w:rPr>
        <w:t xml:space="preserve">, D.P. Fiona </w:t>
      </w:r>
      <w:proofErr w:type="spellStart"/>
      <w:r w:rsidRPr="00B14B45">
        <w:rPr>
          <w:rFonts w:ascii="Times New Roman" w:eastAsia="Times New Roman" w:hAnsi="Times New Roman" w:cs="Times New Roman"/>
          <w:sz w:val="24"/>
          <w:szCs w:val="24"/>
          <w:lang w:val="en-US" w:eastAsia="ru-RU"/>
        </w:rPr>
        <w:t>Darbyshire</w:t>
      </w:r>
      <w:proofErr w:type="spellEnd"/>
      <w:r w:rsidRPr="00B14B45">
        <w:rPr>
          <w:rFonts w:ascii="Times New Roman" w:eastAsia="Times New Roman" w:hAnsi="Times New Roman" w:cs="Times New Roman"/>
          <w:sz w:val="24"/>
          <w:szCs w:val="24"/>
          <w:lang w:val="en-US" w:eastAsia="ru-RU"/>
        </w:rPr>
        <w:t xml:space="preserve"> </w:t>
      </w:r>
      <w:r w:rsidRPr="00B14B45">
        <w:rPr>
          <w:rFonts w:ascii="Times New Roman" w:eastAsia="Times New Roman" w:hAnsi="Times New Roman" w:cs="Times New Roman"/>
          <w:sz w:val="24"/>
          <w:szCs w:val="24"/>
          <w:vertAlign w:val="superscript"/>
          <w:lang w:val="en-US" w:eastAsia="ru-RU"/>
        </w:rPr>
        <w:t>c</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bookmarkStart w:id="1" w:name="_GoBack"/>
      <w:bookmarkEnd w:id="1"/>
      <w:r w:rsidRPr="00B14B45">
        <w:rPr>
          <w:rFonts w:ascii="Times New Roman" w:eastAsia="Times New Roman" w:hAnsi="Times New Roman" w:cs="Times New Roman"/>
          <w:b/>
          <w:bCs/>
          <w:sz w:val="36"/>
          <w:szCs w:val="36"/>
          <w:lang w:val="en-US" w:eastAsia="ru-RU"/>
        </w:rPr>
        <w:t>Abstract</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The Tambien Group in </w:t>
      </w:r>
      <w:proofErr w:type="spellStart"/>
      <w:r w:rsidRPr="00B14B45">
        <w:rPr>
          <w:rFonts w:ascii="Times New Roman" w:eastAsia="Times New Roman" w:hAnsi="Times New Roman" w:cs="Times New Roman"/>
          <w:sz w:val="24"/>
          <w:szCs w:val="24"/>
          <w:lang w:val="en-US" w:eastAsia="ru-RU"/>
        </w:rPr>
        <w:t>Tigrai</w:t>
      </w:r>
      <w:proofErr w:type="spellEnd"/>
      <w:r w:rsidRPr="00B14B45">
        <w:rPr>
          <w:rFonts w:ascii="Times New Roman" w:eastAsia="Times New Roman" w:hAnsi="Times New Roman" w:cs="Times New Roman"/>
          <w:sz w:val="24"/>
          <w:szCs w:val="24"/>
          <w:lang w:val="en-US" w:eastAsia="ru-RU"/>
        </w:rPr>
        <w:t xml:space="preserve">, Ethiopia, comprises a number of inliers each containing 2–3 km thickness of interbedded carbonate and </w:t>
      </w:r>
      <w:hyperlink r:id="rId5" w:tooltip="Learn more about clastic sediments from ScienceDirect's AI-generated Topic Pages" w:history="1">
        <w:r w:rsidRPr="00B14B45">
          <w:rPr>
            <w:rFonts w:ascii="Times New Roman" w:eastAsia="Times New Roman" w:hAnsi="Times New Roman" w:cs="Times New Roman"/>
            <w:color w:val="0000FF"/>
            <w:sz w:val="24"/>
            <w:szCs w:val="24"/>
            <w:u w:val="single"/>
            <w:lang w:val="en-US" w:eastAsia="ru-RU"/>
          </w:rPr>
          <w:t>clastic sediments</w:t>
        </w:r>
      </w:hyperlink>
      <w:r w:rsidRPr="00B14B45">
        <w:rPr>
          <w:rFonts w:ascii="Times New Roman" w:eastAsia="Times New Roman" w:hAnsi="Times New Roman" w:cs="Times New Roman"/>
          <w:sz w:val="24"/>
          <w:szCs w:val="24"/>
          <w:lang w:val="en-US" w:eastAsia="ru-RU"/>
        </w:rPr>
        <w:t xml:space="preserve">, capped in one </w:t>
      </w:r>
      <w:hyperlink r:id="rId6" w:tooltip="Learn more about inlier from ScienceDirect's AI-generated Topic Pages" w:history="1">
        <w:r w:rsidRPr="00B14B45">
          <w:rPr>
            <w:rFonts w:ascii="Times New Roman" w:eastAsia="Times New Roman" w:hAnsi="Times New Roman" w:cs="Times New Roman"/>
            <w:color w:val="0000FF"/>
            <w:sz w:val="24"/>
            <w:szCs w:val="24"/>
            <w:u w:val="single"/>
            <w:lang w:val="en-US" w:eastAsia="ru-RU"/>
          </w:rPr>
          <w:t>inlier</w:t>
        </w:r>
      </w:hyperlink>
      <w:r w:rsidRPr="00B14B45">
        <w:rPr>
          <w:rFonts w:ascii="Times New Roman" w:eastAsia="Times New Roman" w:hAnsi="Times New Roman" w:cs="Times New Roman"/>
          <w:sz w:val="24"/>
          <w:szCs w:val="24"/>
          <w:lang w:val="en-US" w:eastAsia="ru-RU"/>
        </w:rPr>
        <w:t xml:space="preserve"> by a glaciogenic </w:t>
      </w:r>
      <w:hyperlink r:id="rId7" w:tooltip="Learn more about diamictite from ScienceDirect's AI-generated Topic Pages" w:history="1">
        <w:proofErr w:type="spellStart"/>
        <w:r w:rsidRPr="00B14B45">
          <w:rPr>
            <w:rFonts w:ascii="Times New Roman" w:eastAsia="Times New Roman" w:hAnsi="Times New Roman" w:cs="Times New Roman"/>
            <w:color w:val="0000FF"/>
            <w:sz w:val="24"/>
            <w:szCs w:val="24"/>
            <w:u w:val="single"/>
            <w:lang w:val="en-US" w:eastAsia="ru-RU"/>
          </w:rPr>
          <w:t>diamictite</w:t>
        </w:r>
        <w:proofErr w:type="spellEnd"/>
      </w:hyperlink>
      <w:r w:rsidRPr="00B14B45">
        <w:rPr>
          <w:rFonts w:ascii="Times New Roman" w:eastAsia="Times New Roman" w:hAnsi="Times New Roman" w:cs="Times New Roman"/>
          <w:sz w:val="24"/>
          <w:szCs w:val="24"/>
          <w:lang w:val="en-US" w:eastAsia="ru-RU"/>
        </w:rPr>
        <w:t xml:space="preserve">. A range of geochemical indices suggest near-pristine C- and Sr-isotope values are preserved and these, together with lithological variations, allow local correlation between these inliers and correlation with the global Neoproterozoic isotope stratigraphy. A composite section of the Tambien Group shows </w:t>
      </w:r>
      <w:r w:rsidRPr="00B14B45">
        <w:rPr>
          <w:rFonts w:ascii="Times New Roman" w:eastAsia="Times New Roman" w:hAnsi="Times New Roman" w:cs="Times New Roman"/>
          <w:sz w:val="24"/>
          <w:szCs w:val="24"/>
          <w:lang w:eastAsia="ru-RU"/>
        </w:rPr>
        <w:t>δ</w:t>
      </w:r>
      <w:r w:rsidRPr="00B14B45">
        <w:rPr>
          <w:rFonts w:ascii="Times New Roman" w:eastAsia="Times New Roman" w:hAnsi="Times New Roman" w:cs="Times New Roman"/>
          <w:sz w:val="24"/>
          <w:szCs w:val="24"/>
          <w:vertAlign w:val="superscript"/>
          <w:lang w:val="en-US" w:eastAsia="ru-RU"/>
        </w:rPr>
        <w:t>13</w:t>
      </w:r>
      <w:r w:rsidRPr="00B14B45">
        <w:rPr>
          <w:rFonts w:ascii="Times New Roman" w:eastAsia="Times New Roman" w:hAnsi="Times New Roman" w:cs="Times New Roman"/>
          <w:sz w:val="24"/>
          <w:szCs w:val="24"/>
          <w:lang w:val="en-US" w:eastAsia="ru-RU"/>
        </w:rPr>
        <w:t xml:space="preserve">C in carbonate of </w:t>
      </w:r>
      <w:r w:rsidRPr="00B14B45">
        <w:rPr>
          <w:rFonts w:ascii="Cambria Math" w:eastAsia="Times New Roman" w:hAnsi="Cambria Math" w:cs="Cambria Math"/>
          <w:sz w:val="24"/>
          <w:szCs w:val="24"/>
          <w:lang w:val="en-US" w:eastAsia="ru-RU"/>
        </w:rPr>
        <w:t>∼</w:t>
      </w:r>
      <w:r w:rsidRPr="00B14B45">
        <w:rPr>
          <w:rFonts w:ascii="Times New Roman" w:eastAsia="Times New Roman" w:hAnsi="Times New Roman" w:cs="Times New Roman"/>
          <w:sz w:val="24"/>
          <w:szCs w:val="24"/>
          <w:lang w:val="en-US" w:eastAsia="ru-RU"/>
        </w:rPr>
        <w:t xml:space="preserve">+6‰ at its base, decreasing upwards to twin lows of </w:t>
      </w:r>
      <w:r w:rsidRPr="00B14B45">
        <w:rPr>
          <w:rFonts w:ascii="Cambria Math" w:eastAsia="Times New Roman" w:hAnsi="Cambria Math" w:cs="Cambria Math"/>
          <w:sz w:val="24"/>
          <w:szCs w:val="24"/>
          <w:lang w:val="en-US" w:eastAsia="ru-RU"/>
        </w:rPr>
        <w:t>∼</w:t>
      </w:r>
      <w:r w:rsidRPr="00B14B45">
        <w:rPr>
          <w:rFonts w:ascii="Times New Roman" w:eastAsia="Times New Roman" w:hAnsi="Times New Roman" w:cs="Times New Roman"/>
          <w:sz w:val="24"/>
          <w:szCs w:val="24"/>
          <w:lang w:val="en-US" w:eastAsia="ru-RU"/>
        </w:rPr>
        <w:t xml:space="preserve">–4‰ separated by a brief excursion back to positive values, then rises again to a plateau of </w:t>
      </w:r>
      <w:r w:rsidRPr="00B14B45">
        <w:rPr>
          <w:rFonts w:ascii="Cambria Math" w:eastAsia="Times New Roman" w:hAnsi="Cambria Math" w:cs="Cambria Math"/>
          <w:sz w:val="24"/>
          <w:szCs w:val="24"/>
          <w:lang w:val="en-US" w:eastAsia="ru-RU"/>
        </w:rPr>
        <w:t>∼</w:t>
      </w:r>
      <w:r w:rsidRPr="00B14B45">
        <w:rPr>
          <w:rFonts w:ascii="Times New Roman" w:eastAsia="Times New Roman" w:hAnsi="Times New Roman" w:cs="Times New Roman"/>
          <w:sz w:val="24"/>
          <w:szCs w:val="24"/>
          <w:lang w:val="en-US" w:eastAsia="ru-RU"/>
        </w:rPr>
        <w:t xml:space="preserve">+6‰ before finally decreasing sharply to −2‰ beneath the </w:t>
      </w:r>
      <w:proofErr w:type="spellStart"/>
      <w:r w:rsidRPr="00B14B45">
        <w:rPr>
          <w:rFonts w:ascii="Times New Roman" w:eastAsia="Times New Roman" w:hAnsi="Times New Roman" w:cs="Times New Roman"/>
          <w:sz w:val="24"/>
          <w:szCs w:val="24"/>
          <w:lang w:val="en-US" w:eastAsia="ru-RU"/>
        </w:rPr>
        <w:t>Negash</w:t>
      </w:r>
      <w:proofErr w:type="spellEnd"/>
      <w:r w:rsidRPr="00B14B45">
        <w:rPr>
          <w:rFonts w:ascii="Times New Roman" w:eastAsia="Times New Roman" w:hAnsi="Times New Roman" w:cs="Times New Roman"/>
          <w:sz w:val="24"/>
          <w:szCs w:val="24"/>
          <w:lang w:val="en-US" w:eastAsia="ru-RU"/>
        </w:rPr>
        <w:t xml:space="preserve"> </w:t>
      </w:r>
      <w:proofErr w:type="spellStart"/>
      <w:r w:rsidRPr="00B14B45">
        <w:rPr>
          <w:rFonts w:ascii="Times New Roman" w:eastAsia="Times New Roman" w:hAnsi="Times New Roman" w:cs="Times New Roman"/>
          <w:sz w:val="24"/>
          <w:szCs w:val="24"/>
          <w:lang w:val="en-US" w:eastAsia="ru-RU"/>
        </w:rPr>
        <w:t>diamictite</w:t>
      </w:r>
      <w:proofErr w:type="spellEnd"/>
      <w:r w:rsidRPr="00B14B45">
        <w:rPr>
          <w:rFonts w:ascii="Times New Roman" w:eastAsia="Times New Roman" w:hAnsi="Times New Roman" w:cs="Times New Roman"/>
          <w:sz w:val="24"/>
          <w:szCs w:val="24"/>
          <w:lang w:val="en-US" w:eastAsia="ru-RU"/>
        </w:rPr>
        <w:t xml:space="preserve"> at its top. No glaciogenic sediments are observed associated with the lower twinned negative anomalies. The </w:t>
      </w:r>
      <w:r w:rsidRPr="00B14B45">
        <w:rPr>
          <w:rFonts w:ascii="Times New Roman" w:eastAsia="Times New Roman" w:hAnsi="Times New Roman" w:cs="Times New Roman"/>
          <w:sz w:val="24"/>
          <w:szCs w:val="24"/>
          <w:vertAlign w:val="superscript"/>
          <w:lang w:val="en-US" w:eastAsia="ru-RU"/>
        </w:rPr>
        <w:t>87</w:t>
      </w:r>
      <w:r w:rsidRPr="00B14B45">
        <w:rPr>
          <w:rFonts w:ascii="Times New Roman" w:eastAsia="Times New Roman" w:hAnsi="Times New Roman" w:cs="Times New Roman"/>
          <w:sz w:val="24"/>
          <w:szCs w:val="24"/>
          <w:lang w:val="en-US" w:eastAsia="ru-RU"/>
        </w:rPr>
        <w:t>Sr/</w:t>
      </w:r>
      <w:r w:rsidRPr="00B14B45">
        <w:rPr>
          <w:rFonts w:ascii="Times New Roman" w:eastAsia="Times New Roman" w:hAnsi="Times New Roman" w:cs="Times New Roman"/>
          <w:sz w:val="24"/>
          <w:szCs w:val="24"/>
          <w:vertAlign w:val="superscript"/>
          <w:lang w:val="en-US" w:eastAsia="ru-RU"/>
        </w:rPr>
        <w:t>86</w:t>
      </w:r>
      <w:r w:rsidRPr="00B14B45">
        <w:rPr>
          <w:rFonts w:ascii="Times New Roman" w:eastAsia="Times New Roman" w:hAnsi="Times New Roman" w:cs="Times New Roman"/>
          <w:sz w:val="24"/>
          <w:szCs w:val="24"/>
          <w:lang w:val="en-US" w:eastAsia="ru-RU"/>
        </w:rPr>
        <w:t xml:space="preserve">Sr values in carbonates change from </w:t>
      </w:r>
      <w:r w:rsidRPr="00B14B45">
        <w:rPr>
          <w:rFonts w:ascii="Cambria Math" w:eastAsia="Times New Roman" w:hAnsi="Cambria Math" w:cs="Cambria Math"/>
          <w:sz w:val="24"/>
          <w:szCs w:val="24"/>
          <w:lang w:val="en-US" w:eastAsia="ru-RU"/>
        </w:rPr>
        <w:t>∼</w:t>
      </w:r>
      <w:r w:rsidRPr="00B14B45">
        <w:rPr>
          <w:rFonts w:ascii="Times New Roman" w:eastAsia="Times New Roman" w:hAnsi="Times New Roman" w:cs="Times New Roman"/>
          <w:sz w:val="24"/>
          <w:szCs w:val="24"/>
          <w:lang w:val="en-US" w:eastAsia="ru-RU"/>
        </w:rPr>
        <w:t xml:space="preserve">0.7063 in the lower units to </w:t>
      </w:r>
      <w:r w:rsidRPr="00B14B45">
        <w:rPr>
          <w:rFonts w:ascii="Cambria Math" w:eastAsia="Times New Roman" w:hAnsi="Cambria Math" w:cs="Cambria Math"/>
          <w:sz w:val="24"/>
          <w:szCs w:val="24"/>
          <w:lang w:val="en-US" w:eastAsia="ru-RU"/>
        </w:rPr>
        <w:t>∼</w:t>
      </w:r>
      <w:r w:rsidRPr="00B14B45">
        <w:rPr>
          <w:rFonts w:ascii="Times New Roman" w:eastAsia="Times New Roman" w:hAnsi="Times New Roman" w:cs="Times New Roman"/>
          <w:sz w:val="24"/>
          <w:szCs w:val="24"/>
          <w:lang w:val="en-US" w:eastAsia="ru-RU"/>
        </w:rPr>
        <w:t xml:space="preserve">0.7067 in the upper units. The </w:t>
      </w:r>
      <w:r w:rsidRPr="00B14B45">
        <w:rPr>
          <w:rFonts w:ascii="Times New Roman" w:eastAsia="Times New Roman" w:hAnsi="Times New Roman" w:cs="Times New Roman"/>
          <w:sz w:val="24"/>
          <w:szCs w:val="24"/>
          <w:lang w:eastAsia="ru-RU"/>
        </w:rPr>
        <w:t>δ</w:t>
      </w:r>
      <w:r w:rsidRPr="00B14B45">
        <w:rPr>
          <w:rFonts w:ascii="Times New Roman" w:eastAsia="Times New Roman" w:hAnsi="Times New Roman" w:cs="Times New Roman"/>
          <w:sz w:val="24"/>
          <w:szCs w:val="24"/>
          <w:vertAlign w:val="superscript"/>
          <w:lang w:val="en-US" w:eastAsia="ru-RU"/>
        </w:rPr>
        <w:t>13</w:t>
      </w:r>
      <w:r w:rsidRPr="00B14B45">
        <w:rPr>
          <w:rFonts w:ascii="Times New Roman" w:eastAsia="Times New Roman" w:hAnsi="Times New Roman" w:cs="Times New Roman"/>
          <w:sz w:val="24"/>
          <w:szCs w:val="24"/>
          <w:lang w:val="en-US" w:eastAsia="ru-RU"/>
        </w:rPr>
        <w:t xml:space="preserve">C of organic matter changes little through the sequence (−24.2 ± 1.3‰), with the result that the C-isotope fractionation between carbonate and organic matter decreases from +26 to +21‰ up through the second low in carbonate </w:t>
      </w:r>
      <w:r w:rsidRPr="00B14B45">
        <w:rPr>
          <w:rFonts w:ascii="Times New Roman" w:eastAsia="Times New Roman" w:hAnsi="Times New Roman" w:cs="Times New Roman"/>
          <w:sz w:val="24"/>
          <w:szCs w:val="24"/>
          <w:lang w:eastAsia="ru-RU"/>
        </w:rPr>
        <w:t>δ</w:t>
      </w:r>
      <w:r w:rsidRPr="00B14B45">
        <w:rPr>
          <w:rFonts w:ascii="Times New Roman" w:eastAsia="Times New Roman" w:hAnsi="Times New Roman" w:cs="Times New Roman"/>
          <w:sz w:val="24"/>
          <w:szCs w:val="24"/>
          <w:vertAlign w:val="superscript"/>
          <w:lang w:val="en-US" w:eastAsia="ru-RU"/>
        </w:rPr>
        <w:t>13</w:t>
      </w:r>
      <w:r w:rsidRPr="00B14B45">
        <w:rPr>
          <w:rFonts w:ascii="Times New Roman" w:eastAsia="Times New Roman" w:hAnsi="Times New Roman" w:cs="Times New Roman"/>
          <w:sz w:val="24"/>
          <w:szCs w:val="24"/>
          <w:lang w:val="en-US" w:eastAsia="ru-RU"/>
        </w:rPr>
        <w:t xml:space="preserve">C before increasing to </w:t>
      </w:r>
      <w:r w:rsidRPr="00B14B45">
        <w:rPr>
          <w:rFonts w:ascii="Cambria Math" w:eastAsia="Times New Roman" w:hAnsi="Cambria Math" w:cs="Cambria Math"/>
          <w:sz w:val="24"/>
          <w:szCs w:val="24"/>
          <w:lang w:val="en-US" w:eastAsia="ru-RU"/>
        </w:rPr>
        <w:t>∼</w:t>
      </w:r>
      <w:r w:rsidRPr="00B14B45">
        <w:rPr>
          <w:rFonts w:ascii="Times New Roman" w:eastAsia="Times New Roman" w:hAnsi="Times New Roman" w:cs="Times New Roman"/>
          <w:sz w:val="24"/>
          <w:szCs w:val="24"/>
          <w:lang w:val="en-US" w:eastAsia="ru-RU"/>
        </w:rPr>
        <w:t xml:space="preserve">+29.5‰ in the rest of the sequence. Together with existing radiometric age constraints, the Sr-isotope data indicate that the </w:t>
      </w:r>
      <w:proofErr w:type="spellStart"/>
      <w:r w:rsidRPr="00B14B45">
        <w:rPr>
          <w:rFonts w:ascii="Times New Roman" w:eastAsia="Times New Roman" w:hAnsi="Times New Roman" w:cs="Times New Roman"/>
          <w:sz w:val="24"/>
          <w:szCs w:val="24"/>
          <w:lang w:val="en-US" w:eastAsia="ru-RU"/>
        </w:rPr>
        <w:t>Negash</w:t>
      </w:r>
      <w:proofErr w:type="spellEnd"/>
      <w:r w:rsidRPr="00B14B45">
        <w:rPr>
          <w:rFonts w:ascii="Times New Roman" w:eastAsia="Times New Roman" w:hAnsi="Times New Roman" w:cs="Times New Roman"/>
          <w:sz w:val="24"/>
          <w:szCs w:val="24"/>
          <w:lang w:val="en-US" w:eastAsia="ru-RU"/>
        </w:rPr>
        <w:t xml:space="preserve"> </w:t>
      </w:r>
      <w:proofErr w:type="spellStart"/>
      <w:r w:rsidRPr="00B14B45">
        <w:rPr>
          <w:rFonts w:ascii="Times New Roman" w:eastAsia="Times New Roman" w:hAnsi="Times New Roman" w:cs="Times New Roman"/>
          <w:sz w:val="24"/>
          <w:szCs w:val="24"/>
          <w:lang w:val="en-US" w:eastAsia="ru-RU"/>
        </w:rPr>
        <w:t>diamictite</w:t>
      </w:r>
      <w:proofErr w:type="spellEnd"/>
      <w:r w:rsidRPr="00B14B45">
        <w:rPr>
          <w:rFonts w:ascii="Times New Roman" w:eastAsia="Times New Roman" w:hAnsi="Times New Roman" w:cs="Times New Roman"/>
          <w:sz w:val="24"/>
          <w:szCs w:val="24"/>
          <w:lang w:val="en-US" w:eastAsia="ru-RU"/>
        </w:rPr>
        <w:t xml:space="preserve"> is </w:t>
      </w:r>
      <w:proofErr w:type="spellStart"/>
      <w:r w:rsidRPr="00B14B45">
        <w:rPr>
          <w:rFonts w:ascii="Times New Roman" w:eastAsia="Times New Roman" w:hAnsi="Times New Roman" w:cs="Times New Roman"/>
          <w:sz w:val="24"/>
          <w:szCs w:val="24"/>
          <w:lang w:val="en-US" w:eastAsia="ru-RU"/>
        </w:rPr>
        <w:t>Sturtian</w:t>
      </w:r>
      <w:proofErr w:type="spellEnd"/>
      <w:r w:rsidRPr="00B14B45">
        <w:rPr>
          <w:rFonts w:ascii="Times New Roman" w:eastAsia="Times New Roman" w:hAnsi="Times New Roman" w:cs="Times New Roman"/>
          <w:sz w:val="24"/>
          <w:szCs w:val="24"/>
          <w:lang w:val="en-US" w:eastAsia="ru-RU"/>
        </w:rPr>
        <w:t xml:space="preserve"> in age, and the lower negative C-isotope anomalies appear to correlate with the non-glaciogenic Bitter Springs Stage </w:t>
      </w:r>
      <w:proofErr w:type="spellStart"/>
      <w:r w:rsidRPr="00B14B45">
        <w:rPr>
          <w:rFonts w:ascii="Times New Roman" w:eastAsia="Times New Roman" w:hAnsi="Times New Roman" w:cs="Times New Roman"/>
          <w:sz w:val="24"/>
          <w:szCs w:val="24"/>
          <w:lang w:val="en-US" w:eastAsia="ru-RU"/>
        </w:rPr>
        <w:t>recognised</w:t>
      </w:r>
      <w:proofErr w:type="spellEnd"/>
      <w:r w:rsidRPr="00B14B45">
        <w:rPr>
          <w:rFonts w:ascii="Times New Roman" w:eastAsia="Times New Roman" w:hAnsi="Times New Roman" w:cs="Times New Roman"/>
          <w:sz w:val="24"/>
          <w:szCs w:val="24"/>
          <w:lang w:val="en-US" w:eastAsia="ru-RU"/>
        </w:rPr>
        <w:t xml:space="preserve"> in Australia and </w:t>
      </w:r>
      <w:hyperlink r:id="rId8" w:tooltip="Learn more about Svalbard from ScienceDirect's AI-generated Topic Pages" w:history="1">
        <w:r w:rsidRPr="00B14B45">
          <w:rPr>
            <w:rFonts w:ascii="Times New Roman" w:eastAsia="Times New Roman" w:hAnsi="Times New Roman" w:cs="Times New Roman"/>
            <w:color w:val="0000FF"/>
            <w:sz w:val="24"/>
            <w:szCs w:val="24"/>
            <w:u w:val="single"/>
            <w:lang w:val="en-US" w:eastAsia="ru-RU"/>
          </w:rPr>
          <w:t>Svalbard</w:t>
        </w:r>
      </w:hyperlink>
      <w:r w:rsidRPr="00B14B45">
        <w:rPr>
          <w:rFonts w:ascii="Times New Roman" w:eastAsia="Times New Roman" w:hAnsi="Times New Roman" w:cs="Times New Roman"/>
          <w:sz w:val="24"/>
          <w:szCs w:val="24"/>
          <w:lang w:val="en-US" w:eastAsia="ru-RU"/>
        </w:rPr>
        <w:t xml:space="preserve">. According to this correlation the Tambien Group was deposited in the interval ca. 800–735 Ma. Our data reinforce the emerging view that not all Neoproterozoic negative C-isotope anomalies are associated with glaciation. The variations in C-isotope fractionations within our sequence contrast with those from Australia and are attributed to differences in local environmental variables, probably temperature. These differences are consistent with the recent proposal that the Bitter Springs Stage anomaly is the result of a pair of Inertial Interchange True Polar Wander events [Halverson, G.P., Maloof, A., </w:t>
      </w:r>
      <w:proofErr w:type="spellStart"/>
      <w:r w:rsidRPr="00B14B45">
        <w:rPr>
          <w:rFonts w:ascii="Times New Roman" w:eastAsia="Times New Roman" w:hAnsi="Times New Roman" w:cs="Times New Roman"/>
          <w:sz w:val="24"/>
          <w:szCs w:val="24"/>
          <w:lang w:val="en-US" w:eastAsia="ru-RU"/>
        </w:rPr>
        <w:t>Schrag</w:t>
      </w:r>
      <w:proofErr w:type="spellEnd"/>
      <w:r w:rsidRPr="00B14B45">
        <w:rPr>
          <w:rFonts w:ascii="Times New Roman" w:eastAsia="Times New Roman" w:hAnsi="Times New Roman" w:cs="Times New Roman"/>
          <w:sz w:val="24"/>
          <w:szCs w:val="24"/>
          <w:lang w:val="en-US" w:eastAsia="ru-RU"/>
        </w:rPr>
        <w:t xml:space="preserve">, D., </w:t>
      </w:r>
      <w:proofErr w:type="spellStart"/>
      <w:r w:rsidRPr="00B14B45">
        <w:rPr>
          <w:rFonts w:ascii="Times New Roman" w:eastAsia="Times New Roman" w:hAnsi="Times New Roman" w:cs="Times New Roman"/>
          <w:sz w:val="24"/>
          <w:szCs w:val="24"/>
          <w:lang w:val="en-US" w:eastAsia="ru-RU"/>
        </w:rPr>
        <w:t>Dudas</w:t>
      </w:r>
      <w:proofErr w:type="spellEnd"/>
      <w:r w:rsidRPr="00B14B45">
        <w:rPr>
          <w:rFonts w:ascii="Times New Roman" w:eastAsia="Times New Roman" w:hAnsi="Times New Roman" w:cs="Times New Roman"/>
          <w:sz w:val="24"/>
          <w:szCs w:val="24"/>
          <w:lang w:val="en-US" w:eastAsia="ru-RU"/>
        </w:rPr>
        <w:t xml:space="preserve">, F., Hurtgen, M., in press. Stratigraphy and </w:t>
      </w:r>
      <w:hyperlink r:id="rId9" w:tooltip="Learn more about geochemistry from ScienceDirect's AI-generated Topic Pages" w:history="1">
        <w:r w:rsidRPr="00B14B45">
          <w:rPr>
            <w:rFonts w:ascii="Times New Roman" w:eastAsia="Times New Roman" w:hAnsi="Times New Roman" w:cs="Times New Roman"/>
            <w:color w:val="0000FF"/>
            <w:sz w:val="24"/>
            <w:szCs w:val="24"/>
            <w:u w:val="single"/>
            <w:lang w:val="en-US" w:eastAsia="ru-RU"/>
          </w:rPr>
          <w:t>geochemistry</w:t>
        </w:r>
      </w:hyperlink>
      <w:r w:rsidRPr="00B14B45">
        <w:rPr>
          <w:rFonts w:ascii="Times New Roman" w:eastAsia="Times New Roman" w:hAnsi="Times New Roman" w:cs="Times New Roman"/>
          <w:sz w:val="24"/>
          <w:szCs w:val="24"/>
          <w:lang w:val="en-US" w:eastAsia="ru-RU"/>
        </w:rPr>
        <w:t xml:space="preserve"> of a ca 800 Ma negative carbon isotope stage in northeastern Svalbard. Chem. Geol.] [Maloof, A.C., Halverson, G.P., </w:t>
      </w:r>
      <w:proofErr w:type="spellStart"/>
      <w:r w:rsidRPr="00B14B45">
        <w:rPr>
          <w:rFonts w:ascii="Times New Roman" w:eastAsia="Times New Roman" w:hAnsi="Times New Roman" w:cs="Times New Roman"/>
          <w:sz w:val="24"/>
          <w:szCs w:val="24"/>
          <w:lang w:val="en-US" w:eastAsia="ru-RU"/>
        </w:rPr>
        <w:t>Kirschvink</w:t>
      </w:r>
      <w:proofErr w:type="spellEnd"/>
      <w:r w:rsidRPr="00B14B45">
        <w:rPr>
          <w:rFonts w:ascii="Times New Roman" w:eastAsia="Times New Roman" w:hAnsi="Times New Roman" w:cs="Times New Roman"/>
          <w:sz w:val="24"/>
          <w:szCs w:val="24"/>
          <w:lang w:val="en-US" w:eastAsia="ru-RU"/>
        </w:rPr>
        <w:t xml:space="preserve">, J.L., </w:t>
      </w:r>
      <w:proofErr w:type="spellStart"/>
      <w:r w:rsidRPr="00B14B45">
        <w:rPr>
          <w:rFonts w:ascii="Times New Roman" w:eastAsia="Times New Roman" w:hAnsi="Times New Roman" w:cs="Times New Roman"/>
          <w:sz w:val="24"/>
          <w:szCs w:val="24"/>
          <w:lang w:val="en-US" w:eastAsia="ru-RU"/>
        </w:rPr>
        <w:t>Schrag</w:t>
      </w:r>
      <w:proofErr w:type="spellEnd"/>
      <w:r w:rsidRPr="00B14B45">
        <w:rPr>
          <w:rFonts w:ascii="Times New Roman" w:eastAsia="Times New Roman" w:hAnsi="Times New Roman" w:cs="Times New Roman"/>
          <w:sz w:val="24"/>
          <w:szCs w:val="24"/>
          <w:lang w:val="en-US" w:eastAsia="ru-RU"/>
        </w:rPr>
        <w:t xml:space="preserve">, D.P., Weiss, B.P., Hoffman, P.F., in press. Combined paleomagnetic, isotopic and stratigraphic evidence for true polar wander from the Neoproterozoic </w:t>
      </w:r>
      <w:proofErr w:type="spellStart"/>
      <w:r w:rsidRPr="00B14B45">
        <w:rPr>
          <w:rFonts w:ascii="Times New Roman" w:eastAsia="Times New Roman" w:hAnsi="Times New Roman" w:cs="Times New Roman"/>
          <w:sz w:val="24"/>
          <w:szCs w:val="24"/>
          <w:lang w:val="en-US" w:eastAsia="ru-RU"/>
        </w:rPr>
        <w:t>Akademikerbreen</w:t>
      </w:r>
      <w:proofErr w:type="spellEnd"/>
      <w:r w:rsidRPr="00B14B45">
        <w:rPr>
          <w:rFonts w:ascii="Times New Roman" w:eastAsia="Times New Roman" w:hAnsi="Times New Roman" w:cs="Times New Roman"/>
          <w:sz w:val="24"/>
          <w:szCs w:val="24"/>
          <w:lang w:val="en-US" w:eastAsia="ru-RU"/>
        </w:rPr>
        <w:t xml:space="preserve"> Group, Svalbard. GSA Bull.], and further high-resolution dating and palaeomagnetic studies of the Tambien Group should allow testing of this hypothesis.</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t>Introduction</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The Neoproterozoic was a critical phase in Earth evolution marking the transition from an oxygen deficient (possibly </w:t>
      </w:r>
      <w:proofErr w:type="spellStart"/>
      <w:r w:rsidRPr="00B14B45">
        <w:rPr>
          <w:rFonts w:ascii="Times New Roman" w:eastAsia="Times New Roman" w:hAnsi="Times New Roman" w:cs="Times New Roman"/>
          <w:sz w:val="24"/>
          <w:szCs w:val="24"/>
          <w:lang w:val="en-US" w:eastAsia="ru-RU"/>
        </w:rPr>
        <w:t>sulphidic</w:t>
      </w:r>
      <w:proofErr w:type="spellEnd"/>
      <w:r w:rsidRPr="00B14B45">
        <w:rPr>
          <w:rFonts w:ascii="Times New Roman" w:eastAsia="Times New Roman" w:hAnsi="Times New Roman" w:cs="Times New Roman"/>
          <w:sz w:val="24"/>
          <w:szCs w:val="24"/>
          <w:lang w:val="en-US" w:eastAsia="ru-RU"/>
        </w:rPr>
        <w:t xml:space="preserve">) ocean to an oxygenated ocean more similar to the present day (Anbar and Knoll, 2002, Hurtgen et al., 2005). This was accompanied by drastic climate change, possibly including at least two ‘Snowball Earth’ global glaciations each followed by extreme greenhouse conditions (Hoffman et al., 1998b; Hoffman and </w:t>
      </w:r>
      <w:proofErr w:type="spellStart"/>
      <w:r w:rsidRPr="00B14B45">
        <w:rPr>
          <w:rFonts w:ascii="Times New Roman" w:eastAsia="Times New Roman" w:hAnsi="Times New Roman" w:cs="Times New Roman"/>
          <w:sz w:val="24"/>
          <w:szCs w:val="24"/>
          <w:lang w:val="en-US" w:eastAsia="ru-RU"/>
        </w:rPr>
        <w:t>Schrag</w:t>
      </w:r>
      <w:proofErr w:type="spellEnd"/>
      <w:r w:rsidRPr="00B14B45">
        <w:rPr>
          <w:rFonts w:ascii="Times New Roman" w:eastAsia="Times New Roman" w:hAnsi="Times New Roman" w:cs="Times New Roman"/>
          <w:sz w:val="24"/>
          <w:szCs w:val="24"/>
          <w:lang w:val="en-US" w:eastAsia="ru-RU"/>
        </w:rPr>
        <w:t xml:space="preserve">, 2002). While recent dating has shown a significant time gap between the last inferred global glaciation and the development of multicellular organisms and the ensuing Cambrian radiation (Hoffmann et al., </w:t>
      </w:r>
      <w:r w:rsidRPr="00B14B45">
        <w:rPr>
          <w:rFonts w:ascii="Times New Roman" w:eastAsia="Times New Roman" w:hAnsi="Times New Roman" w:cs="Times New Roman"/>
          <w:sz w:val="24"/>
          <w:szCs w:val="24"/>
          <w:lang w:val="en-US" w:eastAsia="ru-RU"/>
        </w:rPr>
        <w:lastRenderedPageBreak/>
        <w:t xml:space="preserve">2004, Condon et al., 2005), it is conceivable that global glaciations may have been critical in setting the scene for later evolutionary events (Hoffman and </w:t>
      </w:r>
      <w:proofErr w:type="spellStart"/>
      <w:r w:rsidRPr="00B14B45">
        <w:rPr>
          <w:rFonts w:ascii="Times New Roman" w:eastAsia="Times New Roman" w:hAnsi="Times New Roman" w:cs="Times New Roman"/>
          <w:sz w:val="24"/>
          <w:szCs w:val="24"/>
          <w:lang w:val="en-US" w:eastAsia="ru-RU"/>
        </w:rPr>
        <w:t>Schrag</w:t>
      </w:r>
      <w:proofErr w:type="spellEnd"/>
      <w:r w:rsidRPr="00B14B45">
        <w:rPr>
          <w:rFonts w:ascii="Times New Roman" w:eastAsia="Times New Roman" w:hAnsi="Times New Roman" w:cs="Times New Roman"/>
          <w:sz w:val="24"/>
          <w:szCs w:val="24"/>
          <w:lang w:val="en-US" w:eastAsia="ru-RU"/>
        </w:rPr>
        <w:t xml:space="preserve">, 2002, Knoll and Carroll, 1999). However, there is still controversy as to the exact number and intensity of glaciations in the Neoproterozoic, let alone their causes and effects. The inferred global glaciations are temporally associated with large negative carbon isotope anomalies in the sedimentary record, with the anomaly either starting at the top of the glacial deposits, or just beneath them. Interpretations of these carbon isotope anomalies vary, and they may well be the result of more than one process, (Hoffman and </w:t>
      </w:r>
      <w:proofErr w:type="spellStart"/>
      <w:r w:rsidRPr="00B14B45">
        <w:rPr>
          <w:rFonts w:ascii="Times New Roman" w:eastAsia="Times New Roman" w:hAnsi="Times New Roman" w:cs="Times New Roman"/>
          <w:sz w:val="24"/>
          <w:szCs w:val="24"/>
          <w:lang w:val="en-US" w:eastAsia="ru-RU"/>
        </w:rPr>
        <w:t>Schrag</w:t>
      </w:r>
      <w:proofErr w:type="spellEnd"/>
      <w:r w:rsidRPr="00B14B45">
        <w:rPr>
          <w:rFonts w:ascii="Times New Roman" w:eastAsia="Times New Roman" w:hAnsi="Times New Roman" w:cs="Times New Roman"/>
          <w:sz w:val="24"/>
          <w:szCs w:val="24"/>
          <w:lang w:val="en-US" w:eastAsia="ru-RU"/>
        </w:rPr>
        <w:t xml:space="preserve">, 2002, </w:t>
      </w:r>
      <w:proofErr w:type="spellStart"/>
      <w:r w:rsidRPr="00B14B45">
        <w:rPr>
          <w:rFonts w:ascii="Times New Roman" w:eastAsia="Times New Roman" w:hAnsi="Times New Roman" w:cs="Times New Roman"/>
          <w:sz w:val="24"/>
          <w:szCs w:val="24"/>
          <w:lang w:val="en-US" w:eastAsia="ru-RU"/>
        </w:rPr>
        <w:t>Schrag</w:t>
      </w:r>
      <w:proofErr w:type="spellEnd"/>
      <w:r w:rsidRPr="00B14B45">
        <w:rPr>
          <w:rFonts w:ascii="Times New Roman" w:eastAsia="Times New Roman" w:hAnsi="Times New Roman" w:cs="Times New Roman"/>
          <w:sz w:val="24"/>
          <w:szCs w:val="24"/>
          <w:lang w:val="en-US" w:eastAsia="ru-RU"/>
        </w:rPr>
        <w:t xml:space="preserve"> et al., 2002, Pavlov et al., 2005, Kennedy et al., 2001, Jiang et al., 2003, Higgins and </w:t>
      </w:r>
      <w:proofErr w:type="spellStart"/>
      <w:r w:rsidRPr="00B14B45">
        <w:rPr>
          <w:rFonts w:ascii="Times New Roman" w:eastAsia="Times New Roman" w:hAnsi="Times New Roman" w:cs="Times New Roman"/>
          <w:sz w:val="24"/>
          <w:szCs w:val="24"/>
          <w:lang w:val="en-US" w:eastAsia="ru-RU"/>
        </w:rPr>
        <w:t>Schrag</w:t>
      </w:r>
      <w:proofErr w:type="spellEnd"/>
      <w:r w:rsidRPr="00B14B45">
        <w:rPr>
          <w:rFonts w:ascii="Times New Roman" w:eastAsia="Times New Roman" w:hAnsi="Times New Roman" w:cs="Times New Roman"/>
          <w:sz w:val="24"/>
          <w:szCs w:val="24"/>
          <w:lang w:val="en-US" w:eastAsia="ru-RU"/>
        </w:rPr>
        <w:t xml:space="preserve">, 2003). Irrespective of their origin, the combination of these anomalies with the worldwide deposition of glacial deposits provides the potential for global </w:t>
      </w:r>
      <w:proofErr w:type="spellStart"/>
      <w:r w:rsidRPr="00B14B45">
        <w:rPr>
          <w:rFonts w:ascii="Times New Roman" w:eastAsia="Times New Roman" w:hAnsi="Times New Roman" w:cs="Times New Roman"/>
          <w:sz w:val="24"/>
          <w:szCs w:val="24"/>
          <w:lang w:val="en-US" w:eastAsia="ru-RU"/>
        </w:rPr>
        <w:t>chemostratigraphic</w:t>
      </w:r>
      <w:proofErr w:type="spellEnd"/>
      <w:r w:rsidRPr="00B14B45">
        <w:rPr>
          <w:rFonts w:ascii="Times New Roman" w:eastAsia="Times New Roman" w:hAnsi="Times New Roman" w:cs="Times New Roman"/>
          <w:sz w:val="24"/>
          <w:szCs w:val="24"/>
          <w:lang w:val="en-US" w:eastAsia="ru-RU"/>
        </w:rPr>
        <w:t xml:space="preserve"> correlation in the Neoproterozoic (Knoll et al., 1986, Jacobsen and Kaufman, 1999, Walter et al., 2000, </w:t>
      </w:r>
      <w:proofErr w:type="spellStart"/>
      <w:r w:rsidRPr="00B14B45">
        <w:rPr>
          <w:rFonts w:ascii="Times New Roman" w:eastAsia="Times New Roman" w:hAnsi="Times New Roman" w:cs="Times New Roman"/>
          <w:sz w:val="24"/>
          <w:szCs w:val="24"/>
          <w:lang w:val="en-US" w:eastAsia="ru-RU"/>
        </w:rPr>
        <w:t>Melezhik</w:t>
      </w:r>
      <w:proofErr w:type="spellEnd"/>
      <w:r w:rsidRPr="00B14B45">
        <w:rPr>
          <w:rFonts w:ascii="Times New Roman" w:eastAsia="Times New Roman" w:hAnsi="Times New Roman" w:cs="Times New Roman"/>
          <w:sz w:val="24"/>
          <w:szCs w:val="24"/>
          <w:lang w:val="en-US" w:eastAsia="ru-RU"/>
        </w:rPr>
        <w:t xml:space="preserve"> et al., 2001b; Halverson et al., 2005). However, it is increasingly being </w:t>
      </w:r>
      <w:proofErr w:type="spellStart"/>
      <w:r w:rsidRPr="00B14B45">
        <w:rPr>
          <w:rFonts w:ascii="Times New Roman" w:eastAsia="Times New Roman" w:hAnsi="Times New Roman" w:cs="Times New Roman"/>
          <w:sz w:val="24"/>
          <w:szCs w:val="24"/>
          <w:lang w:val="en-US" w:eastAsia="ru-RU"/>
        </w:rPr>
        <w:t>recognised</w:t>
      </w:r>
      <w:proofErr w:type="spellEnd"/>
      <w:r w:rsidRPr="00B14B45">
        <w:rPr>
          <w:rFonts w:ascii="Times New Roman" w:eastAsia="Times New Roman" w:hAnsi="Times New Roman" w:cs="Times New Roman"/>
          <w:sz w:val="24"/>
          <w:szCs w:val="24"/>
          <w:lang w:val="en-US" w:eastAsia="ru-RU"/>
        </w:rPr>
        <w:t xml:space="preserve"> that some Neoproterozoic sequences contain negative carbon isotope anomalies that are </w:t>
      </w:r>
      <w:r w:rsidRPr="00B14B45">
        <w:rPr>
          <w:rFonts w:ascii="Times New Roman" w:eastAsia="Times New Roman" w:hAnsi="Times New Roman" w:cs="Times New Roman"/>
          <w:i/>
          <w:iCs/>
          <w:sz w:val="24"/>
          <w:szCs w:val="24"/>
          <w:lang w:val="en-US" w:eastAsia="ru-RU"/>
        </w:rPr>
        <w:t>not</w:t>
      </w:r>
      <w:r w:rsidRPr="00B14B45">
        <w:rPr>
          <w:rFonts w:ascii="Times New Roman" w:eastAsia="Times New Roman" w:hAnsi="Times New Roman" w:cs="Times New Roman"/>
          <w:sz w:val="24"/>
          <w:szCs w:val="24"/>
          <w:lang w:val="en-US" w:eastAsia="ru-RU"/>
        </w:rPr>
        <w:t xml:space="preserve"> associated with glaciogenic rocks (e.g. Hill and Walter, 2000, </w:t>
      </w:r>
      <w:proofErr w:type="spellStart"/>
      <w:r w:rsidRPr="00B14B45">
        <w:rPr>
          <w:rFonts w:ascii="Times New Roman" w:eastAsia="Times New Roman" w:hAnsi="Times New Roman" w:cs="Times New Roman"/>
          <w:sz w:val="24"/>
          <w:szCs w:val="24"/>
          <w:lang w:val="en-US" w:eastAsia="ru-RU"/>
        </w:rPr>
        <w:t>Corsetti</w:t>
      </w:r>
      <w:proofErr w:type="spellEnd"/>
      <w:r w:rsidRPr="00B14B45">
        <w:rPr>
          <w:rFonts w:ascii="Times New Roman" w:eastAsia="Times New Roman" w:hAnsi="Times New Roman" w:cs="Times New Roman"/>
          <w:sz w:val="24"/>
          <w:szCs w:val="24"/>
          <w:lang w:val="en-US" w:eastAsia="ru-RU"/>
        </w:rPr>
        <w:t xml:space="preserve"> and Kaufman, 2003, Zhang et al., 2005, Condon et al., 2005, </w:t>
      </w:r>
      <w:proofErr w:type="spellStart"/>
      <w:r w:rsidRPr="00B14B45">
        <w:rPr>
          <w:rFonts w:ascii="Times New Roman" w:eastAsia="Times New Roman" w:hAnsi="Times New Roman" w:cs="Times New Roman"/>
          <w:sz w:val="24"/>
          <w:szCs w:val="24"/>
          <w:lang w:val="en-US" w:eastAsia="ru-RU"/>
        </w:rPr>
        <w:t>Melezhik</w:t>
      </w:r>
      <w:proofErr w:type="spellEnd"/>
      <w:r w:rsidRPr="00B14B45">
        <w:rPr>
          <w:rFonts w:ascii="Times New Roman" w:eastAsia="Times New Roman" w:hAnsi="Times New Roman" w:cs="Times New Roman"/>
          <w:sz w:val="24"/>
          <w:szCs w:val="24"/>
          <w:lang w:val="en-US" w:eastAsia="ru-RU"/>
        </w:rPr>
        <w:t xml:space="preserve"> et al., 2005, Halverson et al., in press, </w:t>
      </w:r>
      <w:proofErr w:type="spellStart"/>
      <w:r w:rsidRPr="00B14B45">
        <w:rPr>
          <w:rFonts w:ascii="Times New Roman" w:eastAsia="Times New Roman" w:hAnsi="Times New Roman" w:cs="Times New Roman"/>
          <w:sz w:val="24"/>
          <w:szCs w:val="24"/>
          <w:lang w:val="en-US" w:eastAsia="ru-RU"/>
        </w:rPr>
        <w:t>Dehler</w:t>
      </w:r>
      <w:proofErr w:type="spellEnd"/>
      <w:r w:rsidRPr="00B14B45">
        <w:rPr>
          <w:rFonts w:ascii="Times New Roman" w:eastAsia="Times New Roman" w:hAnsi="Times New Roman" w:cs="Times New Roman"/>
          <w:sz w:val="24"/>
          <w:szCs w:val="24"/>
          <w:lang w:val="en-US" w:eastAsia="ru-RU"/>
        </w:rPr>
        <w:t xml:space="preserve"> et al., 2005). These anomalies complicate </w:t>
      </w:r>
      <w:proofErr w:type="spellStart"/>
      <w:r w:rsidRPr="00B14B45">
        <w:rPr>
          <w:rFonts w:ascii="Times New Roman" w:eastAsia="Times New Roman" w:hAnsi="Times New Roman" w:cs="Times New Roman"/>
          <w:sz w:val="24"/>
          <w:szCs w:val="24"/>
          <w:lang w:val="en-US" w:eastAsia="ru-RU"/>
        </w:rPr>
        <w:t>chemostratigraphic</w:t>
      </w:r>
      <w:proofErr w:type="spellEnd"/>
      <w:r w:rsidRPr="00B14B45">
        <w:rPr>
          <w:rFonts w:ascii="Times New Roman" w:eastAsia="Times New Roman" w:hAnsi="Times New Roman" w:cs="Times New Roman"/>
          <w:sz w:val="24"/>
          <w:szCs w:val="24"/>
          <w:lang w:val="en-US" w:eastAsia="ru-RU"/>
        </w:rPr>
        <w:t xml:space="preserve"> correlations and demand alternative explanations for their origin.</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Part of the Neoproterozoic Tambien Group in northern Ethiopia was recently remapped by Alene (Alene, 1998, Alene and </w:t>
      </w:r>
      <w:proofErr w:type="spellStart"/>
      <w:r w:rsidRPr="00B14B45">
        <w:rPr>
          <w:rFonts w:ascii="Times New Roman" w:eastAsia="Times New Roman" w:hAnsi="Times New Roman" w:cs="Times New Roman"/>
          <w:sz w:val="24"/>
          <w:szCs w:val="24"/>
          <w:lang w:val="en-US" w:eastAsia="ru-RU"/>
        </w:rPr>
        <w:t>Sacchi</w:t>
      </w:r>
      <w:proofErr w:type="spellEnd"/>
      <w:r w:rsidRPr="00B14B45">
        <w:rPr>
          <w:rFonts w:ascii="Times New Roman" w:eastAsia="Times New Roman" w:hAnsi="Times New Roman" w:cs="Times New Roman"/>
          <w:sz w:val="24"/>
          <w:szCs w:val="24"/>
          <w:lang w:val="en-US" w:eastAsia="ru-RU"/>
        </w:rPr>
        <w:t>, 2000, Alene et al., 2000). This Neoproterozoic sequence is one of the least studied in Africa, yet lies at a critical geotectonic boundary between the Arabian–Nubian Shield (mostly juvenile crust) to the north and Mozambique belt (mostly reworked older crust) to the south. Existing data (Miller et al</w:t>
      </w:r>
      <w:r w:rsidRPr="00B14B45">
        <w:rPr>
          <w:rFonts w:ascii="Times New Roman" w:eastAsia="Times New Roman" w:hAnsi="Times New Roman" w:cs="Times New Roman"/>
          <w:i/>
          <w:iCs/>
          <w:sz w:val="24"/>
          <w:szCs w:val="24"/>
          <w:lang w:val="en-US" w:eastAsia="ru-RU"/>
        </w:rPr>
        <w:t>.</w:t>
      </w:r>
      <w:r w:rsidRPr="00B14B45">
        <w:rPr>
          <w:rFonts w:ascii="Times New Roman" w:eastAsia="Times New Roman" w:hAnsi="Times New Roman" w:cs="Times New Roman"/>
          <w:sz w:val="24"/>
          <w:szCs w:val="24"/>
          <w:lang w:val="en-US" w:eastAsia="ru-RU"/>
        </w:rPr>
        <w:t xml:space="preserve">, 2003) suggest the Tambien Group could represent a rare sequence extending deep below the </w:t>
      </w:r>
      <w:proofErr w:type="spellStart"/>
      <w:r w:rsidRPr="00B14B45">
        <w:rPr>
          <w:rFonts w:ascii="Times New Roman" w:eastAsia="Times New Roman" w:hAnsi="Times New Roman" w:cs="Times New Roman"/>
          <w:sz w:val="24"/>
          <w:szCs w:val="24"/>
          <w:lang w:val="en-US" w:eastAsia="ru-RU"/>
        </w:rPr>
        <w:t>Sturtian</w:t>
      </w:r>
      <w:proofErr w:type="spellEnd"/>
      <w:r w:rsidRPr="00B14B45">
        <w:rPr>
          <w:rFonts w:ascii="Times New Roman" w:eastAsia="Times New Roman" w:hAnsi="Times New Roman" w:cs="Times New Roman"/>
          <w:sz w:val="24"/>
          <w:szCs w:val="24"/>
          <w:lang w:val="en-US" w:eastAsia="ru-RU"/>
        </w:rPr>
        <w:t xml:space="preserve"> glacial, perhaps only recorded elsewhere in Svalbard/East Greenland, Australia and Canada (Hill and Walter, 2000). We present new C- and Sr-isotope data that define a more complete isotope stratigraphy for these rocks, including at the base of the sequence a pronounced negative C-isotope anomaly that is not associated with glaciogenic rocks. These data allow us to make an improved correlation with the global isotope stratigraphy, extending this Neoproterozoic sequence downwards to at least 800 Ma in age, and provide support for a new model for non-glacial carbon isotope anomalies in the Neoproterozoic.</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t>Section snippets</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t>Regional setting</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The Neoproterozoic basement of central </w:t>
      </w:r>
      <w:proofErr w:type="spellStart"/>
      <w:r w:rsidRPr="00B14B45">
        <w:rPr>
          <w:rFonts w:ascii="Times New Roman" w:eastAsia="Times New Roman" w:hAnsi="Times New Roman" w:cs="Times New Roman"/>
          <w:sz w:val="24"/>
          <w:szCs w:val="24"/>
          <w:lang w:val="en-US" w:eastAsia="ru-RU"/>
        </w:rPr>
        <w:t>Tigrai</w:t>
      </w:r>
      <w:proofErr w:type="spellEnd"/>
      <w:r w:rsidRPr="00B14B45">
        <w:rPr>
          <w:rFonts w:ascii="Times New Roman" w:eastAsia="Times New Roman" w:hAnsi="Times New Roman" w:cs="Times New Roman"/>
          <w:sz w:val="24"/>
          <w:szCs w:val="24"/>
          <w:lang w:val="en-US" w:eastAsia="ru-RU"/>
        </w:rPr>
        <w:t xml:space="preserve">, northern Ethiopia (Fig. 1a), is composed of low-grade metavolcanics, slate, carbonates and </w:t>
      </w:r>
      <w:proofErr w:type="spellStart"/>
      <w:r w:rsidRPr="00B14B45">
        <w:rPr>
          <w:rFonts w:ascii="Times New Roman" w:eastAsia="Times New Roman" w:hAnsi="Times New Roman" w:cs="Times New Roman"/>
          <w:sz w:val="24"/>
          <w:szCs w:val="24"/>
          <w:lang w:val="en-US" w:eastAsia="ru-RU"/>
        </w:rPr>
        <w:t>plutonics</w:t>
      </w:r>
      <w:proofErr w:type="spellEnd"/>
      <w:r w:rsidRPr="00B14B45">
        <w:rPr>
          <w:rFonts w:ascii="Times New Roman" w:eastAsia="Times New Roman" w:hAnsi="Times New Roman" w:cs="Times New Roman"/>
          <w:sz w:val="24"/>
          <w:szCs w:val="24"/>
          <w:lang w:val="en-US" w:eastAsia="ru-RU"/>
        </w:rPr>
        <w:t xml:space="preserve"> (Arkin et al., 1971, </w:t>
      </w:r>
      <w:proofErr w:type="spellStart"/>
      <w:r w:rsidRPr="00B14B45">
        <w:rPr>
          <w:rFonts w:ascii="Times New Roman" w:eastAsia="Times New Roman" w:hAnsi="Times New Roman" w:cs="Times New Roman"/>
          <w:sz w:val="24"/>
          <w:szCs w:val="24"/>
          <w:lang w:val="en-US" w:eastAsia="ru-RU"/>
        </w:rPr>
        <w:t>Beyth</w:t>
      </w:r>
      <w:proofErr w:type="spellEnd"/>
      <w:r w:rsidRPr="00B14B45">
        <w:rPr>
          <w:rFonts w:ascii="Times New Roman" w:eastAsia="Times New Roman" w:hAnsi="Times New Roman" w:cs="Times New Roman"/>
          <w:sz w:val="24"/>
          <w:szCs w:val="24"/>
          <w:lang w:val="en-US" w:eastAsia="ru-RU"/>
        </w:rPr>
        <w:t>, 1971, Garland, 1972, Alene, 1998). It is in the south (</w:t>
      </w:r>
      <w:proofErr w:type="spellStart"/>
      <w:r w:rsidRPr="00B14B45">
        <w:rPr>
          <w:rFonts w:ascii="Times New Roman" w:eastAsia="Times New Roman" w:hAnsi="Times New Roman" w:cs="Times New Roman"/>
          <w:sz w:val="24"/>
          <w:szCs w:val="24"/>
          <w:lang w:val="en-US" w:eastAsia="ru-RU"/>
        </w:rPr>
        <w:t>Nafka</w:t>
      </w:r>
      <w:proofErr w:type="spellEnd"/>
      <w:r w:rsidRPr="00B14B45">
        <w:rPr>
          <w:rFonts w:ascii="Times New Roman" w:eastAsia="Times New Roman" w:hAnsi="Times New Roman" w:cs="Times New Roman"/>
          <w:sz w:val="24"/>
          <w:szCs w:val="24"/>
          <w:lang w:val="en-US" w:eastAsia="ru-RU"/>
        </w:rPr>
        <w:t xml:space="preserve"> terrane) of the Arabian–Nubian Shield (ANS) that developed during the Neoproterozoic by rifting, arc accretion and terrane amalgamation processes in the East African Orogen (Stern, 1994, </w:t>
      </w:r>
      <w:proofErr w:type="spellStart"/>
      <w:r w:rsidRPr="00B14B45">
        <w:rPr>
          <w:rFonts w:ascii="Times New Roman" w:eastAsia="Times New Roman" w:hAnsi="Times New Roman" w:cs="Times New Roman"/>
          <w:sz w:val="24"/>
          <w:szCs w:val="24"/>
          <w:lang w:val="en-US" w:eastAsia="ru-RU"/>
        </w:rPr>
        <w:t>Meert</w:t>
      </w:r>
      <w:proofErr w:type="spellEnd"/>
      <w:r w:rsidRPr="00B14B45">
        <w:rPr>
          <w:rFonts w:ascii="Times New Roman" w:eastAsia="Times New Roman" w:hAnsi="Times New Roman" w:cs="Times New Roman"/>
          <w:sz w:val="24"/>
          <w:szCs w:val="24"/>
          <w:lang w:val="en-US" w:eastAsia="ru-RU"/>
        </w:rPr>
        <w:t xml:space="preserve">, 2003, Johnson and </w:t>
      </w:r>
      <w:proofErr w:type="spellStart"/>
      <w:r w:rsidRPr="00B14B45">
        <w:rPr>
          <w:rFonts w:ascii="Times New Roman" w:eastAsia="Times New Roman" w:hAnsi="Times New Roman" w:cs="Times New Roman"/>
          <w:sz w:val="24"/>
          <w:szCs w:val="24"/>
          <w:lang w:val="en-US" w:eastAsia="ru-RU"/>
        </w:rPr>
        <w:t>Woldehaimanot</w:t>
      </w:r>
      <w:proofErr w:type="spellEnd"/>
      <w:r w:rsidRPr="00B14B45">
        <w:rPr>
          <w:rFonts w:ascii="Times New Roman" w:eastAsia="Times New Roman" w:hAnsi="Times New Roman" w:cs="Times New Roman"/>
          <w:sz w:val="24"/>
          <w:szCs w:val="24"/>
          <w:lang w:val="en-US" w:eastAsia="ru-RU"/>
        </w:rPr>
        <w:t>, 2003). The basement is overlain by</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t>The Tambien Group</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The Tambien Group is exposed in four inliers formed by D</w:t>
      </w:r>
      <w:r w:rsidRPr="00B14B45">
        <w:rPr>
          <w:rFonts w:ascii="Times New Roman" w:eastAsia="Times New Roman" w:hAnsi="Times New Roman" w:cs="Times New Roman"/>
          <w:sz w:val="24"/>
          <w:szCs w:val="24"/>
          <w:vertAlign w:val="subscript"/>
          <w:lang w:val="en-US" w:eastAsia="ru-RU"/>
        </w:rPr>
        <w:t>2</w:t>
      </w:r>
      <w:r w:rsidRPr="00B14B45">
        <w:rPr>
          <w:rFonts w:ascii="Times New Roman" w:eastAsia="Times New Roman" w:hAnsi="Times New Roman" w:cs="Times New Roman"/>
          <w:sz w:val="24"/>
          <w:szCs w:val="24"/>
          <w:lang w:val="en-US" w:eastAsia="ru-RU"/>
        </w:rPr>
        <w:t xml:space="preserve"> </w:t>
      </w:r>
      <w:proofErr w:type="spellStart"/>
      <w:r w:rsidRPr="00B14B45">
        <w:rPr>
          <w:rFonts w:ascii="Times New Roman" w:eastAsia="Times New Roman" w:hAnsi="Times New Roman" w:cs="Times New Roman"/>
          <w:sz w:val="24"/>
          <w:szCs w:val="24"/>
          <w:lang w:val="en-US" w:eastAsia="ru-RU"/>
        </w:rPr>
        <w:t>synclinoria</w:t>
      </w:r>
      <w:proofErr w:type="spellEnd"/>
      <w:r w:rsidRPr="00B14B45">
        <w:rPr>
          <w:rFonts w:ascii="Times New Roman" w:eastAsia="Times New Roman" w:hAnsi="Times New Roman" w:cs="Times New Roman"/>
          <w:sz w:val="24"/>
          <w:szCs w:val="24"/>
          <w:lang w:val="en-US" w:eastAsia="ru-RU"/>
        </w:rPr>
        <w:t xml:space="preserve">, from west to east: Mai </w:t>
      </w:r>
      <w:proofErr w:type="spellStart"/>
      <w:r w:rsidRPr="00B14B45">
        <w:rPr>
          <w:rFonts w:ascii="Times New Roman" w:eastAsia="Times New Roman" w:hAnsi="Times New Roman" w:cs="Times New Roman"/>
          <w:sz w:val="24"/>
          <w:szCs w:val="24"/>
          <w:lang w:val="en-US" w:eastAsia="ru-RU"/>
        </w:rPr>
        <w:t>Kenetal</w:t>
      </w:r>
      <w:proofErr w:type="spellEnd"/>
      <w:r w:rsidRPr="00B14B45">
        <w:rPr>
          <w:rFonts w:ascii="Times New Roman" w:eastAsia="Times New Roman" w:hAnsi="Times New Roman" w:cs="Times New Roman"/>
          <w:sz w:val="24"/>
          <w:szCs w:val="24"/>
          <w:lang w:val="en-US" w:eastAsia="ru-RU"/>
        </w:rPr>
        <w:t xml:space="preserve">, </w:t>
      </w:r>
      <w:proofErr w:type="spellStart"/>
      <w:r w:rsidRPr="00B14B45">
        <w:rPr>
          <w:rFonts w:ascii="Times New Roman" w:eastAsia="Times New Roman" w:hAnsi="Times New Roman" w:cs="Times New Roman"/>
          <w:sz w:val="24"/>
          <w:szCs w:val="24"/>
          <w:lang w:val="en-US" w:eastAsia="ru-RU"/>
        </w:rPr>
        <w:t>Tsedia</w:t>
      </w:r>
      <w:proofErr w:type="spellEnd"/>
      <w:r w:rsidRPr="00B14B45">
        <w:rPr>
          <w:rFonts w:ascii="Times New Roman" w:eastAsia="Times New Roman" w:hAnsi="Times New Roman" w:cs="Times New Roman"/>
          <w:sz w:val="24"/>
          <w:szCs w:val="24"/>
          <w:lang w:val="en-US" w:eastAsia="ru-RU"/>
        </w:rPr>
        <w:t xml:space="preserve">, </w:t>
      </w:r>
      <w:proofErr w:type="spellStart"/>
      <w:r w:rsidRPr="00B14B45">
        <w:rPr>
          <w:rFonts w:ascii="Times New Roman" w:eastAsia="Times New Roman" w:hAnsi="Times New Roman" w:cs="Times New Roman"/>
          <w:sz w:val="24"/>
          <w:szCs w:val="24"/>
          <w:lang w:val="en-US" w:eastAsia="ru-RU"/>
        </w:rPr>
        <w:t>Chehmit</w:t>
      </w:r>
      <w:proofErr w:type="spellEnd"/>
      <w:r w:rsidRPr="00B14B45">
        <w:rPr>
          <w:rFonts w:ascii="Times New Roman" w:eastAsia="Times New Roman" w:hAnsi="Times New Roman" w:cs="Times New Roman"/>
          <w:sz w:val="24"/>
          <w:szCs w:val="24"/>
          <w:lang w:val="en-US" w:eastAsia="ru-RU"/>
        </w:rPr>
        <w:t xml:space="preserve"> and </w:t>
      </w:r>
      <w:proofErr w:type="spellStart"/>
      <w:r w:rsidRPr="00B14B45">
        <w:rPr>
          <w:rFonts w:ascii="Times New Roman" w:eastAsia="Times New Roman" w:hAnsi="Times New Roman" w:cs="Times New Roman"/>
          <w:sz w:val="24"/>
          <w:szCs w:val="24"/>
          <w:lang w:val="en-US" w:eastAsia="ru-RU"/>
        </w:rPr>
        <w:t>Negash</w:t>
      </w:r>
      <w:proofErr w:type="spellEnd"/>
      <w:r w:rsidRPr="00B14B45">
        <w:rPr>
          <w:rFonts w:ascii="Times New Roman" w:eastAsia="Times New Roman" w:hAnsi="Times New Roman" w:cs="Times New Roman"/>
          <w:sz w:val="24"/>
          <w:szCs w:val="24"/>
          <w:lang w:val="en-US" w:eastAsia="ru-RU"/>
        </w:rPr>
        <w:t xml:space="preserve"> (</w:t>
      </w:r>
      <w:proofErr w:type="spellStart"/>
      <w:r w:rsidRPr="00B14B45">
        <w:rPr>
          <w:rFonts w:ascii="Times New Roman" w:eastAsia="Times New Roman" w:hAnsi="Times New Roman" w:cs="Times New Roman"/>
          <w:sz w:val="24"/>
          <w:szCs w:val="24"/>
          <w:lang w:val="en-US" w:eastAsia="ru-RU"/>
        </w:rPr>
        <w:t>Beyth</w:t>
      </w:r>
      <w:proofErr w:type="spellEnd"/>
      <w:r w:rsidRPr="00B14B45">
        <w:rPr>
          <w:rFonts w:ascii="Times New Roman" w:eastAsia="Times New Roman" w:hAnsi="Times New Roman" w:cs="Times New Roman"/>
          <w:sz w:val="24"/>
          <w:szCs w:val="24"/>
          <w:lang w:val="en-US" w:eastAsia="ru-RU"/>
        </w:rPr>
        <w:t xml:space="preserve">, 1971; Fig. 1a). Each sequence contains </w:t>
      </w:r>
      <w:r w:rsidRPr="00B14B45">
        <w:rPr>
          <w:rFonts w:ascii="Cambria Math" w:eastAsia="Times New Roman" w:hAnsi="Cambria Math" w:cs="Cambria Math"/>
          <w:sz w:val="24"/>
          <w:szCs w:val="24"/>
          <w:lang w:val="en-US" w:eastAsia="ru-RU"/>
        </w:rPr>
        <w:t>∼</w:t>
      </w:r>
      <w:r w:rsidRPr="00B14B45">
        <w:rPr>
          <w:rFonts w:ascii="Times New Roman" w:eastAsia="Times New Roman" w:hAnsi="Times New Roman" w:cs="Times New Roman"/>
          <w:sz w:val="24"/>
          <w:szCs w:val="24"/>
          <w:lang w:val="en-US" w:eastAsia="ru-RU"/>
        </w:rPr>
        <w:t>2–3 km true thickness of sediment after dips from D</w:t>
      </w:r>
      <w:r w:rsidRPr="00B14B45">
        <w:rPr>
          <w:rFonts w:ascii="Times New Roman" w:eastAsia="Times New Roman" w:hAnsi="Times New Roman" w:cs="Times New Roman"/>
          <w:sz w:val="24"/>
          <w:szCs w:val="24"/>
          <w:vertAlign w:val="subscript"/>
          <w:lang w:val="en-US" w:eastAsia="ru-RU"/>
        </w:rPr>
        <w:t>2</w:t>
      </w:r>
      <w:r w:rsidRPr="00B14B45">
        <w:rPr>
          <w:rFonts w:ascii="Times New Roman" w:eastAsia="Times New Roman" w:hAnsi="Times New Roman" w:cs="Times New Roman"/>
          <w:sz w:val="24"/>
          <w:szCs w:val="24"/>
          <w:lang w:val="en-US" w:eastAsia="ru-RU"/>
        </w:rPr>
        <w:t xml:space="preserve"> folds are removed (Fig. 2). D</w:t>
      </w:r>
      <w:r w:rsidRPr="00B14B45">
        <w:rPr>
          <w:rFonts w:ascii="Times New Roman" w:eastAsia="Times New Roman" w:hAnsi="Times New Roman" w:cs="Times New Roman"/>
          <w:sz w:val="24"/>
          <w:szCs w:val="24"/>
          <w:vertAlign w:val="subscript"/>
          <w:lang w:val="en-US" w:eastAsia="ru-RU"/>
        </w:rPr>
        <w:t>1</w:t>
      </w:r>
      <w:r w:rsidRPr="00B14B45">
        <w:rPr>
          <w:rFonts w:ascii="Times New Roman" w:eastAsia="Times New Roman" w:hAnsi="Times New Roman" w:cs="Times New Roman"/>
          <w:sz w:val="24"/>
          <w:szCs w:val="24"/>
          <w:lang w:val="en-US" w:eastAsia="ru-RU"/>
        </w:rPr>
        <w:t xml:space="preserve"> folds cause only local repetitions of stratigraphy</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In the Mai </w:t>
      </w:r>
      <w:proofErr w:type="spellStart"/>
      <w:r w:rsidRPr="00B14B45">
        <w:rPr>
          <w:rFonts w:ascii="Times New Roman" w:eastAsia="Times New Roman" w:hAnsi="Times New Roman" w:cs="Times New Roman"/>
          <w:sz w:val="24"/>
          <w:szCs w:val="24"/>
          <w:lang w:val="en-US" w:eastAsia="ru-RU"/>
        </w:rPr>
        <w:t>Kenetal</w:t>
      </w:r>
      <w:proofErr w:type="spellEnd"/>
      <w:r w:rsidRPr="00B14B45">
        <w:rPr>
          <w:rFonts w:ascii="Times New Roman" w:eastAsia="Times New Roman" w:hAnsi="Times New Roman" w:cs="Times New Roman"/>
          <w:sz w:val="24"/>
          <w:szCs w:val="24"/>
          <w:lang w:val="en-US" w:eastAsia="ru-RU"/>
        </w:rPr>
        <w:t xml:space="preserve"> section (Fig. 1, Fig. 2) the lithologic sequence comprises (from bottom to top): Lower Slate (</w:t>
      </w:r>
      <w:proofErr w:type="spellStart"/>
      <w:r w:rsidRPr="00B14B45">
        <w:rPr>
          <w:rFonts w:ascii="Times New Roman" w:eastAsia="Times New Roman" w:hAnsi="Times New Roman" w:cs="Times New Roman"/>
          <w:sz w:val="24"/>
          <w:szCs w:val="24"/>
          <w:lang w:val="en-US" w:eastAsia="ru-RU"/>
        </w:rPr>
        <w:t>Werii</w:t>
      </w:r>
      <w:proofErr w:type="spellEnd"/>
      <w:r w:rsidRPr="00B14B45">
        <w:rPr>
          <w:rFonts w:ascii="Times New Roman" w:eastAsia="Times New Roman" w:hAnsi="Times New Roman" w:cs="Times New Roman"/>
          <w:sz w:val="24"/>
          <w:szCs w:val="24"/>
          <w:lang w:val="en-US" w:eastAsia="ru-RU"/>
        </w:rPr>
        <w:t xml:space="preserve"> Slate), Lower Limestone (</w:t>
      </w:r>
      <w:proofErr w:type="spellStart"/>
      <w:r w:rsidRPr="00B14B45">
        <w:rPr>
          <w:rFonts w:ascii="Times New Roman" w:eastAsia="Times New Roman" w:hAnsi="Times New Roman" w:cs="Times New Roman"/>
          <w:sz w:val="24"/>
          <w:szCs w:val="24"/>
          <w:lang w:val="en-US" w:eastAsia="ru-RU"/>
        </w:rPr>
        <w:t>Assem</w:t>
      </w:r>
      <w:proofErr w:type="spellEnd"/>
      <w:r w:rsidRPr="00B14B45">
        <w:rPr>
          <w:rFonts w:ascii="Times New Roman" w:eastAsia="Times New Roman" w:hAnsi="Times New Roman" w:cs="Times New Roman"/>
          <w:sz w:val="24"/>
          <w:szCs w:val="24"/>
          <w:lang w:val="en-US" w:eastAsia="ru-RU"/>
        </w:rPr>
        <w:t xml:space="preserve"> Limestone), Upper Slate (</w:t>
      </w:r>
      <w:proofErr w:type="spellStart"/>
      <w:r w:rsidRPr="00B14B45">
        <w:rPr>
          <w:rFonts w:ascii="Times New Roman" w:eastAsia="Times New Roman" w:hAnsi="Times New Roman" w:cs="Times New Roman"/>
          <w:sz w:val="24"/>
          <w:szCs w:val="24"/>
          <w:lang w:val="en-US" w:eastAsia="ru-RU"/>
        </w:rPr>
        <w:t>Tsedia</w:t>
      </w:r>
      <w:proofErr w:type="spellEnd"/>
      <w:r w:rsidRPr="00B14B45">
        <w:rPr>
          <w:rFonts w:ascii="Times New Roman" w:eastAsia="Times New Roman" w:hAnsi="Times New Roman" w:cs="Times New Roman"/>
          <w:sz w:val="24"/>
          <w:szCs w:val="24"/>
          <w:lang w:val="en-US" w:eastAsia="ru-RU"/>
        </w:rPr>
        <w:t xml:space="preserve"> Slate) </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lastRenderedPageBreak/>
        <w:t>Sampling</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Because all samples have been metamorphosed and some parts of the sequence are veined, we have sampled in order to </w:t>
      </w:r>
      <w:proofErr w:type="spellStart"/>
      <w:r w:rsidRPr="00B14B45">
        <w:rPr>
          <w:rFonts w:ascii="Times New Roman" w:eastAsia="Times New Roman" w:hAnsi="Times New Roman" w:cs="Times New Roman"/>
          <w:sz w:val="24"/>
          <w:szCs w:val="24"/>
          <w:lang w:val="en-US" w:eastAsia="ru-RU"/>
        </w:rPr>
        <w:t>characterise</w:t>
      </w:r>
      <w:proofErr w:type="spellEnd"/>
      <w:r w:rsidRPr="00B14B45">
        <w:rPr>
          <w:rFonts w:ascii="Times New Roman" w:eastAsia="Times New Roman" w:hAnsi="Times New Roman" w:cs="Times New Roman"/>
          <w:sz w:val="24"/>
          <w:szCs w:val="24"/>
          <w:lang w:val="en-US" w:eastAsia="ru-RU"/>
        </w:rPr>
        <w:t xml:space="preserve"> any post-D</w:t>
      </w:r>
      <w:r w:rsidRPr="00B14B45">
        <w:rPr>
          <w:rFonts w:ascii="Times New Roman" w:eastAsia="Times New Roman" w:hAnsi="Times New Roman" w:cs="Times New Roman"/>
          <w:sz w:val="24"/>
          <w:szCs w:val="24"/>
          <w:vertAlign w:val="subscript"/>
          <w:lang w:val="en-US" w:eastAsia="ru-RU"/>
        </w:rPr>
        <w:t>1</w:t>
      </w:r>
      <w:r w:rsidRPr="00B14B45">
        <w:rPr>
          <w:rFonts w:ascii="Times New Roman" w:eastAsia="Times New Roman" w:hAnsi="Times New Roman" w:cs="Times New Roman"/>
          <w:sz w:val="24"/>
          <w:szCs w:val="24"/>
          <w:lang w:val="en-US" w:eastAsia="ru-RU"/>
        </w:rPr>
        <w:t xml:space="preserve"> vein material present, identified as being coarsely crystalline (typically 1–5 mm grain size) and cross-cutting the metamorphic fabric, as well as the least altered rock away from the veins. This strategy enables us to identify the least altered samples at any horizon by monitoring the direction in which the geochemistry of samples was altered by the late</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t>Preservation of primary isotope signatures</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Because our samples have experienced deformation and low-grade metamorphism it is imperative that we demonstrate we are recording depositional isotope signatures rather than altered values imposed post-deposition. This problem applies to all Neoproterozoic samples but is often perceived to be more acute for samples that have been metamorphosed. However, this may not necessarily be the case because, once they have </w:t>
      </w:r>
      <w:proofErr w:type="spellStart"/>
      <w:r w:rsidRPr="00B14B45">
        <w:rPr>
          <w:rFonts w:ascii="Times New Roman" w:eastAsia="Times New Roman" w:hAnsi="Times New Roman" w:cs="Times New Roman"/>
          <w:sz w:val="24"/>
          <w:szCs w:val="24"/>
          <w:lang w:val="en-US" w:eastAsia="ru-RU"/>
        </w:rPr>
        <w:t>recrystallised</w:t>
      </w:r>
      <w:proofErr w:type="spellEnd"/>
      <w:r w:rsidRPr="00B14B45">
        <w:rPr>
          <w:rFonts w:ascii="Times New Roman" w:eastAsia="Times New Roman" w:hAnsi="Times New Roman" w:cs="Times New Roman"/>
          <w:sz w:val="24"/>
          <w:szCs w:val="24"/>
          <w:lang w:val="en-US" w:eastAsia="ru-RU"/>
        </w:rPr>
        <w:t xml:space="preserve"> during the earliest stages of metamorphism, it is widely agreed</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t>Local correlation</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Correlation between the Mai </w:t>
      </w:r>
      <w:proofErr w:type="spellStart"/>
      <w:r w:rsidRPr="00B14B45">
        <w:rPr>
          <w:rFonts w:ascii="Times New Roman" w:eastAsia="Times New Roman" w:hAnsi="Times New Roman" w:cs="Times New Roman"/>
          <w:sz w:val="24"/>
          <w:szCs w:val="24"/>
          <w:lang w:val="en-US" w:eastAsia="ru-RU"/>
        </w:rPr>
        <w:t>Kenetal</w:t>
      </w:r>
      <w:proofErr w:type="spellEnd"/>
      <w:r w:rsidRPr="00B14B45">
        <w:rPr>
          <w:rFonts w:ascii="Times New Roman" w:eastAsia="Times New Roman" w:hAnsi="Times New Roman" w:cs="Times New Roman"/>
          <w:sz w:val="24"/>
          <w:szCs w:val="24"/>
          <w:lang w:val="en-US" w:eastAsia="ru-RU"/>
        </w:rPr>
        <w:t xml:space="preserve"> and </w:t>
      </w:r>
      <w:proofErr w:type="spellStart"/>
      <w:r w:rsidRPr="00B14B45">
        <w:rPr>
          <w:rFonts w:ascii="Times New Roman" w:eastAsia="Times New Roman" w:hAnsi="Times New Roman" w:cs="Times New Roman"/>
          <w:sz w:val="24"/>
          <w:szCs w:val="24"/>
          <w:lang w:val="en-US" w:eastAsia="ru-RU"/>
        </w:rPr>
        <w:t>Tsedia</w:t>
      </w:r>
      <w:proofErr w:type="spellEnd"/>
      <w:r w:rsidRPr="00B14B45">
        <w:rPr>
          <w:rFonts w:ascii="Times New Roman" w:eastAsia="Times New Roman" w:hAnsi="Times New Roman" w:cs="Times New Roman"/>
          <w:sz w:val="24"/>
          <w:szCs w:val="24"/>
          <w:lang w:val="en-US" w:eastAsia="ru-RU"/>
        </w:rPr>
        <w:t xml:space="preserve"> inliers is relatively straightforward (Fig. 6), with the </w:t>
      </w:r>
      <w:proofErr w:type="spellStart"/>
      <w:r w:rsidRPr="00B14B45">
        <w:rPr>
          <w:rFonts w:ascii="Times New Roman" w:eastAsia="Times New Roman" w:hAnsi="Times New Roman" w:cs="Times New Roman"/>
          <w:sz w:val="24"/>
          <w:szCs w:val="24"/>
          <w:lang w:val="en-US" w:eastAsia="ru-RU"/>
        </w:rPr>
        <w:t>Tsedia</w:t>
      </w:r>
      <w:proofErr w:type="spellEnd"/>
      <w:r w:rsidRPr="00B14B45">
        <w:rPr>
          <w:rFonts w:ascii="Times New Roman" w:eastAsia="Times New Roman" w:hAnsi="Times New Roman" w:cs="Times New Roman"/>
          <w:sz w:val="24"/>
          <w:szCs w:val="24"/>
          <w:lang w:val="en-US" w:eastAsia="ru-RU"/>
        </w:rPr>
        <w:t xml:space="preserve"> inlier containing a more expanded sequence that is truncated to a deeper level by the sub-Phanerozoic unconformity. The distinctive C- and Sr-isotope data in the Lower Limestones in both inliers confirm this lithostratigraphic correlation. To the east, the even thicker </w:t>
      </w:r>
      <w:proofErr w:type="spellStart"/>
      <w:r w:rsidRPr="00B14B45">
        <w:rPr>
          <w:rFonts w:ascii="Times New Roman" w:eastAsia="Times New Roman" w:hAnsi="Times New Roman" w:cs="Times New Roman"/>
          <w:sz w:val="24"/>
          <w:szCs w:val="24"/>
          <w:lang w:val="en-US" w:eastAsia="ru-RU"/>
        </w:rPr>
        <w:t>Chehmit</w:t>
      </w:r>
      <w:proofErr w:type="spellEnd"/>
      <w:r w:rsidRPr="00B14B45">
        <w:rPr>
          <w:rFonts w:ascii="Times New Roman" w:eastAsia="Times New Roman" w:hAnsi="Times New Roman" w:cs="Times New Roman"/>
          <w:sz w:val="24"/>
          <w:szCs w:val="24"/>
          <w:lang w:val="en-US" w:eastAsia="ru-RU"/>
        </w:rPr>
        <w:t xml:space="preserve"> inlier (Fig. 1a) is structurally more complex and further work is required to unravel the stratigraphy.</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t>Chronostratigraphic age and duration of the Tambien Group</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The age, and indeed number, of </w:t>
      </w:r>
      <w:proofErr w:type="spellStart"/>
      <w:r w:rsidRPr="00B14B45">
        <w:rPr>
          <w:rFonts w:ascii="Times New Roman" w:eastAsia="Times New Roman" w:hAnsi="Times New Roman" w:cs="Times New Roman"/>
          <w:sz w:val="24"/>
          <w:szCs w:val="24"/>
          <w:lang w:val="en-US" w:eastAsia="ru-RU"/>
        </w:rPr>
        <w:t>Sturtian</w:t>
      </w:r>
      <w:proofErr w:type="spellEnd"/>
      <w:r w:rsidRPr="00B14B45">
        <w:rPr>
          <w:rFonts w:ascii="Times New Roman" w:eastAsia="Times New Roman" w:hAnsi="Times New Roman" w:cs="Times New Roman"/>
          <w:sz w:val="24"/>
          <w:szCs w:val="24"/>
          <w:lang w:val="en-US" w:eastAsia="ru-RU"/>
        </w:rPr>
        <w:t xml:space="preserve"> glacial intervals is still a matter of debate. Available </w:t>
      </w:r>
      <w:proofErr w:type="gramStart"/>
      <w:r w:rsidRPr="00B14B45">
        <w:rPr>
          <w:rFonts w:ascii="Times New Roman" w:eastAsia="Times New Roman" w:hAnsi="Times New Roman" w:cs="Times New Roman"/>
          <w:sz w:val="24"/>
          <w:szCs w:val="24"/>
          <w:lang w:val="en-US" w:eastAsia="ru-RU"/>
        </w:rPr>
        <w:t>high quality</w:t>
      </w:r>
      <w:proofErr w:type="gramEnd"/>
      <w:r w:rsidRPr="00B14B45">
        <w:rPr>
          <w:rFonts w:ascii="Times New Roman" w:eastAsia="Times New Roman" w:hAnsi="Times New Roman" w:cs="Times New Roman"/>
          <w:sz w:val="24"/>
          <w:szCs w:val="24"/>
          <w:lang w:val="en-US" w:eastAsia="ru-RU"/>
        </w:rPr>
        <w:t xml:space="preserve"> geochronological data that constrain the age are </w:t>
      </w:r>
      <w:proofErr w:type="spellStart"/>
      <w:r w:rsidRPr="00B14B45">
        <w:rPr>
          <w:rFonts w:ascii="Times New Roman" w:eastAsia="Times New Roman" w:hAnsi="Times New Roman" w:cs="Times New Roman"/>
          <w:sz w:val="24"/>
          <w:szCs w:val="24"/>
          <w:lang w:val="en-US" w:eastAsia="ru-RU"/>
        </w:rPr>
        <w:t>summarised</w:t>
      </w:r>
      <w:proofErr w:type="spellEnd"/>
      <w:r w:rsidRPr="00B14B45">
        <w:rPr>
          <w:rFonts w:ascii="Times New Roman" w:eastAsia="Times New Roman" w:hAnsi="Times New Roman" w:cs="Times New Roman"/>
          <w:sz w:val="24"/>
          <w:szCs w:val="24"/>
          <w:lang w:val="en-US" w:eastAsia="ru-RU"/>
        </w:rPr>
        <w:t xml:space="preserve"> in Fig. 7. The body of evidence is consistent with a glaciation of global extent at </w:t>
      </w:r>
      <w:r w:rsidRPr="00B14B45">
        <w:rPr>
          <w:rFonts w:ascii="Cambria Math" w:eastAsia="Times New Roman" w:hAnsi="Cambria Math" w:cs="Cambria Math"/>
          <w:sz w:val="24"/>
          <w:szCs w:val="24"/>
          <w:lang w:val="en-US" w:eastAsia="ru-RU"/>
        </w:rPr>
        <w:t>∼</w:t>
      </w:r>
      <w:r w:rsidRPr="00B14B45">
        <w:rPr>
          <w:rFonts w:ascii="Times New Roman" w:eastAsia="Times New Roman" w:hAnsi="Times New Roman" w:cs="Times New Roman"/>
          <w:sz w:val="24"/>
          <w:szCs w:val="24"/>
          <w:lang w:val="en-US" w:eastAsia="ru-RU"/>
        </w:rPr>
        <w:t>745–735 Ma, most closely constrained by the following dates:</w:t>
      </w:r>
    </w:p>
    <w:p w:rsidR="00B14B45" w:rsidRPr="00B14B45" w:rsidRDefault="00B14B45" w:rsidP="00B14B45">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B14B45">
        <w:rPr>
          <w:rFonts w:ascii="Times New Roman" w:eastAsia="Times New Roman" w:hAnsi="Times New Roman" w:cs="Times New Roman"/>
          <w:sz w:val="24"/>
          <w:szCs w:val="24"/>
          <w:lang w:eastAsia="ru-RU"/>
        </w:rPr>
        <w:t>1.</w:t>
      </w:r>
    </w:p>
    <w:p w:rsidR="00B14B45" w:rsidRPr="00B14B45" w:rsidRDefault="00B14B45" w:rsidP="00B14B45">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A maximum age constraint of 746 ± 2 Ma from the </w:t>
      </w:r>
      <w:proofErr w:type="spellStart"/>
      <w:r w:rsidRPr="00B14B45">
        <w:rPr>
          <w:rFonts w:ascii="Times New Roman" w:eastAsia="Times New Roman" w:hAnsi="Times New Roman" w:cs="Times New Roman"/>
          <w:sz w:val="24"/>
          <w:szCs w:val="24"/>
          <w:lang w:val="en-US" w:eastAsia="ru-RU"/>
        </w:rPr>
        <w:t>Naawpoort</w:t>
      </w:r>
      <w:proofErr w:type="spellEnd"/>
      <w:r w:rsidRPr="00B14B45">
        <w:rPr>
          <w:rFonts w:ascii="Times New Roman" w:eastAsia="Times New Roman" w:hAnsi="Times New Roman" w:cs="Times New Roman"/>
          <w:sz w:val="24"/>
          <w:szCs w:val="24"/>
          <w:lang w:val="en-US" w:eastAsia="ru-RU"/>
        </w:rPr>
        <w:t xml:space="preserve"> </w:t>
      </w:r>
      <w:proofErr w:type="spellStart"/>
      <w:r w:rsidRPr="00B14B45">
        <w:rPr>
          <w:rFonts w:ascii="Times New Roman" w:eastAsia="Times New Roman" w:hAnsi="Times New Roman" w:cs="Times New Roman"/>
          <w:sz w:val="24"/>
          <w:szCs w:val="24"/>
          <w:lang w:val="en-US" w:eastAsia="ru-RU"/>
        </w:rPr>
        <w:t>Volcanics</w:t>
      </w:r>
      <w:proofErr w:type="spellEnd"/>
      <w:r w:rsidRPr="00B14B45">
        <w:rPr>
          <w:rFonts w:ascii="Times New Roman" w:eastAsia="Times New Roman" w:hAnsi="Times New Roman" w:cs="Times New Roman"/>
          <w:sz w:val="24"/>
          <w:szCs w:val="24"/>
          <w:lang w:val="en-US" w:eastAsia="ru-RU"/>
        </w:rPr>
        <w:t xml:space="preserve">, &gt;700 m beneath the </w:t>
      </w:r>
      <w:proofErr w:type="spellStart"/>
      <w:r w:rsidRPr="00B14B45">
        <w:rPr>
          <w:rFonts w:ascii="Times New Roman" w:eastAsia="Times New Roman" w:hAnsi="Times New Roman" w:cs="Times New Roman"/>
          <w:sz w:val="24"/>
          <w:szCs w:val="24"/>
          <w:lang w:val="en-US" w:eastAsia="ru-RU"/>
        </w:rPr>
        <w:t>Chuos</w:t>
      </w:r>
      <w:proofErr w:type="spellEnd"/>
      <w:r w:rsidRPr="00B14B45">
        <w:rPr>
          <w:rFonts w:ascii="Times New Roman" w:eastAsia="Times New Roman" w:hAnsi="Times New Roman" w:cs="Times New Roman"/>
          <w:sz w:val="24"/>
          <w:szCs w:val="24"/>
          <w:lang w:val="en-US" w:eastAsia="ru-RU"/>
        </w:rPr>
        <w:t xml:space="preserve"> Formation in N. Namibia (Hoffman et al., 1996).</w:t>
      </w:r>
    </w:p>
    <w:p w:rsidR="00B14B45" w:rsidRPr="00B14B45" w:rsidRDefault="00B14B45" w:rsidP="00B14B45">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B14B45">
        <w:rPr>
          <w:rFonts w:ascii="Times New Roman" w:eastAsia="Times New Roman" w:hAnsi="Times New Roman" w:cs="Times New Roman"/>
          <w:sz w:val="24"/>
          <w:szCs w:val="24"/>
          <w:lang w:eastAsia="ru-RU"/>
        </w:rPr>
        <w:t>2.</w:t>
      </w:r>
    </w:p>
    <w:p w:rsidR="00B14B45" w:rsidRPr="00B14B45" w:rsidRDefault="00B14B45" w:rsidP="00B14B45">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Rhyolitic flows, dated at 742 ± 2 Ma (Fetter and</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eastAsia="ru-RU"/>
        </w:rPr>
        <w:t>δ</w:t>
      </w:r>
      <w:r w:rsidRPr="00B14B45">
        <w:rPr>
          <w:rFonts w:ascii="Times New Roman" w:eastAsia="Times New Roman" w:hAnsi="Times New Roman" w:cs="Times New Roman"/>
          <w:b/>
          <w:bCs/>
          <w:sz w:val="36"/>
          <w:szCs w:val="36"/>
          <w:vertAlign w:val="superscript"/>
          <w:lang w:val="en-US" w:eastAsia="ru-RU"/>
        </w:rPr>
        <w:t>13</w:t>
      </w:r>
      <w:r w:rsidRPr="00B14B45">
        <w:rPr>
          <w:rFonts w:ascii="Times New Roman" w:eastAsia="Times New Roman" w:hAnsi="Times New Roman" w:cs="Times New Roman"/>
          <w:b/>
          <w:bCs/>
          <w:sz w:val="36"/>
          <w:szCs w:val="36"/>
          <w:lang w:val="en-US" w:eastAsia="ru-RU"/>
        </w:rPr>
        <w:t>C</w:t>
      </w:r>
      <w:r w:rsidRPr="00B14B45">
        <w:rPr>
          <w:rFonts w:ascii="Times New Roman" w:eastAsia="Times New Roman" w:hAnsi="Times New Roman" w:cs="Times New Roman"/>
          <w:b/>
          <w:bCs/>
          <w:sz w:val="36"/>
          <w:szCs w:val="36"/>
          <w:vertAlign w:val="subscript"/>
          <w:lang w:val="en-US" w:eastAsia="ru-RU"/>
        </w:rPr>
        <w:t>org</w:t>
      </w:r>
      <w:r w:rsidRPr="00B14B45">
        <w:rPr>
          <w:rFonts w:ascii="Times New Roman" w:eastAsia="Times New Roman" w:hAnsi="Times New Roman" w:cs="Times New Roman"/>
          <w:b/>
          <w:bCs/>
          <w:sz w:val="36"/>
          <w:szCs w:val="36"/>
          <w:lang w:val="en-US" w:eastAsia="ru-RU"/>
        </w:rPr>
        <w:t xml:space="preserve"> data and C-isotope fractionation</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Fig. 8 shows profiles of C-isotope data for a composite Mai </w:t>
      </w:r>
      <w:proofErr w:type="spellStart"/>
      <w:r w:rsidRPr="00B14B45">
        <w:rPr>
          <w:rFonts w:ascii="Times New Roman" w:eastAsia="Times New Roman" w:hAnsi="Times New Roman" w:cs="Times New Roman"/>
          <w:sz w:val="24"/>
          <w:szCs w:val="24"/>
          <w:lang w:val="en-US" w:eastAsia="ru-RU"/>
        </w:rPr>
        <w:t>Kenetal</w:t>
      </w:r>
      <w:proofErr w:type="spellEnd"/>
      <w:r w:rsidRPr="00B14B45">
        <w:rPr>
          <w:rFonts w:ascii="Times New Roman" w:eastAsia="Times New Roman" w:hAnsi="Times New Roman" w:cs="Times New Roman"/>
          <w:sz w:val="24"/>
          <w:szCs w:val="24"/>
          <w:lang w:val="en-US" w:eastAsia="ru-RU"/>
        </w:rPr>
        <w:t>/</w:t>
      </w:r>
      <w:proofErr w:type="spellStart"/>
      <w:r w:rsidRPr="00B14B45">
        <w:rPr>
          <w:rFonts w:ascii="Times New Roman" w:eastAsia="Times New Roman" w:hAnsi="Times New Roman" w:cs="Times New Roman"/>
          <w:sz w:val="24"/>
          <w:szCs w:val="24"/>
          <w:lang w:val="en-US" w:eastAsia="ru-RU"/>
        </w:rPr>
        <w:t>Tsedia</w:t>
      </w:r>
      <w:proofErr w:type="spellEnd"/>
      <w:r w:rsidRPr="00B14B45">
        <w:rPr>
          <w:rFonts w:ascii="Times New Roman" w:eastAsia="Times New Roman" w:hAnsi="Times New Roman" w:cs="Times New Roman"/>
          <w:sz w:val="24"/>
          <w:szCs w:val="24"/>
          <w:lang w:val="en-US" w:eastAsia="ru-RU"/>
        </w:rPr>
        <w:t xml:space="preserve"> section. As discussed above, considering the possible effects of diagenesis and sample preparation, the </w:t>
      </w:r>
      <w:r w:rsidRPr="00B14B45">
        <w:rPr>
          <w:rFonts w:ascii="Times New Roman" w:eastAsia="Times New Roman" w:hAnsi="Times New Roman" w:cs="Times New Roman"/>
          <w:sz w:val="24"/>
          <w:szCs w:val="24"/>
          <w:lang w:eastAsia="ru-RU"/>
        </w:rPr>
        <w:t>δ</w:t>
      </w:r>
      <w:r w:rsidRPr="00B14B45">
        <w:rPr>
          <w:rFonts w:ascii="Times New Roman" w:eastAsia="Times New Roman" w:hAnsi="Times New Roman" w:cs="Times New Roman"/>
          <w:sz w:val="24"/>
          <w:szCs w:val="24"/>
          <w:vertAlign w:val="superscript"/>
          <w:lang w:val="en-US" w:eastAsia="ru-RU"/>
        </w:rPr>
        <w:t>13</w:t>
      </w:r>
      <w:r w:rsidRPr="00B14B45">
        <w:rPr>
          <w:rFonts w:ascii="Times New Roman" w:eastAsia="Times New Roman" w:hAnsi="Times New Roman" w:cs="Times New Roman"/>
          <w:sz w:val="24"/>
          <w:szCs w:val="24"/>
          <w:lang w:val="en-US" w:eastAsia="ru-RU"/>
        </w:rPr>
        <w:t>C</w:t>
      </w:r>
      <w:r w:rsidRPr="00B14B45">
        <w:rPr>
          <w:rFonts w:ascii="Times New Roman" w:eastAsia="Times New Roman" w:hAnsi="Times New Roman" w:cs="Times New Roman"/>
          <w:sz w:val="24"/>
          <w:szCs w:val="24"/>
          <w:vertAlign w:val="subscript"/>
          <w:lang w:val="en-US" w:eastAsia="ru-RU"/>
        </w:rPr>
        <w:t>org</w:t>
      </w:r>
      <w:r w:rsidRPr="00B14B45">
        <w:rPr>
          <w:rFonts w:ascii="Times New Roman" w:eastAsia="Times New Roman" w:hAnsi="Times New Roman" w:cs="Times New Roman"/>
          <w:sz w:val="24"/>
          <w:szCs w:val="24"/>
          <w:lang w:val="en-US" w:eastAsia="ru-RU"/>
        </w:rPr>
        <w:t xml:space="preserve"> represents </w:t>
      </w:r>
      <w:r w:rsidRPr="00B14B45">
        <w:rPr>
          <w:rFonts w:ascii="Times New Roman" w:eastAsia="Times New Roman" w:hAnsi="Times New Roman" w:cs="Times New Roman"/>
          <w:i/>
          <w:iCs/>
          <w:sz w:val="24"/>
          <w:szCs w:val="24"/>
          <w:lang w:val="en-US" w:eastAsia="ru-RU"/>
        </w:rPr>
        <w:t>maximum</w:t>
      </w:r>
      <w:r w:rsidRPr="00B14B45">
        <w:rPr>
          <w:rFonts w:ascii="Times New Roman" w:eastAsia="Times New Roman" w:hAnsi="Times New Roman" w:cs="Times New Roman"/>
          <w:sz w:val="24"/>
          <w:szCs w:val="24"/>
          <w:lang w:val="en-US" w:eastAsia="ru-RU"/>
        </w:rPr>
        <w:t xml:space="preserve"> values and thus the fractionation between carbonate and organic matter </w:t>
      </w:r>
      <w:r w:rsidRPr="00B14B45">
        <w:rPr>
          <w:rFonts w:ascii="Times New Roman" w:eastAsia="Times New Roman" w:hAnsi="Times New Roman" w:cs="Times New Roman"/>
          <w:sz w:val="24"/>
          <w:szCs w:val="24"/>
          <w:lang w:val="en-US" w:eastAsia="ru-RU"/>
        </w:rPr>
        <w:lastRenderedPageBreak/>
        <w:t>(</w:t>
      </w:r>
      <w:proofErr w:type="spellStart"/>
      <w:r w:rsidRPr="00B14B45">
        <w:rPr>
          <w:rFonts w:ascii="Times New Roman" w:eastAsia="Times New Roman" w:hAnsi="Times New Roman" w:cs="Times New Roman"/>
          <w:i/>
          <w:iCs/>
          <w:sz w:val="24"/>
          <w:szCs w:val="24"/>
          <w:lang w:val="en-US" w:eastAsia="ru-RU"/>
        </w:rPr>
        <w:t>ɛ</w:t>
      </w:r>
      <w:r w:rsidRPr="00B14B45">
        <w:rPr>
          <w:rFonts w:ascii="Times New Roman" w:eastAsia="Times New Roman" w:hAnsi="Times New Roman" w:cs="Times New Roman"/>
          <w:sz w:val="24"/>
          <w:szCs w:val="24"/>
          <w:vertAlign w:val="subscript"/>
          <w:lang w:val="en-US" w:eastAsia="ru-RU"/>
        </w:rPr>
        <w:t>TOC</w:t>
      </w:r>
      <w:proofErr w:type="spellEnd"/>
      <w:r w:rsidRPr="00B14B45">
        <w:rPr>
          <w:rFonts w:ascii="Times New Roman" w:eastAsia="Times New Roman" w:hAnsi="Times New Roman" w:cs="Times New Roman"/>
          <w:sz w:val="24"/>
          <w:szCs w:val="24"/>
          <w:lang w:val="en-US" w:eastAsia="ru-RU"/>
        </w:rPr>
        <w:t xml:space="preserve">) must be </w:t>
      </w:r>
      <w:r w:rsidRPr="00B14B45">
        <w:rPr>
          <w:rFonts w:ascii="Times New Roman" w:eastAsia="Times New Roman" w:hAnsi="Times New Roman" w:cs="Times New Roman"/>
          <w:i/>
          <w:iCs/>
          <w:sz w:val="24"/>
          <w:szCs w:val="24"/>
          <w:lang w:val="en-US" w:eastAsia="ru-RU"/>
        </w:rPr>
        <w:t>minimum</w:t>
      </w:r>
      <w:r w:rsidRPr="00B14B45">
        <w:rPr>
          <w:rFonts w:ascii="Times New Roman" w:eastAsia="Times New Roman" w:hAnsi="Times New Roman" w:cs="Times New Roman"/>
          <w:sz w:val="24"/>
          <w:szCs w:val="24"/>
          <w:lang w:val="en-US" w:eastAsia="ru-RU"/>
        </w:rPr>
        <w:t xml:space="preserve"> values and could be up to 4‰ greater. In the Upper Limestone </w:t>
      </w:r>
      <w:r w:rsidRPr="00B14B45">
        <w:rPr>
          <w:rFonts w:ascii="Times New Roman" w:eastAsia="Times New Roman" w:hAnsi="Times New Roman" w:cs="Times New Roman"/>
          <w:sz w:val="24"/>
          <w:szCs w:val="24"/>
          <w:lang w:eastAsia="ru-RU"/>
        </w:rPr>
        <w:t>δ</w:t>
      </w:r>
      <w:r w:rsidRPr="00B14B45">
        <w:rPr>
          <w:rFonts w:ascii="Times New Roman" w:eastAsia="Times New Roman" w:hAnsi="Times New Roman" w:cs="Times New Roman"/>
          <w:sz w:val="24"/>
          <w:szCs w:val="24"/>
          <w:vertAlign w:val="superscript"/>
          <w:lang w:val="en-US" w:eastAsia="ru-RU"/>
        </w:rPr>
        <w:t>13</w:t>
      </w:r>
      <w:r w:rsidRPr="00B14B45">
        <w:rPr>
          <w:rFonts w:ascii="Times New Roman" w:eastAsia="Times New Roman" w:hAnsi="Times New Roman" w:cs="Times New Roman"/>
          <w:sz w:val="24"/>
          <w:szCs w:val="24"/>
          <w:lang w:val="en-US" w:eastAsia="ru-RU"/>
        </w:rPr>
        <w:t>C</w:t>
      </w:r>
      <w:r w:rsidRPr="00B14B45">
        <w:rPr>
          <w:rFonts w:ascii="Times New Roman" w:eastAsia="Times New Roman" w:hAnsi="Times New Roman" w:cs="Times New Roman"/>
          <w:sz w:val="24"/>
          <w:szCs w:val="24"/>
          <w:vertAlign w:val="subscript"/>
          <w:lang w:val="en-US" w:eastAsia="ru-RU"/>
        </w:rPr>
        <w:t>org</w:t>
      </w:r>
      <w:r w:rsidRPr="00B14B45">
        <w:rPr>
          <w:rFonts w:ascii="Times New Roman" w:eastAsia="Times New Roman" w:hAnsi="Times New Roman" w:cs="Times New Roman"/>
          <w:sz w:val="24"/>
          <w:szCs w:val="24"/>
          <w:lang w:val="en-US" w:eastAsia="ru-RU"/>
        </w:rPr>
        <w:t xml:space="preserve"> is almost constant (−23.2 ± 0.8‰) and thus parallels the </w:t>
      </w:r>
      <w:r w:rsidRPr="00B14B45">
        <w:rPr>
          <w:rFonts w:ascii="Times New Roman" w:eastAsia="Times New Roman" w:hAnsi="Times New Roman" w:cs="Times New Roman"/>
          <w:sz w:val="24"/>
          <w:szCs w:val="24"/>
          <w:lang w:eastAsia="ru-RU"/>
        </w:rPr>
        <w:t>δ</w:t>
      </w:r>
      <w:r w:rsidRPr="00B14B45">
        <w:rPr>
          <w:rFonts w:ascii="Times New Roman" w:eastAsia="Times New Roman" w:hAnsi="Times New Roman" w:cs="Times New Roman"/>
          <w:sz w:val="24"/>
          <w:szCs w:val="24"/>
          <w:vertAlign w:val="superscript"/>
          <w:lang w:val="en-US" w:eastAsia="ru-RU"/>
        </w:rPr>
        <w:t>13</w:t>
      </w:r>
      <w:r w:rsidRPr="00B14B45">
        <w:rPr>
          <w:rFonts w:ascii="Times New Roman" w:eastAsia="Times New Roman" w:hAnsi="Times New Roman" w:cs="Times New Roman"/>
          <w:sz w:val="24"/>
          <w:szCs w:val="24"/>
          <w:lang w:val="en-US" w:eastAsia="ru-RU"/>
        </w:rPr>
        <w:t>C</w:t>
      </w:r>
      <w:r w:rsidRPr="00B14B45">
        <w:rPr>
          <w:rFonts w:ascii="Times New Roman" w:eastAsia="Times New Roman" w:hAnsi="Times New Roman" w:cs="Times New Roman"/>
          <w:sz w:val="24"/>
          <w:szCs w:val="24"/>
          <w:vertAlign w:val="subscript"/>
          <w:lang w:val="en-US" w:eastAsia="ru-RU"/>
        </w:rPr>
        <w:t>carb</w:t>
      </w:r>
      <w:r w:rsidRPr="00B14B45">
        <w:rPr>
          <w:rFonts w:ascii="Times New Roman" w:eastAsia="Times New Roman" w:hAnsi="Times New Roman" w:cs="Times New Roman"/>
          <w:sz w:val="24"/>
          <w:szCs w:val="24"/>
          <w:lang w:val="en-US" w:eastAsia="ru-RU"/>
        </w:rPr>
        <w:t xml:space="preserve"> data with a constant fractionation of +29.5 ± 0.7‰. In the Lower</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t>Geotectonic context of the Tambien group</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Sequences spanning the Bitter Springs Stage are </w:t>
      </w:r>
      <w:proofErr w:type="spellStart"/>
      <w:r w:rsidRPr="00B14B45">
        <w:rPr>
          <w:rFonts w:ascii="Times New Roman" w:eastAsia="Times New Roman" w:hAnsi="Times New Roman" w:cs="Times New Roman"/>
          <w:sz w:val="24"/>
          <w:szCs w:val="24"/>
          <w:lang w:val="en-US" w:eastAsia="ru-RU"/>
        </w:rPr>
        <w:t>recognised</w:t>
      </w:r>
      <w:proofErr w:type="spellEnd"/>
      <w:r w:rsidRPr="00B14B45">
        <w:rPr>
          <w:rFonts w:ascii="Times New Roman" w:eastAsia="Times New Roman" w:hAnsi="Times New Roman" w:cs="Times New Roman"/>
          <w:sz w:val="24"/>
          <w:szCs w:val="24"/>
          <w:lang w:val="en-US" w:eastAsia="ru-RU"/>
        </w:rPr>
        <w:t xml:space="preserve"> only in Svalbard (Lower </w:t>
      </w:r>
      <w:proofErr w:type="spellStart"/>
      <w:r w:rsidRPr="00B14B45">
        <w:rPr>
          <w:rFonts w:ascii="Times New Roman" w:eastAsia="Times New Roman" w:hAnsi="Times New Roman" w:cs="Times New Roman"/>
          <w:sz w:val="24"/>
          <w:szCs w:val="24"/>
          <w:lang w:val="en-US" w:eastAsia="ru-RU"/>
        </w:rPr>
        <w:t>Akademikerbreen</w:t>
      </w:r>
      <w:proofErr w:type="spellEnd"/>
      <w:r w:rsidRPr="00B14B45">
        <w:rPr>
          <w:rFonts w:ascii="Times New Roman" w:eastAsia="Times New Roman" w:hAnsi="Times New Roman" w:cs="Times New Roman"/>
          <w:sz w:val="24"/>
          <w:szCs w:val="24"/>
          <w:lang w:val="en-US" w:eastAsia="ru-RU"/>
        </w:rPr>
        <w:t xml:space="preserve"> Group; Halverson et al., 2005), Australia (Bitter Springs </w:t>
      </w:r>
      <w:proofErr w:type="spellStart"/>
      <w:r w:rsidRPr="00B14B45">
        <w:rPr>
          <w:rFonts w:ascii="Times New Roman" w:eastAsia="Times New Roman" w:hAnsi="Times New Roman" w:cs="Times New Roman"/>
          <w:sz w:val="24"/>
          <w:szCs w:val="24"/>
          <w:lang w:val="en-US" w:eastAsia="ru-RU"/>
        </w:rPr>
        <w:t>Fm</w:t>
      </w:r>
      <w:proofErr w:type="spellEnd"/>
      <w:r w:rsidRPr="00B14B45">
        <w:rPr>
          <w:rFonts w:ascii="Times New Roman" w:eastAsia="Times New Roman" w:hAnsi="Times New Roman" w:cs="Times New Roman"/>
          <w:sz w:val="24"/>
          <w:szCs w:val="24"/>
          <w:lang w:val="en-US" w:eastAsia="ru-RU"/>
        </w:rPr>
        <w:t>; Hill and Walter, 2000), and perhaps Canada (</w:t>
      </w:r>
      <w:proofErr w:type="spellStart"/>
      <w:r w:rsidRPr="00B14B45">
        <w:rPr>
          <w:rFonts w:ascii="Times New Roman" w:eastAsia="Times New Roman" w:hAnsi="Times New Roman" w:cs="Times New Roman"/>
          <w:sz w:val="24"/>
          <w:szCs w:val="24"/>
          <w:lang w:val="en-US" w:eastAsia="ru-RU"/>
        </w:rPr>
        <w:t>Shaler</w:t>
      </w:r>
      <w:proofErr w:type="spellEnd"/>
      <w:r w:rsidRPr="00B14B45">
        <w:rPr>
          <w:rFonts w:ascii="Times New Roman" w:eastAsia="Times New Roman" w:hAnsi="Times New Roman" w:cs="Times New Roman"/>
          <w:sz w:val="24"/>
          <w:szCs w:val="24"/>
          <w:lang w:val="en-US" w:eastAsia="ru-RU"/>
        </w:rPr>
        <w:t xml:space="preserve"> Group; </w:t>
      </w:r>
      <w:proofErr w:type="spellStart"/>
      <w:r w:rsidRPr="00B14B45">
        <w:rPr>
          <w:rFonts w:ascii="Times New Roman" w:eastAsia="Times New Roman" w:hAnsi="Times New Roman" w:cs="Times New Roman"/>
          <w:sz w:val="24"/>
          <w:szCs w:val="24"/>
          <w:lang w:val="en-US" w:eastAsia="ru-RU"/>
        </w:rPr>
        <w:t>Asmerom</w:t>
      </w:r>
      <w:proofErr w:type="spellEnd"/>
      <w:r w:rsidRPr="00B14B45">
        <w:rPr>
          <w:rFonts w:ascii="Times New Roman" w:eastAsia="Times New Roman" w:hAnsi="Times New Roman" w:cs="Times New Roman"/>
          <w:sz w:val="24"/>
          <w:szCs w:val="24"/>
          <w:lang w:val="en-US" w:eastAsia="ru-RU"/>
        </w:rPr>
        <w:t xml:space="preserve"> et al., 1991, Kaufman and Knoll, 1995; upper Little Dal Group, Mackenzie Mountains, Canada; Halverson et al., 2005). </w:t>
      </w:r>
      <w:proofErr w:type="spellStart"/>
      <w:r w:rsidRPr="00B14B45">
        <w:rPr>
          <w:rFonts w:ascii="Times New Roman" w:eastAsia="Times New Roman" w:hAnsi="Times New Roman" w:cs="Times New Roman"/>
          <w:sz w:val="24"/>
          <w:szCs w:val="24"/>
          <w:lang w:val="en-US" w:eastAsia="ru-RU"/>
        </w:rPr>
        <w:t>Palaeogeographic</w:t>
      </w:r>
      <w:proofErr w:type="spellEnd"/>
      <w:r w:rsidRPr="00B14B45">
        <w:rPr>
          <w:rFonts w:ascii="Times New Roman" w:eastAsia="Times New Roman" w:hAnsi="Times New Roman" w:cs="Times New Roman"/>
          <w:sz w:val="24"/>
          <w:szCs w:val="24"/>
          <w:lang w:val="en-US" w:eastAsia="ru-RU"/>
        </w:rPr>
        <w:t xml:space="preserve"> reconstructions for our proposed period of Tambien Group deposition differ widely (Weil et al., 1998, Piper, 2000, </w:t>
      </w:r>
      <w:proofErr w:type="spellStart"/>
      <w:r w:rsidRPr="00B14B45">
        <w:rPr>
          <w:rFonts w:ascii="Times New Roman" w:eastAsia="Times New Roman" w:hAnsi="Times New Roman" w:cs="Times New Roman"/>
          <w:sz w:val="24"/>
          <w:szCs w:val="24"/>
          <w:lang w:val="en-US" w:eastAsia="ru-RU"/>
        </w:rPr>
        <w:t>Meert</w:t>
      </w:r>
      <w:proofErr w:type="spellEnd"/>
      <w:r w:rsidRPr="00B14B45">
        <w:rPr>
          <w:rFonts w:ascii="Times New Roman" w:eastAsia="Times New Roman" w:hAnsi="Times New Roman" w:cs="Times New Roman"/>
          <w:sz w:val="24"/>
          <w:szCs w:val="24"/>
          <w:lang w:val="en-US" w:eastAsia="ru-RU"/>
        </w:rPr>
        <w:t xml:space="preserve"> and </w:t>
      </w:r>
      <w:proofErr w:type="spellStart"/>
      <w:r w:rsidRPr="00B14B45">
        <w:rPr>
          <w:rFonts w:ascii="Times New Roman" w:eastAsia="Times New Roman" w:hAnsi="Times New Roman" w:cs="Times New Roman"/>
          <w:sz w:val="24"/>
          <w:szCs w:val="24"/>
          <w:lang w:val="en-US" w:eastAsia="ru-RU"/>
        </w:rPr>
        <w:t>Torsvik</w:t>
      </w:r>
      <w:proofErr w:type="spellEnd"/>
      <w:r w:rsidRPr="00B14B45">
        <w:rPr>
          <w:rFonts w:ascii="Times New Roman" w:eastAsia="Times New Roman" w:hAnsi="Times New Roman" w:cs="Times New Roman"/>
          <w:sz w:val="24"/>
          <w:szCs w:val="24"/>
          <w:lang w:val="en-US" w:eastAsia="ru-RU"/>
        </w:rPr>
        <w:t>, 2003</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t>Discussion — cause of the Bitter Springs anomaly</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It is now becoming clear that there are at least five major negative C-isotope anomalies in the Neoproterozoic, of which only two (</w:t>
      </w:r>
      <w:proofErr w:type="spellStart"/>
      <w:r w:rsidRPr="00B14B45">
        <w:rPr>
          <w:rFonts w:ascii="Times New Roman" w:eastAsia="Times New Roman" w:hAnsi="Times New Roman" w:cs="Times New Roman"/>
          <w:sz w:val="24"/>
          <w:szCs w:val="24"/>
          <w:lang w:val="en-US" w:eastAsia="ru-RU"/>
        </w:rPr>
        <w:t>Sturtian</w:t>
      </w:r>
      <w:proofErr w:type="spellEnd"/>
      <w:r w:rsidRPr="00B14B45">
        <w:rPr>
          <w:rFonts w:ascii="Times New Roman" w:eastAsia="Times New Roman" w:hAnsi="Times New Roman" w:cs="Times New Roman"/>
          <w:sz w:val="24"/>
          <w:szCs w:val="24"/>
          <w:lang w:val="en-US" w:eastAsia="ru-RU"/>
        </w:rPr>
        <w:t xml:space="preserve"> and </w:t>
      </w:r>
      <w:proofErr w:type="spellStart"/>
      <w:r w:rsidRPr="00B14B45">
        <w:rPr>
          <w:rFonts w:ascii="Times New Roman" w:eastAsia="Times New Roman" w:hAnsi="Times New Roman" w:cs="Times New Roman"/>
          <w:sz w:val="24"/>
          <w:szCs w:val="24"/>
          <w:lang w:val="en-US" w:eastAsia="ru-RU"/>
        </w:rPr>
        <w:t>Marinoan</w:t>
      </w:r>
      <w:proofErr w:type="spellEnd"/>
      <w:r w:rsidRPr="00B14B45">
        <w:rPr>
          <w:rFonts w:ascii="Times New Roman" w:eastAsia="Times New Roman" w:hAnsi="Times New Roman" w:cs="Times New Roman"/>
          <w:sz w:val="24"/>
          <w:szCs w:val="24"/>
          <w:lang w:val="en-US" w:eastAsia="ru-RU"/>
        </w:rPr>
        <w:t xml:space="preserve">) are associated with possible global glaciation (Fig. 6; Halverson et al., in press). The other three anomalies are (a) the </w:t>
      </w:r>
      <w:proofErr w:type="spellStart"/>
      <w:r w:rsidRPr="00B14B45">
        <w:rPr>
          <w:rFonts w:ascii="Times New Roman" w:eastAsia="Times New Roman" w:hAnsi="Times New Roman" w:cs="Times New Roman"/>
          <w:sz w:val="24"/>
          <w:szCs w:val="24"/>
          <w:lang w:val="en-US" w:eastAsia="ru-RU"/>
        </w:rPr>
        <w:t>Shuram-Wonoka</w:t>
      </w:r>
      <w:proofErr w:type="spellEnd"/>
      <w:r w:rsidRPr="00B14B45">
        <w:rPr>
          <w:rFonts w:ascii="Times New Roman" w:eastAsia="Times New Roman" w:hAnsi="Times New Roman" w:cs="Times New Roman"/>
          <w:sz w:val="24"/>
          <w:szCs w:val="24"/>
          <w:lang w:val="en-US" w:eastAsia="ru-RU"/>
        </w:rPr>
        <w:t xml:space="preserve"> correlated with the regional-only 580 Ma </w:t>
      </w:r>
      <w:proofErr w:type="spellStart"/>
      <w:r w:rsidRPr="00B14B45">
        <w:rPr>
          <w:rFonts w:ascii="Times New Roman" w:eastAsia="Times New Roman" w:hAnsi="Times New Roman" w:cs="Times New Roman"/>
          <w:sz w:val="24"/>
          <w:szCs w:val="24"/>
          <w:lang w:val="en-US" w:eastAsia="ru-RU"/>
        </w:rPr>
        <w:t>Gaskiers</w:t>
      </w:r>
      <w:proofErr w:type="spellEnd"/>
      <w:r w:rsidRPr="00B14B45">
        <w:rPr>
          <w:rFonts w:ascii="Times New Roman" w:eastAsia="Times New Roman" w:hAnsi="Times New Roman" w:cs="Times New Roman"/>
          <w:sz w:val="24"/>
          <w:szCs w:val="24"/>
          <w:lang w:val="en-US" w:eastAsia="ru-RU"/>
        </w:rPr>
        <w:t xml:space="preserve"> glaciation by Halverson et al. (2005), although Condon et al. (2005) constrain the termination of this anomaly at </w:t>
      </w:r>
      <w:r w:rsidRPr="00B14B45">
        <w:rPr>
          <w:rFonts w:ascii="Cambria Math" w:eastAsia="Times New Roman" w:hAnsi="Cambria Math" w:cs="Cambria Math"/>
          <w:sz w:val="24"/>
          <w:szCs w:val="24"/>
          <w:lang w:val="en-US" w:eastAsia="ru-RU"/>
        </w:rPr>
        <w:t>∼</w:t>
      </w:r>
      <w:r w:rsidRPr="00B14B45">
        <w:rPr>
          <w:rFonts w:ascii="Times New Roman" w:eastAsia="Times New Roman" w:hAnsi="Times New Roman" w:cs="Times New Roman"/>
          <w:sz w:val="24"/>
          <w:szCs w:val="24"/>
          <w:lang w:val="en-US" w:eastAsia="ru-RU"/>
        </w:rPr>
        <w:t>551 Ma, significantly later than the</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t>Summary</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Radiometric age constraints together with isotope stratigraphic correlations indicate that Tambien Group deposition in </w:t>
      </w:r>
      <w:proofErr w:type="spellStart"/>
      <w:r w:rsidRPr="00B14B45">
        <w:rPr>
          <w:rFonts w:ascii="Times New Roman" w:eastAsia="Times New Roman" w:hAnsi="Times New Roman" w:cs="Times New Roman"/>
          <w:sz w:val="24"/>
          <w:szCs w:val="24"/>
          <w:lang w:val="en-US" w:eastAsia="ru-RU"/>
        </w:rPr>
        <w:t>Tigrai</w:t>
      </w:r>
      <w:proofErr w:type="spellEnd"/>
      <w:r w:rsidRPr="00B14B45">
        <w:rPr>
          <w:rFonts w:ascii="Times New Roman" w:eastAsia="Times New Roman" w:hAnsi="Times New Roman" w:cs="Times New Roman"/>
          <w:sz w:val="24"/>
          <w:szCs w:val="24"/>
          <w:lang w:val="en-US" w:eastAsia="ru-RU"/>
        </w:rPr>
        <w:t xml:space="preserve"> commenced during the Bitter Springs Stage and continued into the </w:t>
      </w:r>
      <w:proofErr w:type="spellStart"/>
      <w:r w:rsidRPr="00B14B45">
        <w:rPr>
          <w:rFonts w:ascii="Times New Roman" w:eastAsia="Times New Roman" w:hAnsi="Times New Roman" w:cs="Times New Roman"/>
          <w:sz w:val="24"/>
          <w:szCs w:val="24"/>
          <w:lang w:val="en-US" w:eastAsia="ru-RU"/>
        </w:rPr>
        <w:t>Sturtian</w:t>
      </w:r>
      <w:proofErr w:type="spellEnd"/>
      <w:r w:rsidRPr="00B14B45">
        <w:rPr>
          <w:rFonts w:ascii="Times New Roman" w:eastAsia="Times New Roman" w:hAnsi="Times New Roman" w:cs="Times New Roman"/>
          <w:sz w:val="24"/>
          <w:szCs w:val="24"/>
          <w:lang w:val="en-US" w:eastAsia="ru-RU"/>
        </w:rPr>
        <w:t xml:space="preserve"> glaciation. Radiometric ages on correlated sequences suggest deposition occurred in the interval ca. 800–735 Ma. The Tambien Group represents a rare example of a pre-</w:t>
      </w:r>
      <w:proofErr w:type="spellStart"/>
      <w:r w:rsidRPr="00B14B45">
        <w:rPr>
          <w:rFonts w:ascii="Times New Roman" w:eastAsia="Times New Roman" w:hAnsi="Times New Roman" w:cs="Times New Roman"/>
          <w:sz w:val="24"/>
          <w:szCs w:val="24"/>
          <w:lang w:val="en-US" w:eastAsia="ru-RU"/>
        </w:rPr>
        <w:t>Sturtian</w:t>
      </w:r>
      <w:proofErr w:type="spellEnd"/>
      <w:r w:rsidRPr="00B14B45">
        <w:rPr>
          <w:rFonts w:ascii="Times New Roman" w:eastAsia="Times New Roman" w:hAnsi="Times New Roman" w:cs="Times New Roman"/>
          <w:sz w:val="24"/>
          <w:szCs w:val="24"/>
          <w:lang w:val="en-US" w:eastAsia="ru-RU"/>
        </w:rPr>
        <w:t xml:space="preserve"> sequence extending through the Bitter Springs Stage, only </w:t>
      </w:r>
      <w:proofErr w:type="spellStart"/>
      <w:r w:rsidRPr="00B14B45">
        <w:rPr>
          <w:rFonts w:ascii="Times New Roman" w:eastAsia="Times New Roman" w:hAnsi="Times New Roman" w:cs="Times New Roman"/>
          <w:sz w:val="24"/>
          <w:szCs w:val="24"/>
          <w:lang w:val="en-US" w:eastAsia="ru-RU"/>
        </w:rPr>
        <w:t>recognised</w:t>
      </w:r>
      <w:proofErr w:type="spellEnd"/>
      <w:r w:rsidRPr="00B14B45">
        <w:rPr>
          <w:rFonts w:ascii="Times New Roman" w:eastAsia="Times New Roman" w:hAnsi="Times New Roman" w:cs="Times New Roman"/>
          <w:sz w:val="24"/>
          <w:szCs w:val="24"/>
          <w:lang w:val="en-US" w:eastAsia="ru-RU"/>
        </w:rPr>
        <w:t xml:space="preserve"> elsewhere in Svalbard, Australia, and possibly Canada.</w:t>
      </w:r>
    </w:p>
    <w:p w:rsidR="00B14B45" w:rsidRPr="00B14B45" w:rsidRDefault="00B14B45" w:rsidP="00B14B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14B45">
        <w:rPr>
          <w:rFonts w:ascii="Times New Roman" w:eastAsia="Times New Roman" w:hAnsi="Times New Roman" w:cs="Times New Roman"/>
          <w:b/>
          <w:bCs/>
          <w:sz w:val="36"/>
          <w:szCs w:val="36"/>
          <w:lang w:val="en-US" w:eastAsia="ru-RU"/>
        </w:rPr>
        <w:t>Acknowledgements</w:t>
      </w:r>
    </w:p>
    <w:p w:rsidR="00B14B45" w:rsidRPr="00B14B45" w:rsidRDefault="00B14B45" w:rsidP="00B14B45">
      <w:pPr>
        <w:spacing w:after="0" w:line="240" w:lineRule="auto"/>
        <w:rPr>
          <w:rFonts w:ascii="Times New Roman" w:eastAsia="Times New Roman" w:hAnsi="Times New Roman" w:cs="Times New Roman"/>
          <w:sz w:val="24"/>
          <w:szCs w:val="24"/>
          <w:lang w:val="en-US" w:eastAsia="ru-RU"/>
        </w:rPr>
      </w:pPr>
      <w:r w:rsidRPr="00B14B45">
        <w:rPr>
          <w:rFonts w:ascii="Times New Roman" w:eastAsia="Times New Roman" w:hAnsi="Times New Roman" w:cs="Times New Roman"/>
          <w:sz w:val="24"/>
          <w:szCs w:val="24"/>
          <w:lang w:val="en-US" w:eastAsia="ru-RU"/>
        </w:rPr>
        <w:t xml:space="preserve">We gratefully acknowledge support for this work from the ORGP, Addis Ababa University (research grant RPO/GF/1995ec/008), The Royal Society (DWSV grant 16002), and the British Embassy in Addis Ababa. Joanne Green and Carol Arrowsmith obtained the stable isotope data and </w:t>
      </w:r>
      <w:proofErr w:type="spellStart"/>
      <w:r w:rsidRPr="00B14B45">
        <w:rPr>
          <w:rFonts w:ascii="Times New Roman" w:eastAsia="Times New Roman" w:hAnsi="Times New Roman" w:cs="Times New Roman"/>
          <w:sz w:val="24"/>
          <w:szCs w:val="24"/>
          <w:lang w:val="en-US" w:eastAsia="ru-RU"/>
        </w:rPr>
        <w:t>Aaran</w:t>
      </w:r>
      <w:proofErr w:type="spellEnd"/>
      <w:r w:rsidRPr="00B14B45">
        <w:rPr>
          <w:rFonts w:ascii="Times New Roman" w:eastAsia="Times New Roman" w:hAnsi="Times New Roman" w:cs="Times New Roman"/>
          <w:sz w:val="24"/>
          <w:szCs w:val="24"/>
          <w:lang w:val="en-US" w:eastAsia="ru-RU"/>
        </w:rPr>
        <w:t xml:space="preserve"> Sumner provided technical support in the radiogenic isotope laboratory. We are grateful for advice and preprints from Galen Halverson and Adam Maloof. Reviews by Adam Maloof and an anonymous reviewer helped improve the</w:t>
      </w:r>
    </w:p>
    <w:p w:rsidR="00D51E67" w:rsidRPr="00B14B45" w:rsidRDefault="00D51E67">
      <w:pPr>
        <w:rPr>
          <w:lang w:val="en-US"/>
        </w:rPr>
      </w:pPr>
    </w:p>
    <w:sectPr w:rsidR="00D51E67" w:rsidRPr="00B14B4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A9F356B"/>
    <w:multiLevelType w:val="multilevel"/>
    <w:tmpl w:val="0E32E0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4B45"/>
    <w:rsid w:val="00B14B45"/>
    <w:rsid w:val="00D51E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C060AA-9F66-40FE-ADBE-01A3EDB14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B14B4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B14B45"/>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14B4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B14B45"/>
    <w:rPr>
      <w:rFonts w:ascii="Times New Roman" w:eastAsia="Times New Roman" w:hAnsi="Times New Roman" w:cs="Times New Roman"/>
      <w:b/>
      <w:bCs/>
      <w:sz w:val="36"/>
      <w:szCs w:val="36"/>
      <w:lang w:eastAsia="ru-RU"/>
    </w:rPr>
  </w:style>
  <w:style w:type="character" w:customStyle="1" w:styleId="title-text">
    <w:name w:val="title-text"/>
    <w:basedOn w:val="a0"/>
    <w:rsid w:val="00B14B45"/>
  </w:style>
  <w:style w:type="character" w:customStyle="1" w:styleId="sr-only">
    <w:name w:val="sr-only"/>
    <w:basedOn w:val="a0"/>
    <w:rsid w:val="00B14B45"/>
  </w:style>
  <w:style w:type="character" w:customStyle="1" w:styleId="button-link-text">
    <w:name w:val="button-link-text"/>
    <w:basedOn w:val="a0"/>
    <w:rsid w:val="00B14B45"/>
  </w:style>
  <w:style w:type="character" w:customStyle="1" w:styleId="react-xocs-alternative-link">
    <w:name w:val="react-xocs-alternative-link"/>
    <w:basedOn w:val="a0"/>
    <w:rsid w:val="00B14B45"/>
  </w:style>
  <w:style w:type="character" w:customStyle="1" w:styleId="given-name">
    <w:name w:val="given-name"/>
    <w:basedOn w:val="a0"/>
    <w:rsid w:val="00B14B45"/>
  </w:style>
  <w:style w:type="character" w:customStyle="1" w:styleId="text">
    <w:name w:val="text"/>
    <w:basedOn w:val="a0"/>
    <w:rsid w:val="00B14B45"/>
  </w:style>
  <w:style w:type="character" w:customStyle="1" w:styleId="author-ref">
    <w:name w:val="author-ref"/>
    <w:basedOn w:val="a0"/>
    <w:rsid w:val="00B14B45"/>
  </w:style>
  <w:style w:type="character" w:styleId="a3">
    <w:name w:val="Hyperlink"/>
    <w:basedOn w:val="a0"/>
    <w:uiPriority w:val="99"/>
    <w:semiHidden/>
    <w:unhideWhenUsed/>
    <w:rsid w:val="00B14B45"/>
    <w:rPr>
      <w:color w:val="0000FF"/>
      <w:u w:val="single"/>
    </w:rPr>
  </w:style>
  <w:style w:type="character" w:customStyle="1" w:styleId="anchor-text">
    <w:name w:val="anchor-text"/>
    <w:basedOn w:val="a0"/>
    <w:rsid w:val="00B14B45"/>
  </w:style>
  <w:style w:type="character" w:styleId="a4">
    <w:name w:val="Emphasis"/>
    <w:basedOn w:val="a0"/>
    <w:uiPriority w:val="20"/>
    <w:qFormat/>
    <w:rsid w:val="00B14B45"/>
    <w:rPr>
      <w:i/>
      <w:iCs/>
    </w:rPr>
  </w:style>
  <w:style w:type="paragraph" w:customStyle="1" w:styleId="text-s">
    <w:name w:val="text-s"/>
    <w:basedOn w:val="a"/>
    <w:rsid w:val="00B14B4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eact-xocs-list-item">
    <w:name w:val="react-xocs-list-item"/>
    <w:basedOn w:val="a"/>
    <w:rsid w:val="00B14B4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ist-label">
    <w:name w:val="list-label"/>
    <w:basedOn w:val="a0"/>
    <w:rsid w:val="00B14B45"/>
  </w:style>
  <w:style w:type="character" w:customStyle="1" w:styleId="list-content">
    <w:name w:val="list-content"/>
    <w:basedOn w:val="a0"/>
    <w:rsid w:val="00B14B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74454381">
      <w:bodyDiv w:val="1"/>
      <w:marLeft w:val="0"/>
      <w:marRight w:val="0"/>
      <w:marTop w:val="0"/>
      <w:marBottom w:val="0"/>
      <w:divBdr>
        <w:top w:val="none" w:sz="0" w:space="0" w:color="auto"/>
        <w:left w:val="none" w:sz="0" w:space="0" w:color="auto"/>
        <w:bottom w:val="none" w:sz="0" w:space="0" w:color="auto"/>
        <w:right w:val="none" w:sz="0" w:space="0" w:color="auto"/>
      </w:divBdr>
      <w:divsChild>
        <w:div w:id="2070956425">
          <w:marLeft w:val="0"/>
          <w:marRight w:val="0"/>
          <w:marTop w:val="0"/>
          <w:marBottom w:val="0"/>
          <w:divBdr>
            <w:top w:val="none" w:sz="0" w:space="0" w:color="auto"/>
            <w:left w:val="none" w:sz="0" w:space="0" w:color="auto"/>
            <w:bottom w:val="none" w:sz="0" w:space="0" w:color="auto"/>
            <w:right w:val="none" w:sz="0" w:space="0" w:color="auto"/>
          </w:divBdr>
          <w:divsChild>
            <w:div w:id="2027829465">
              <w:marLeft w:val="0"/>
              <w:marRight w:val="0"/>
              <w:marTop w:val="0"/>
              <w:marBottom w:val="0"/>
              <w:divBdr>
                <w:top w:val="none" w:sz="0" w:space="0" w:color="auto"/>
                <w:left w:val="none" w:sz="0" w:space="0" w:color="auto"/>
                <w:bottom w:val="none" w:sz="0" w:space="0" w:color="auto"/>
                <w:right w:val="none" w:sz="0" w:space="0" w:color="auto"/>
              </w:divBdr>
              <w:divsChild>
                <w:div w:id="198856172">
                  <w:marLeft w:val="0"/>
                  <w:marRight w:val="0"/>
                  <w:marTop w:val="0"/>
                  <w:marBottom w:val="0"/>
                  <w:divBdr>
                    <w:top w:val="none" w:sz="0" w:space="0" w:color="auto"/>
                    <w:left w:val="none" w:sz="0" w:space="0" w:color="auto"/>
                    <w:bottom w:val="none" w:sz="0" w:space="0" w:color="auto"/>
                    <w:right w:val="none" w:sz="0" w:space="0" w:color="auto"/>
                  </w:divBdr>
                  <w:divsChild>
                    <w:div w:id="123142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182442">
          <w:marLeft w:val="0"/>
          <w:marRight w:val="0"/>
          <w:marTop w:val="0"/>
          <w:marBottom w:val="0"/>
          <w:divBdr>
            <w:top w:val="none" w:sz="0" w:space="0" w:color="auto"/>
            <w:left w:val="none" w:sz="0" w:space="0" w:color="auto"/>
            <w:bottom w:val="none" w:sz="0" w:space="0" w:color="auto"/>
            <w:right w:val="none" w:sz="0" w:space="0" w:color="auto"/>
          </w:divBdr>
          <w:divsChild>
            <w:div w:id="1146892999">
              <w:marLeft w:val="0"/>
              <w:marRight w:val="0"/>
              <w:marTop w:val="0"/>
              <w:marBottom w:val="0"/>
              <w:divBdr>
                <w:top w:val="none" w:sz="0" w:space="0" w:color="auto"/>
                <w:left w:val="none" w:sz="0" w:space="0" w:color="auto"/>
                <w:bottom w:val="none" w:sz="0" w:space="0" w:color="auto"/>
                <w:right w:val="none" w:sz="0" w:space="0" w:color="auto"/>
              </w:divBdr>
              <w:divsChild>
                <w:div w:id="984509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641779">
          <w:marLeft w:val="0"/>
          <w:marRight w:val="0"/>
          <w:marTop w:val="0"/>
          <w:marBottom w:val="0"/>
          <w:divBdr>
            <w:top w:val="none" w:sz="0" w:space="0" w:color="auto"/>
            <w:left w:val="none" w:sz="0" w:space="0" w:color="auto"/>
            <w:bottom w:val="none" w:sz="0" w:space="0" w:color="auto"/>
            <w:right w:val="none" w:sz="0" w:space="0" w:color="auto"/>
          </w:divBdr>
          <w:divsChild>
            <w:div w:id="599065844">
              <w:marLeft w:val="0"/>
              <w:marRight w:val="0"/>
              <w:marTop w:val="0"/>
              <w:marBottom w:val="0"/>
              <w:divBdr>
                <w:top w:val="none" w:sz="0" w:space="0" w:color="auto"/>
                <w:left w:val="none" w:sz="0" w:space="0" w:color="auto"/>
                <w:bottom w:val="none" w:sz="0" w:space="0" w:color="auto"/>
                <w:right w:val="none" w:sz="0" w:space="0" w:color="auto"/>
              </w:divBdr>
              <w:divsChild>
                <w:div w:id="191038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287470">
          <w:marLeft w:val="0"/>
          <w:marRight w:val="0"/>
          <w:marTop w:val="0"/>
          <w:marBottom w:val="0"/>
          <w:divBdr>
            <w:top w:val="none" w:sz="0" w:space="0" w:color="auto"/>
            <w:left w:val="none" w:sz="0" w:space="0" w:color="auto"/>
            <w:bottom w:val="none" w:sz="0" w:space="0" w:color="auto"/>
            <w:right w:val="none" w:sz="0" w:space="0" w:color="auto"/>
          </w:divBdr>
          <w:divsChild>
            <w:div w:id="108742486">
              <w:marLeft w:val="0"/>
              <w:marRight w:val="0"/>
              <w:marTop w:val="0"/>
              <w:marBottom w:val="0"/>
              <w:divBdr>
                <w:top w:val="none" w:sz="0" w:space="0" w:color="auto"/>
                <w:left w:val="none" w:sz="0" w:space="0" w:color="auto"/>
                <w:bottom w:val="none" w:sz="0" w:space="0" w:color="auto"/>
                <w:right w:val="none" w:sz="0" w:space="0" w:color="auto"/>
              </w:divBdr>
              <w:divsChild>
                <w:div w:id="2082286265">
                  <w:marLeft w:val="0"/>
                  <w:marRight w:val="0"/>
                  <w:marTop w:val="0"/>
                  <w:marBottom w:val="0"/>
                  <w:divBdr>
                    <w:top w:val="none" w:sz="0" w:space="0" w:color="auto"/>
                    <w:left w:val="none" w:sz="0" w:space="0" w:color="auto"/>
                    <w:bottom w:val="none" w:sz="0" w:space="0" w:color="auto"/>
                    <w:right w:val="none" w:sz="0" w:space="0" w:color="auto"/>
                  </w:divBdr>
                  <w:divsChild>
                    <w:div w:id="1141729194">
                      <w:marLeft w:val="0"/>
                      <w:marRight w:val="0"/>
                      <w:marTop w:val="0"/>
                      <w:marBottom w:val="0"/>
                      <w:divBdr>
                        <w:top w:val="none" w:sz="0" w:space="0" w:color="auto"/>
                        <w:left w:val="none" w:sz="0" w:space="0" w:color="auto"/>
                        <w:bottom w:val="none" w:sz="0" w:space="0" w:color="auto"/>
                        <w:right w:val="none" w:sz="0" w:space="0" w:color="auto"/>
                      </w:divBdr>
                      <w:divsChild>
                        <w:div w:id="197023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8869540">
          <w:marLeft w:val="0"/>
          <w:marRight w:val="0"/>
          <w:marTop w:val="0"/>
          <w:marBottom w:val="0"/>
          <w:divBdr>
            <w:top w:val="none" w:sz="0" w:space="0" w:color="auto"/>
            <w:left w:val="none" w:sz="0" w:space="0" w:color="auto"/>
            <w:bottom w:val="none" w:sz="0" w:space="0" w:color="auto"/>
            <w:right w:val="none" w:sz="0" w:space="0" w:color="auto"/>
          </w:divBdr>
        </w:div>
        <w:div w:id="1037848408">
          <w:marLeft w:val="0"/>
          <w:marRight w:val="0"/>
          <w:marTop w:val="0"/>
          <w:marBottom w:val="0"/>
          <w:divBdr>
            <w:top w:val="none" w:sz="0" w:space="0" w:color="auto"/>
            <w:left w:val="none" w:sz="0" w:space="0" w:color="auto"/>
            <w:bottom w:val="none" w:sz="0" w:space="0" w:color="auto"/>
            <w:right w:val="none" w:sz="0" w:space="0" w:color="auto"/>
          </w:divBdr>
          <w:divsChild>
            <w:div w:id="1800295485">
              <w:marLeft w:val="0"/>
              <w:marRight w:val="0"/>
              <w:marTop w:val="0"/>
              <w:marBottom w:val="0"/>
              <w:divBdr>
                <w:top w:val="none" w:sz="0" w:space="0" w:color="auto"/>
                <w:left w:val="none" w:sz="0" w:space="0" w:color="auto"/>
                <w:bottom w:val="none" w:sz="0" w:space="0" w:color="auto"/>
                <w:right w:val="none" w:sz="0" w:space="0" w:color="auto"/>
              </w:divBdr>
              <w:divsChild>
                <w:div w:id="759955906">
                  <w:marLeft w:val="0"/>
                  <w:marRight w:val="0"/>
                  <w:marTop w:val="0"/>
                  <w:marBottom w:val="0"/>
                  <w:divBdr>
                    <w:top w:val="none" w:sz="0" w:space="0" w:color="auto"/>
                    <w:left w:val="none" w:sz="0" w:space="0" w:color="auto"/>
                    <w:bottom w:val="none" w:sz="0" w:space="0" w:color="auto"/>
                    <w:right w:val="none" w:sz="0" w:space="0" w:color="auto"/>
                  </w:divBdr>
                  <w:divsChild>
                    <w:div w:id="1319723183">
                      <w:marLeft w:val="0"/>
                      <w:marRight w:val="0"/>
                      <w:marTop w:val="0"/>
                      <w:marBottom w:val="0"/>
                      <w:divBdr>
                        <w:top w:val="none" w:sz="0" w:space="0" w:color="auto"/>
                        <w:left w:val="none" w:sz="0" w:space="0" w:color="auto"/>
                        <w:bottom w:val="none" w:sz="0" w:space="0" w:color="auto"/>
                        <w:right w:val="none" w:sz="0" w:space="0" w:color="auto"/>
                      </w:divBdr>
                      <w:divsChild>
                        <w:div w:id="166278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022128">
          <w:marLeft w:val="0"/>
          <w:marRight w:val="0"/>
          <w:marTop w:val="0"/>
          <w:marBottom w:val="0"/>
          <w:divBdr>
            <w:top w:val="none" w:sz="0" w:space="0" w:color="auto"/>
            <w:left w:val="none" w:sz="0" w:space="0" w:color="auto"/>
            <w:bottom w:val="none" w:sz="0" w:space="0" w:color="auto"/>
            <w:right w:val="none" w:sz="0" w:space="0" w:color="auto"/>
          </w:divBdr>
          <w:divsChild>
            <w:div w:id="1069426190">
              <w:marLeft w:val="0"/>
              <w:marRight w:val="0"/>
              <w:marTop w:val="0"/>
              <w:marBottom w:val="0"/>
              <w:divBdr>
                <w:top w:val="none" w:sz="0" w:space="0" w:color="auto"/>
                <w:left w:val="none" w:sz="0" w:space="0" w:color="auto"/>
                <w:bottom w:val="none" w:sz="0" w:space="0" w:color="auto"/>
                <w:right w:val="none" w:sz="0" w:space="0" w:color="auto"/>
              </w:divBdr>
              <w:divsChild>
                <w:div w:id="2020815620">
                  <w:marLeft w:val="0"/>
                  <w:marRight w:val="0"/>
                  <w:marTop w:val="0"/>
                  <w:marBottom w:val="0"/>
                  <w:divBdr>
                    <w:top w:val="none" w:sz="0" w:space="0" w:color="auto"/>
                    <w:left w:val="none" w:sz="0" w:space="0" w:color="auto"/>
                    <w:bottom w:val="none" w:sz="0" w:space="0" w:color="auto"/>
                    <w:right w:val="none" w:sz="0" w:space="0" w:color="auto"/>
                  </w:divBdr>
                </w:div>
                <w:div w:id="1039672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343522">
          <w:marLeft w:val="0"/>
          <w:marRight w:val="0"/>
          <w:marTop w:val="0"/>
          <w:marBottom w:val="0"/>
          <w:divBdr>
            <w:top w:val="none" w:sz="0" w:space="0" w:color="auto"/>
            <w:left w:val="none" w:sz="0" w:space="0" w:color="auto"/>
            <w:bottom w:val="none" w:sz="0" w:space="0" w:color="auto"/>
            <w:right w:val="none" w:sz="0" w:space="0" w:color="auto"/>
          </w:divBdr>
        </w:div>
        <w:div w:id="729577211">
          <w:marLeft w:val="0"/>
          <w:marRight w:val="0"/>
          <w:marTop w:val="0"/>
          <w:marBottom w:val="0"/>
          <w:divBdr>
            <w:top w:val="none" w:sz="0" w:space="0" w:color="auto"/>
            <w:left w:val="none" w:sz="0" w:space="0" w:color="auto"/>
            <w:bottom w:val="none" w:sz="0" w:space="0" w:color="auto"/>
            <w:right w:val="none" w:sz="0" w:space="0" w:color="auto"/>
          </w:divBdr>
          <w:divsChild>
            <w:div w:id="551698361">
              <w:marLeft w:val="0"/>
              <w:marRight w:val="0"/>
              <w:marTop w:val="0"/>
              <w:marBottom w:val="0"/>
              <w:divBdr>
                <w:top w:val="none" w:sz="0" w:space="0" w:color="auto"/>
                <w:left w:val="none" w:sz="0" w:space="0" w:color="auto"/>
                <w:bottom w:val="none" w:sz="0" w:space="0" w:color="auto"/>
                <w:right w:val="none" w:sz="0" w:space="0" w:color="auto"/>
              </w:divBdr>
              <w:divsChild>
                <w:div w:id="1842508284">
                  <w:marLeft w:val="0"/>
                  <w:marRight w:val="0"/>
                  <w:marTop w:val="0"/>
                  <w:marBottom w:val="0"/>
                  <w:divBdr>
                    <w:top w:val="none" w:sz="0" w:space="0" w:color="auto"/>
                    <w:left w:val="none" w:sz="0" w:space="0" w:color="auto"/>
                    <w:bottom w:val="none" w:sz="0" w:space="0" w:color="auto"/>
                    <w:right w:val="none" w:sz="0" w:space="0" w:color="auto"/>
                  </w:divBdr>
                </w:div>
                <w:div w:id="2007438183">
                  <w:marLeft w:val="0"/>
                  <w:marRight w:val="0"/>
                  <w:marTop w:val="0"/>
                  <w:marBottom w:val="0"/>
                  <w:divBdr>
                    <w:top w:val="none" w:sz="0" w:space="0" w:color="auto"/>
                    <w:left w:val="none" w:sz="0" w:space="0" w:color="auto"/>
                    <w:bottom w:val="none" w:sz="0" w:space="0" w:color="auto"/>
                    <w:right w:val="none" w:sz="0" w:space="0" w:color="auto"/>
                  </w:divBdr>
                </w:div>
                <w:div w:id="1730764656">
                  <w:marLeft w:val="0"/>
                  <w:marRight w:val="0"/>
                  <w:marTop w:val="0"/>
                  <w:marBottom w:val="0"/>
                  <w:divBdr>
                    <w:top w:val="none" w:sz="0" w:space="0" w:color="auto"/>
                    <w:left w:val="none" w:sz="0" w:space="0" w:color="auto"/>
                    <w:bottom w:val="none" w:sz="0" w:space="0" w:color="auto"/>
                    <w:right w:val="none" w:sz="0" w:space="0" w:color="auto"/>
                  </w:divBdr>
                </w:div>
                <w:div w:id="1821994208">
                  <w:marLeft w:val="0"/>
                  <w:marRight w:val="0"/>
                  <w:marTop w:val="0"/>
                  <w:marBottom w:val="0"/>
                  <w:divBdr>
                    <w:top w:val="none" w:sz="0" w:space="0" w:color="auto"/>
                    <w:left w:val="none" w:sz="0" w:space="0" w:color="auto"/>
                    <w:bottom w:val="none" w:sz="0" w:space="0" w:color="auto"/>
                    <w:right w:val="none" w:sz="0" w:space="0" w:color="auto"/>
                  </w:divBdr>
                </w:div>
                <w:div w:id="2111855411">
                  <w:marLeft w:val="0"/>
                  <w:marRight w:val="0"/>
                  <w:marTop w:val="0"/>
                  <w:marBottom w:val="0"/>
                  <w:divBdr>
                    <w:top w:val="none" w:sz="0" w:space="0" w:color="auto"/>
                    <w:left w:val="none" w:sz="0" w:space="0" w:color="auto"/>
                    <w:bottom w:val="none" w:sz="0" w:space="0" w:color="auto"/>
                    <w:right w:val="none" w:sz="0" w:space="0" w:color="auto"/>
                  </w:divBdr>
                </w:div>
                <w:div w:id="1661731683">
                  <w:marLeft w:val="0"/>
                  <w:marRight w:val="0"/>
                  <w:marTop w:val="0"/>
                  <w:marBottom w:val="0"/>
                  <w:divBdr>
                    <w:top w:val="none" w:sz="0" w:space="0" w:color="auto"/>
                    <w:left w:val="none" w:sz="0" w:space="0" w:color="auto"/>
                    <w:bottom w:val="none" w:sz="0" w:space="0" w:color="auto"/>
                    <w:right w:val="none" w:sz="0" w:space="0" w:color="auto"/>
                  </w:divBdr>
                </w:div>
                <w:div w:id="1050307262">
                  <w:marLeft w:val="0"/>
                  <w:marRight w:val="0"/>
                  <w:marTop w:val="0"/>
                  <w:marBottom w:val="0"/>
                  <w:divBdr>
                    <w:top w:val="none" w:sz="0" w:space="0" w:color="auto"/>
                    <w:left w:val="none" w:sz="0" w:space="0" w:color="auto"/>
                    <w:bottom w:val="none" w:sz="0" w:space="0" w:color="auto"/>
                    <w:right w:val="none" w:sz="0" w:space="0" w:color="auto"/>
                  </w:divBdr>
                  <w:divsChild>
                    <w:div w:id="1430465907">
                      <w:marLeft w:val="0"/>
                      <w:marRight w:val="0"/>
                      <w:marTop w:val="0"/>
                      <w:marBottom w:val="0"/>
                      <w:divBdr>
                        <w:top w:val="none" w:sz="0" w:space="0" w:color="auto"/>
                        <w:left w:val="none" w:sz="0" w:space="0" w:color="auto"/>
                        <w:bottom w:val="none" w:sz="0" w:space="0" w:color="auto"/>
                        <w:right w:val="none" w:sz="0" w:space="0" w:color="auto"/>
                      </w:divBdr>
                    </w:div>
                    <w:div w:id="914977788">
                      <w:marLeft w:val="0"/>
                      <w:marRight w:val="0"/>
                      <w:marTop w:val="0"/>
                      <w:marBottom w:val="0"/>
                      <w:divBdr>
                        <w:top w:val="none" w:sz="0" w:space="0" w:color="auto"/>
                        <w:left w:val="none" w:sz="0" w:space="0" w:color="auto"/>
                        <w:bottom w:val="none" w:sz="0" w:space="0" w:color="auto"/>
                        <w:right w:val="none" w:sz="0" w:space="0" w:color="auto"/>
                      </w:divBdr>
                    </w:div>
                  </w:divsChild>
                </w:div>
                <w:div w:id="836459489">
                  <w:marLeft w:val="0"/>
                  <w:marRight w:val="0"/>
                  <w:marTop w:val="0"/>
                  <w:marBottom w:val="0"/>
                  <w:divBdr>
                    <w:top w:val="none" w:sz="0" w:space="0" w:color="auto"/>
                    <w:left w:val="none" w:sz="0" w:space="0" w:color="auto"/>
                    <w:bottom w:val="none" w:sz="0" w:space="0" w:color="auto"/>
                    <w:right w:val="none" w:sz="0" w:space="0" w:color="auto"/>
                  </w:divBdr>
                </w:div>
                <w:div w:id="1587416833">
                  <w:marLeft w:val="0"/>
                  <w:marRight w:val="0"/>
                  <w:marTop w:val="0"/>
                  <w:marBottom w:val="0"/>
                  <w:divBdr>
                    <w:top w:val="none" w:sz="0" w:space="0" w:color="auto"/>
                    <w:left w:val="none" w:sz="0" w:space="0" w:color="auto"/>
                    <w:bottom w:val="none" w:sz="0" w:space="0" w:color="auto"/>
                    <w:right w:val="none" w:sz="0" w:space="0" w:color="auto"/>
                  </w:divBdr>
                </w:div>
                <w:div w:id="577790771">
                  <w:marLeft w:val="0"/>
                  <w:marRight w:val="0"/>
                  <w:marTop w:val="0"/>
                  <w:marBottom w:val="0"/>
                  <w:divBdr>
                    <w:top w:val="none" w:sz="0" w:space="0" w:color="auto"/>
                    <w:left w:val="none" w:sz="0" w:space="0" w:color="auto"/>
                    <w:bottom w:val="none" w:sz="0" w:space="0" w:color="auto"/>
                    <w:right w:val="none" w:sz="0" w:space="0" w:color="auto"/>
                  </w:divBdr>
                </w:div>
                <w:div w:id="1290743964">
                  <w:marLeft w:val="0"/>
                  <w:marRight w:val="0"/>
                  <w:marTop w:val="0"/>
                  <w:marBottom w:val="0"/>
                  <w:divBdr>
                    <w:top w:val="none" w:sz="0" w:space="0" w:color="auto"/>
                    <w:left w:val="none" w:sz="0" w:space="0" w:color="auto"/>
                    <w:bottom w:val="none" w:sz="0" w:space="0" w:color="auto"/>
                    <w:right w:val="none" w:sz="0" w:space="0" w:color="auto"/>
                  </w:divBdr>
                </w:div>
                <w:div w:id="1990009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svalbard" TargetMode="External"/><Relationship Id="rId3" Type="http://schemas.openxmlformats.org/officeDocument/2006/relationships/settings" Target="settings.xml"/><Relationship Id="rId7" Type="http://schemas.openxmlformats.org/officeDocument/2006/relationships/hyperlink" Target="https://www.sciencedirect.com/topics/earth-and-planetary-sciences/diamictit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inlier"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clastic-sediment"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sciencedirect.com/topics/earth-and-planetary-sciences/geochemistr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1951</Words>
  <Characters>11122</Characters>
  <Application>Microsoft Office Word</Application>
  <DocSecurity>0</DocSecurity>
  <Lines>92</Lines>
  <Paragraphs>26</Paragraphs>
  <ScaleCrop>false</ScaleCrop>
  <Company/>
  <LinksUpToDate>false</LinksUpToDate>
  <CharactersWithSpaces>13047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2025-04-19T00:39:00Z</dcterms:created>
  <dcterms:modified xsi:type="dcterms:W3CDTF">2025-04-19T00:40:00Z</dcterms:modified>
</cp:coreProperties>
</file>