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C5176" w:rsidRPr="006C5176" w:rsidRDefault="006C5176" w:rsidP="006C5176">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6C5176">
        <w:rPr>
          <w:rFonts w:ascii="Times New Roman" w:eastAsia="Times New Roman" w:hAnsi="Times New Roman" w:cs="Times New Roman"/>
          <w:b/>
          <w:bCs/>
          <w:kern w:val="36"/>
          <w:sz w:val="48"/>
          <w:szCs w:val="48"/>
        </w:rPr>
        <w:t>Mobile ions on carbonate surfaces</w:t>
      </w:r>
    </w:p>
    <w:p w:rsidR="006C5176" w:rsidRPr="006C5176" w:rsidRDefault="006C5176" w:rsidP="006C5176">
      <w:pPr>
        <w:spacing w:after="0" w:line="240" w:lineRule="auto"/>
        <w:rPr>
          <w:rFonts w:ascii="Times New Roman" w:eastAsia="Times New Roman" w:hAnsi="Times New Roman" w:cs="Times New Roman"/>
          <w:sz w:val="24"/>
          <w:szCs w:val="24"/>
        </w:rPr>
      </w:pPr>
      <w:r w:rsidRPr="006C5176">
        <w:rPr>
          <w:rFonts w:ascii="Times New Roman" w:eastAsia="Times New Roman" w:hAnsi="Times New Roman" w:cs="Times New Roman"/>
          <w:sz w:val="24"/>
          <w:szCs w:val="24"/>
        </w:rPr>
        <w:t>Author links open overlay panel</w:t>
      </w:r>
    </w:p>
    <w:p w:rsidR="006C5176" w:rsidRPr="006C5176" w:rsidRDefault="006C5176" w:rsidP="006C5176">
      <w:pPr>
        <w:spacing w:after="0" w:line="240" w:lineRule="auto"/>
        <w:rPr>
          <w:rFonts w:ascii="Times New Roman" w:eastAsia="Times New Roman" w:hAnsi="Times New Roman" w:cs="Times New Roman"/>
          <w:sz w:val="24"/>
          <w:szCs w:val="24"/>
        </w:rPr>
      </w:pPr>
      <w:r w:rsidRPr="006C5176">
        <w:rPr>
          <w:rFonts w:ascii="Times New Roman" w:eastAsia="Times New Roman" w:hAnsi="Times New Roman" w:cs="Times New Roman"/>
          <w:sz w:val="24"/>
          <w:szCs w:val="24"/>
        </w:rPr>
        <w:t xml:space="preserve">, </w:t>
      </w:r>
    </w:p>
    <w:p w:rsidR="006C5176" w:rsidRPr="006C5176" w:rsidRDefault="006C5176" w:rsidP="006C5176">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6C5176">
          <w:rPr>
            <w:rFonts w:ascii="Times New Roman" w:eastAsia="Times New Roman" w:hAnsi="Times New Roman" w:cs="Times New Roman"/>
            <w:color w:val="0000FF"/>
            <w:sz w:val="24"/>
            <w:szCs w:val="24"/>
            <w:u w:val="single"/>
          </w:rPr>
          <w:t>https://doi.org/10.1016/j.gca.2005.02.010</w:t>
        </w:r>
      </w:hyperlink>
      <w:bookmarkStart w:id="0" w:name="_GoBack"/>
      <w:bookmarkEnd w:id="0"/>
      <w:r w:rsidRPr="006C5176">
        <w:rPr>
          <w:rFonts w:ascii="Times New Roman" w:eastAsia="Times New Roman" w:hAnsi="Times New Roman" w:cs="Times New Roman"/>
          <w:sz w:val="24"/>
          <w:szCs w:val="24"/>
        </w:rPr>
        <w:t xml:space="preserve"> </w:t>
      </w:r>
    </w:p>
    <w:p w:rsidR="006C5176" w:rsidRPr="006C5176" w:rsidRDefault="006C5176" w:rsidP="006C5176">
      <w:pPr>
        <w:spacing w:before="100" w:beforeAutospacing="1" w:after="100" w:afterAutospacing="1" w:line="240" w:lineRule="auto"/>
        <w:outlineLvl w:val="1"/>
        <w:rPr>
          <w:rFonts w:ascii="Times New Roman" w:eastAsia="Times New Roman" w:hAnsi="Times New Roman" w:cs="Times New Roman"/>
          <w:b/>
          <w:bCs/>
          <w:sz w:val="36"/>
          <w:szCs w:val="36"/>
        </w:rPr>
      </w:pPr>
      <w:r w:rsidRPr="006C5176">
        <w:rPr>
          <w:rFonts w:ascii="Times New Roman" w:eastAsia="Times New Roman" w:hAnsi="Times New Roman" w:cs="Times New Roman"/>
          <w:b/>
          <w:bCs/>
          <w:sz w:val="36"/>
          <w:szCs w:val="36"/>
        </w:rPr>
        <w:t>Abstract</w:t>
      </w:r>
    </w:p>
    <w:p w:rsidR="006C5176" w:rsidRPr="006C5176" w:rsidRDefault="006C5176" w:rsidP="006C5176">
      <w:pPr>
        <w:spacing w:before="100" w:beforeAutospacing="1" w:after="100" w:afterAutospacing="1" w:line="240" w:lineRule="auto"/>
        <w:rPr>
          <w:rFonts w:ascii="Times New Roman" w:eastAsia="Times New Roman" w:hAnsi="Times New Roman" w:cs="Times New Roman"/>
          <w:sz w:val="24"/>
          <w:szCs w:val="24"/>
        </w:rPr>
      </w:pPr>
      <w:r w:rsidRPr="006C5176">
        <w:rPr>
          <w:rFonts w:ascii="Times New Roman" w:eastAsia="Times New Roman" w:hAnsi="Times New Roman" w:cs="Times New Roman"/>
          <w:sz w:val="24"/>
          <w:szCs w:val="24"/>
        </w:rPr>
        <w:t>Surface ions move during the dissolution and growth of minerals. The present study investigates the density and the mobility of surface ions and the structure of the adsorbed water layer with changes in relative humidity (RH). The time evolution of the polarization force, which is induced by an electrically biased tip of an atomic force microscope, shows that the density and the mobility of surface ions increase with rising humidity, a finding which is consistent with increasing surface hydration. A marked change in the observations above 55% RH indicates a transition from a water layer formed by heteroepitaxial two-dimensional growth at low RH to one formed by multilayer three-dimensional growth at high RH. A comparison of the results of several rhombohedral carbonates (</w:t>
      </w:r>
      <w:r w:rsidRPr="006C5176">
        <w:rPr>
          <w:rFonts w:ascii="Times New Roman" w:eastAsia="Times New Roman" w:hAnsi="Times New Roman" w:cs="Times New Roman"/>
          <w:i/>
          <w:iCs/>
          <w:sz w:val="24"/>
          <w:szCs w:val="24"/>
        </w:rPr>
        <w:t>viz.</w:t>
      </w:r>
      <w:r w:rsidRPr="006C5176">
        <w:rPr>
          <w:rFonts w:ascii="Times New Roman" w:eastAsia="Times New Roman" w:hAnsi="Times New Roman" w:cs="Times New Roman"/>
          <w:sz w:val="24"/>
          <w:szCs w:val="24"/>
        </w:rPr>
        <w:t xml:space="preserve"> CaCO</w:t>
      </w:r>
      <w:r w:rsidRPr="006C5176">
        <w:rPr>
          <w:rFonts w:ascii="Times New Roman" w:eastAsia="Times New Roman" w:hAnsi="Times New Roman" w:cs="Times New Roman"/>
          <w:sz w:val="24"/>
          <w:szCs w:val="24"/>
          <w:vertAlign w:val="subscript"/>
        </w:rPr>
        <w:t>3</w:t>
      </w:r>
      <w:r w:rsidRPr="006C5176">
        <w:rPr>
          <w:rFonts w:ascii="Times New Roman" w:eastAsia="Times New Roman" w:hAnsi="Times New Roman" w:cs="Times New Roman"/>
          <w:sz w:val="24"/>
          <w:szCs w:val="24"/>
        </w:rPr>
        <w:t>, FeCO</w:t>
      </w:r>
      <w:r w:rsidRPr="006C5176">
        <w:rPr>
          <w:rFonts w:ascii="Times New Roman" w:eastAsia="Times New Roman" w:hAnsi="Times New Roman" w:cs="Times New Roman"/>
          <w:sz w:val="24"/>
          <w:szCs w:val="24"/>
          <w:vertAlign w:val="subscript"/>
        </w:rPr>
        <w:t>3</w:t>
      </w:r>
      <w:r w:rsidRPr="006C5176">
        <w:rPr>
          <w:rFonts w:ascii="Times New Roman" w:eastAsia="Times New Roman" w:hAnsi="Times New Roman" w:cs="Times New Roman"/>
          <w:sz w:val="24"/>
          <w:szCs w:val="24"/>
        </w:rPr>
        <w:t>, ZnCO</w:t>
      </w:r>
      <w:r w:rsidRPr="006C5176">
        <w:rPr>
          <w:rFonts w:ascii="Times New Roman" w:eastAsia="Times New Roman" w:hAnsi="Times New Roman" w:cs="Times New Roman"/>
          <w:sz w:val="24"/>
          <w:szCs w:val="24"/>
          <w:vertAlign w:val="subscript"/>
        </w:rPr>
        <w:t>3</w:t>
      </w:r>
      <w:r w:rsidRPr="006C5176">
        <w:rPr>
          <w:rFonts w:ascii="Times New Roman" w:eastAsia="Times New Roman" w:hAnsi="Times New Roman" w:cs="Times New Roman"/>
          <w:sz w:val="24"/>
          <w:szCs w:val="24"/>
        </w:rPr>
        <w:t>, MgCO</w:t>
      </w:r>
      <w:r w:rsidRPr="006C5176">
        <w:rPr>
          <w:rFonts w:ascii="Times New Roman" w:eastAsia="Times New Roman" w:hAnsi="Times New Roman" w:cs="Times New Roman"/>
          <w:sz w:val="24"/>
          <w:szCs w:val="24"/>
          <w:vertAlign w:val="subscript"/>
        </w:rPr>
        <w:t>3</w:t>
      </w:r>
      <w:r w:rsidRPr="006C5176">
        <w:rPr>
          <w:rFonts w:ascii="Times New Roman" w:eastAsia="Times New Roman" w:hAnsi="Times New Roman" w:cs="Times New Roman"/>
          <w:sz w:val="24"/>
          <w:szCs w:val="24"/>
        </w:rPr>
        <w:t>, and MnCO</w:t>
      </w:r>
      <w:r w:rsidRPr="006C5176">
        <w:rPr>
          <w:rFonts w:ascii="Times New Roman" w:eastAsia="Times New Roman" w:hAnsi="Times New Roman" w:cs="Times New Roman"/>
          <w:sz w:val="24"/>
          <w:szCs w:val="24"/>
          <w:vertAlign w:val="subscript"/>
        </w:rPr>
        <w:t>3</w:t>
      </w:r>
      <w:r w:rsidRPr="006C5176">
        <w:rPr>
          <w:rFonts w:ascii="Times New Roman" w:eastAsia="Times New Roman" w:hAnsi="Times New Roman" w:cs="Times New Roman"/>
          <w:sz w:val="24"/>
          <w:szCs w:val="24"/>
        </w:rPr>
        <w:t>) shows that a long relaxation time of the polarization force at high RH is predictive of a rapid dissolution rate. This finding is rationalized by long lifetimes in terrace positions and hence greater opportunities for detachment of the ion to aqueous solution (i.e., dissolution). Our findings on the density and the mobility of surface ions therefore help to better constrain mechanistic models of hydration, ion exchange, and dissolution/growth.</w:t>
      </w:r>
    </w:p>
    <w:p w:rsidR="006C5176" w:rsidRPr="006C5176" w:rsidRDefault="006C5176" w:rsidP="006C5176">
      <w:pPr>
        <w:spacing w:before="100" w:beforeAutospacing="1" w:after="100" w:afterAutospacing="1" w:line="240" w:lineRule="auto"/>
        <w:outlineLvl w:val="1"/>
        <w:rPr>
          <w:rFonts w:ascii="Times New Roman" w:eastAsia="Times New Roman" w:hAnsi="Times New Roman" w:cs="Times New Roman"/>
          <w:b/>
          <w:bCs/>
          <w:sz w:val="36"/>
          <w:szCs w:val="36"/>
        </w:rPr>
      </w:pPr>
      <w:r w:rsidRPr="006C5176">
        <w:rPr>
          <w:rFonts w:ascii="Times New Roman" w:eastAsia="Times New Roman" w:hAnsi="Times New Roman" w:cs="Times New Roman"/>
          <w:b/>
          <w:bCs/>
          <w:sz w:val="36"/>
          <w:szCs w:val="36"/>
        </w:rPr>
        <w:t>Introduction</w:t>
      </w:r>
    </w:p>
    <w:p w:rsidR="006C5176" w:rsidRPr="006C5176" w:rsidRDefault="006C5176" w:rsidP="006C5176">
      <w:pPr>
        <w:spacing w:before="100" w:beforeAutospacing="1" w:after="100" w:afterAutospacing="1" w:line="240" w:lineRule="auto"/>
        <w:rPr>
          <w:rFonts w:ascii="Times New Roman" w:eastAsia="Times New Roman" w:hAnsi="Times New Roman" w:cs="Times New Roman"/>
          <w:sz w:val="24"/>
          <w:szCs w:val="24"/>
        </w:rPr>
      </w:pPr>
      <w:r w:rsidRPr="006C5176">
        <w:rPr>
          <w:rFonts w:ascii="Times New Roman" w:eastAsia="Times New Roman" w:hAnsi="Times New Roman" w:cs="Times New Roman"/>
          <w:sz w:val="24"/>
          <w:szCs w:val="24"/>
        </w:rPr>
        <w:t xml:space="preserve">The carbonate family of minerals is ubiquitous and plays many important roles (Morse and </w:t>
      </w:r>
      <w:proofErr w:type="spellStart"/>
      <w:r w:rsidRPr="006C5176">
        <w:rPr>
          <w:rFonts w:ascii="Times New Roman" w:eastAsia="Times New Roman" w:hAnsi="Times New Roman" w:cs="Times New Roman"/>
          <w:sz w:val="24"/>
          <w:szCs w:val="24"/>
        </w:rPr>
        <w:t>Arvidson</w:t>
      </w:r>
      <w:proofErr w:type="spellEnd"/>
      <w:r w:rsidRPr="006C5176">
        <w:rPr>
          <w:rFonts w:ascii="Times New Roman" w:eastAsia="Times New Roman" w:hAnsi="Times New Roman" w:cs="Times New Roman"/>
          <w:sz w:val="24"/>
          <w:szCs w:val="24"/>
        </w:rPr>
        <w:t>, 2002). An understanding of carbonate mineral surface properties, however, remains incomplete, especially in response to hydration (</w:t>
      </w:r>
      <w:proofErr w:type="spellStart"/>
      <w:r w:rsidRPr="006C5176">
        <w:rPr>
          <w:rFonts w:ascii="Times New Roman" w:eastAsia="Times New Roman" w:hAnsi="Times New Roman" w:cs="Times New Roman"/>
          <w:sz w:val="24"/>
          <w:szCs w:val="24"/>
        </w:rPr>
        <w:t>Stipp</w:t>
      </w:r>
      <w:proofErr w:type="spellEnd"/>
      <w:r w:rsidRPr="006C5176">
        <w:rPr>
          <w:rFonts w:ascii="Times New Roman" w:eastAsia="Times New Roman" w:hAnsi="Times New Roman" w:cs="Times New Roman"/>
          <w:sz w:val="24"/>
          <w:szCs w:val="24"/>
        </w:rPr>
        <w:t xml:space="preserve"> et al., 1996; </w:t>
      </w:r>
      <w:proofErr w:type="spellStart"/>
      <w:r w:rsidRPr="006C5176">
        <w:rPr>
          <w:rFonts w:ascii="Times New Roman" w:eastAsia="Times New Roman" w:hAnsi="Times New Roman" w:cs="Times New Roman"/>
          <w:sz w:val="24"/>
          <w:szCs w:val="24"/>
        </w:rPr>
        <w:t>Fenter</w:t>
      </w:r>
      <w:proofErr w:type="spellEnd"/>
      <w:r w:rsidRPr="006C5176">
        <w:rPr>
          <w:rFonts w:ascii="Times New Roman" w:eastAsia="Times New Roman" w:hAnsi="Times New Roman" w:cs="Times New Roman"/>
          <w:sz w:val="24"/>
          <w:szCs w:val="24"/>
        </w:rPr>
        <w:t xml:space="preserve"> et al., 2000; Krueger et al., 2003). The high solubilities and the fast dissolution kinetics characteristic of carbonate minerals complicate efforts to characterize the chemical and electrical properties of the hydrated surface (Van </w:t>
      </w:r>
      <w:proofErr w:type="spellStart"/>
      <w:r w:rsidRPr="006C5176">
        <w:rPr>
          <w:rFonts w:ascii="Times New Roman" w:eastAsia="Times New Roman" w:hAnsi="Times New Roman" w:cs="Times New Roman"/>
          <w:sz w:val="24"/>
          <w:szCs w:val="24"/>
        </w:rPr>
        <w:t>Cappellen</w:t>
      </w:r>
      <w:proofErr w:type="spellEnd"/>
      <w:r w:rsidRPr="006C5176">
        <w:rPr>
          <w:rFonts w:ascii="Times New Roman" w:eastAsia="Times New Roman" w:hAnsi="Times New Roman" w:cs="Times New Roman"/>
          <w:sz w:val="24"/>
          <w:szCs w:val="24"/>
        </w:rPr>
        <w:t xml:space="preserve"> et al., 1993). Previous computational, spectroscopic, and imaging studies suggest that a cleaved calcite mineral surface prepared in vacuum is terminated by undercoordinated divalent metals and carbonate oxygens. In response to the unsatisfied charge, the surface relaxes, restructures, and, in the presence of water, hydrates (</w:t>
      </w:r>
      <w:proofErr w:type="spellStart"/>
      <w:r w:rsidRPr="006C5176">
        <w:rPr>
          <w:rFonts w:ascii="Times New Roman" w:eastAsia="Times New Roman" w:hAnsi="Times New Roman" w:cs="Times New Roman"/>
          <w:sz w:val="24"/>
          <w:szCs w:val="24"/>
        </w:rPr>
        <w:t>Stipp</w:t>
      </w:r>
      <w:proofErr w:type="spellEnd"/>
      <w:r w:rsidRPr="006C5176">
        <w:rPr>
          <w:rFonts w:ascii="Times New Roman" w:eastAsia="Times New Roman" w:hAnsi="Times New Roman" w:cs="Times New Roman"/>
          <w:sz w:val="24"/>
          <w:szCs w:val="24"/>
        </w:rPr>
        <w:t>, 1999). X-ray reflectivity data show the formation of a 2-nm thick water film on freshly cleaved calcite under humid conditions (</w:t>
      </w:r>
      <w:proofErr w:type="spellStart"/>
      <w:r w:rsidRPr="006C5176">
        <w:rPr>
          <w:rFonts w:ascii="Times New Roman" w:eastAsia="Times New Roman" w:hAnsi="Times New Roman" w:cs="Times New Roman"/>
          <w:sz w:val="24"/>
          <w:szCs w:val="24"/>
        </w:rPr>
        <w:t>Chiarello</w:t>
      </w:r>
      <w:proofErr w:type="spellEnd"/>
      <w:r w:rsidRPr="006C5176">
        <w:rPr>
          <w:rFonts w:ascii="Times New Roman" w:eastAsia="Times New Roman" w:hAnsi="Times New Roman" w:cs="Times New Roman"/>
          <w:sz w:val="24"/>
          <w:szCs w:val="24"/>
        </w:rPr>
        <w:t xml:space="preserve"> et al., 1993). Atomic force micrographs collected for six days in humid air reveal a dynamic surface having changes in step positions and pit morphologies (</w:t>
      </w:r>
      <w:proofErr w:type="spellStart"/>
      <w:r w:rsidRPr="006C5176">
        <w:rPr>
          <w:rFonts w:ascii="Times New Roman" w:eastAsia="Times New Roman" w:hAnsi="Times New Roman" w:cs="Times New Roman"/>
          <w:sz w:val="24"/>
          <w:szCs w:val="24"/>
        </w:rPr>
        <w:t>Stipp</w:t>
      </w:r>
      <w:proofErr w:type="spellEnd"/>
      <w:r w:rsidRPr="006C5176">
        <w:rPr>
          <w:rFonts w:ascii="Times New Roman" w:eastAsia="Times New Roman" w:hAnsi="Times New Roman" w:cs="Times New Roman"/>
          <w:sz w:val="24"/>
          <w:szCs w:val="24"/>
        </w:rPr>
        <w:t xml:space="preserve"> et al., 1996). The inference is the presence of hydrated mobile ions on the surface of calcite and, presumably, of other members of the carbonate family. These mobile ions are also the active agents in kink-kink-annihilation (KKA) theory employed to describe mineral growth and dissolution (Liang et al 1996a, Liang et al 1996b; Jordan et al., 2001; Morse and </w:t>
      </w:r>
      <w:proofErr w:type="spellStart"/>
      <w:r w:rsidRPr="006C5176">
        <w:rPr>
          <w:rFonts w:ascii="Times New Roman" w:eastAsia="Times New Roman" w:hAnsi="Times New Roman" w:cs="Times New Roman"/>
          <w:sz w:val="24"/>
          <w:szCs w:val="24"/>
        </w:rPr>
        <w:t>Arvidson</w:t>
      </w:r>
      <w:proofErr w:type="spellEnd"/>
      <w:r w:rsidRPr="006C5176">
        <w:rPr>
          <w:rFonts w:ascii="Times New Roman" w:eastAsia="Times New Roman" w:hAnsi="Times New Roman" w:cs="Times New Roman"/>
          <w:sz w:val="24"/>
          <w:szCs w:val="24"/>
        </w:rPr>
        <w:t>, 2002; Duckworth and Martin, 2003).</w:t>
      </w:r>
    </w:p>
    <w:p w:rsidR="006C5176" w:rsidRPr="006C5176" w:rsidRDefault="006C5176" w:rsidP="006C5176">
      <w:pPr>
        <w:spacing w:before="100" w:beforeAutospacing="1" w:after="100" w:afterAutospacing="1" w:line="240" w:lineRule="auto"/>
        <w:rPr>
          <w:rFonts w:ascii="Times New Roman" w:eastAsia="Times New Roman" w:hAnsi="Times New Roman" w:cs="Times New Roman"/>
          <w:sz w:val="24"/>
          <w:szCs w:val="24"/>
        </w:rPr>
      </w:pPr>
      <w:r w:rsidRPr="006C5176">
        <w:rPr>
          <w:rFonts w:ascii="Times New Roman" w:eastAsia="Times New Roman" w:hAnsi="Times New Roman" w:cs="Times New Roman"/>
          <w:sz w:val="24"/>
          <w:szCs w:val="24"/>
        </w:rPr>
        <w:t xml:space="preserve">A missing link in experimental techniques is the ability to measure the density and the mobility of surface ions and thus to provide data to constrain mechanistic models of dissolution and growth. In the work reported in this paper, we employ a new approach to study the density and the mobility of surface ions. Namely, the time evolution of the electrical force between a biased atomic force microscope (AFM) tip and the mineral surface is monitored at various relative </w:t>
      </w:r>
      <w:proofErr w:type="spellStart"/>
      <w:r w:rsidRPr="006C5176">
        <w:rPr>
          <w:rFonts w:ascii="Times New Roman" w:eastAsia="Times New Roman" w:hAnsi="Times New Roman" w:cs="Times New Roman"/>
          <w:sz w:val="24"/>
          <w:szCs w:val="24"/>
        </w:rPr>
        <w:t>humidities</w:t>
      </w:r>
      <w:proofErr w:type="spellEnd"/>
      <w:r w:rsidRPr="006C5176">
        <w:rPr>
          <w:rFonts w:ascii="Times New Roman" w:eastAsia="Times New Roman" w:hAnsi="Times New Roman" w:cs="Times New Roman"/>
          <w:sz w:val="24"/>
          <w:szCs w:val="24"/>
        </w:rPr>
        <w:t xml:space="preserve"> (RH) (Hu </w:t>
      </w:r>
      <w:r w:rsidRPr="006C5176">
        <w:rPr>
          <w:rFonts w:ascii="Times New Roman" w:eastAsia="Times New Roman" w:hAnsi="Times New Roman" w:cs="Times New Roman"/>
          <w:sz w:val="24"/>
          <w:szCs w:val="24"/>
        </w:rPr>
        <w:lastRenderedPageBreak/>
        <w:t>et al 1995a, Hu et al 1995b). A large part of the force arises from charge induced (i.e., a polarization force) at the mineral surface by the nearby biased tip. When present, solvable surface ions are the main contribution to the induced charge (Hu et al., 1995b; Luna et al., 1998). These measurements are, therefore, sensitive to ion hydration, surface migration, and desorption, and new mechanistic insights of calcite dissolution may be gained. Specifically, we investigate connections between the density and mobility of surface ions and the dissolution rates of CaCO</w:t>
      </w:r>
      <w:r w:rsidRPr="006C5176">
        <w:rPr>
          <w:rFonts w:ascii="Times New Roman" w:eastAsia="Times New Roman" w:hAnsi="Times New Roman" w:cs="Times New Roman"/>
          <w:sz w:val="24"/>
          <w:szCs w:val="24"/>
          <w:vertAlign w:val="subscript"/>
        </w:rPr>
        <w:t>3</w:t>
      </w:r>
      <w:r w:rsidRPr="006C5176">
        <w:rPr>
          <w:rFonts w:ascii="Times New Roman" w:eastAsia="Times New Roman" w:hAnsi="Times New Roman" w:cs="Times New Roman"/>
          <w:sz w:val="24"/>
          <w:szCs w:val="24"/>
        </w:rPr>
        <w:t>, FeCO</w:t>
      </w:r>
      <w:r w:rsidRPr="006C5176">
        <w:rPr>
          <w:rFonts w:ascii="Times New Roman" w:eastAsia="Times New Roman" w:hAnsi="Times New Roman" w:cs="Times New Roman"/>
          <w:sz w:val="24"/>
          <w:szCs w:val="24"/>
          <w:vertAlign w:val="subscript"/>
        </w:rPr>
        <w:t>3</w:t>
      </w:r>
      <w:r w:rsidRPr="006C5176">
        <w:rPr>
          <w:rFonts w:ascii="Times New Roman" w:eastAsia="Times New Roman" w:hAnsi="Times New Roman" w:cs="Times New Roman"/>
          <w:sz w:val="24"/>
          <w:szCs w:val="24"/>
        </w:rPr>
        <w:t>, ZnCO</w:t>
      </w:r>
      <w:r w:rsidRPr="006C5176">
        <w:rPr>
          <w:rFonts w:ascii="Times New Roman" w:eastAsia="Times New Roman" w:hAnsi="Times New Roman" w:cs="Times New Roman"/>
          <w:sz w:val="24"/>
          <w:szCs w:val="24"/>
          <w:vertAlign w:val="subscript"/>
        </w:rPr>
        <w:t>3</w:t>
      </w:r>
      <w:r w:rsidRPr="006C5176">
        <w:rPr>
          <w:rFonts w:ascii="Times New Roman" w:eastAsia="Times New Roman" w:hAnsi="Times New Roman" w:cs="Times New Roman"/>
          <w:sz w:val="24"/>
          <w:szCs w:val="24"/>
        </w:rPr>
        <w:t>, MgCO</w:t>
      </w:r>
      <w:r w:rsidRPr="006C5176">
        <w:rPr>
          <w:rFonts w:ascii="Times New Roman" w:eastAsia="Times New Roman" w:hAnsi="Times New Roman" w:cs="Times New Roman"/>
          <w:sz w:val="24"/>
          <w:szCs w:val="24"/>
          <w:vertAlign w:val="subscript"/>
        </w:rPr>
        <w:t>3</w:t>
      </w:r>
      <w:r w:rsidRPr="006C5176">
        <w:rPr>
          <w:rFonts w:ascii="Times New Roman" w:eastAsia="Times New Roman" w:hAnsi="Times New Roman" w:cs="Times New Roman"/>
          <w:sz w:val="24"/>
          <w:szCs w:val="24"/>
        </w:rPr>
        <w:t>, and MnCO</w:t>
      </w:r>
      <w:r w:rsidRPr="006C5176">
        <w:rPr>
          <w:rFonts w:ascii="Times New Roman" w:eastAsia="Times New Roman" w:hAnsi="Times New Roman" w:cs="Times New Roman"/>
          <w:sz w:val="24"/>
          <w:szCs w:val="24"/>
          <w:vertAlign w:val="subscript"/>
        </w:rPr>
        <w:t>3</w:t>
      </w:r>
      <w:r w:rsidRPr="006C5176">
        <w:rPr>
          <w:rFonts w:ascii="Times New Roman" w:eastAsia="Times New Roman" w:hAnsi="Times New Roman" w:cs="Times New Roman"/>
          <w:sz w:val="24"/>
          <w:szCs w:val="24"/>
        </w:rPr>
        <w:t xml:space="preserve">. We also investigate the structure and the thickness of adsorbed water at several relative </w:t>
      </w:r>
      <w:proofErr w:type="spellStart"/>
      <w:r w:rsidRPr="006C5176">
        <w:rPr>
          <w:rFonts w:ascii="Times New Roman" w:eastAsia="Times New Roman" w:hAnsi="Times New Roman" w:cs="Times New Roman"/>
          <w:sz w:val="24"/>
          <w:szCs w:val="24"/>
        </w:rPr>
        <w:t>humidities</w:t>
      </w:r>
      <w:proofErr w:type="spellEnd"/>
      <w:r w:rsidRPr="006C5176">
        <w:rPr>
          <w:rFonts w:ascii="Times New Roman" w:eastAsia="Times New Roman" w:hAnsi="Times New Roman" w:cs="Times New Roman"/>
          <w:sz w:val="24"/>
          <w:szCs w:val="24"/>
        </w:rPr>
        <w:t>.</w:t>
      </w:r>
    </w:p>
    <w:p w:rsidR="006C5176" w:rsidRPr="006C5176" w:rsidRDefault="006C5176" w:rsidP="006C5176">
      <w:pPr>
        <w:spacing w:before="100" w:beforeAutospacing="1" w:after="100" w:afterAutospacing="1" w:line="240" w:lineRule="auto"/>
        <w:outlineLvl w:val="1"/>
        <w:rPr>
          <w:rFonts w:ascii="Times New Roman" w:eastAsia="Times New Roman" w:hAnsi="Times New Roman" w:cs="Times New Roman"/>
          <w:b/>
          <w:bCs/>
          <w:sz w:val="36"/>
          <w:szCs w:val="36"/>
        </w:rPr>
      </w:pPr>
      <w:r w:rsidRPr="006C5176">
        <w:rPr>
          <w:rFonts w:ascii="Times New Roman" w:eastAsia="Times New Roman" w:hAnsi="Times New Roman" w:cs="Times New Roman"/>
          <w:b/>
          <w:bCs/>
          <w:sz w:val="36"/>
          <w:szCs w:val="36"/>
        </w:rPr>
        <w:t>Section snippets</w:t>
      </w:r>
    </w:p>
    <w:p w:rsidR="006C5176" w:rsidRPr="006C5176" w:rsidRDefault="006C5176" w:rsidP="006C5176">
      <w:pPr>
        <w:spacing w:before="100" w:beforeAutospacing="1" w:after="100" w:afterAutospacing="1" w:line="240" w:lineRule="auto"/>
        <w:outlineLvl w:val="1"/>
        <w:rPr>
          <w:rFonts w:ascii="Times New Roman" w:eastAsia="Times New Roman" w:hAnsi="Times New Roman" w:cs="Times New Roman"/>
          <w:b/>
          <w:bCs/>
          <w:sz w:val="36"/>
          <w:szCs w:val="36"/>
        </w:rPr>
      </w:pPr>
      <w:r w:rsidRPr="006C5176">
        <w:rPr>
          <w:rFonts w:ascii="Times New Roman" w:eastAsia="Times New Roman" w:hAnsi="Times New Roman" w:cs="Times New Roman"/>
          <w:b/>
          <w:bCs/>
          <w:sz w:val="36"/>
          <w:szCs w:val="36"/>
        </w:rPr>
        <w:t>Sample Preparation</w:t>
      </w:r>
    </w:p>
    <w:p w:rsidR="006C5176" w:rsidRPr="006C5176" w:rsidRDefault="006C5176" w:rsidP="006C5176">
      <w:pPr>
        <w:spacing w:before="100" w:beforeAutospacing="1" w:after="100" w:afterAutospacing="1" w:line="240" w:lineRule="auto"/>
        <w:rPr>
          <w:rFonts w:ascii="Times New Roman" w:eastAsia="Times New Roman" w:hAnsi="Times New Roman" w:cs="Times New Roman"/>
          <w:sz w:val="24"/>
          <w:szCs w:val="24"/>
        </w:rPr>
      </w:pPr>
      <w:r w:rsidRPr="006C5176">
        <w:rPr>
          <w:rFonts w:ascii="Times New Roman" w:eastAsia="Times New Roman" w:hAnsi="Times New Roman" w:cs="Times New Roman"/>
          <w:sz w:val="24"/>
          <w:szCs w:val="24"/>
        </w:rPr>
        <w:t xml:space="preserve">Single crystal samples of calcite (variety Iceland Spar, Chihuahua, Mexico) were purchased from Ward’s Geology (Rochester, New York). Rhodochrosite (sample no. 96030, Colorado), siderite (sample no. 134827, </w:t>
      </w:r>
      <w:proofErr w:type="spellStart"/>
      <w:r w:rsidRPr="006C5176">
        <w:rPr>
          <w:rFonts w:ascii="Times New Roman" w:eastAsia="Times New Roman" w:hAnsi="Times New Roman" w:cs="Times New Roman"/>
          <w:sz w:val="24"/>
          <w:szCs w:val="24"/>
        </w:rPr>
        <w:t>Ivigtut</w:t>
      </w:r>
      <w:proofErr w:type="spellEnd"/>
      <w:r w:rsidRPr="006C5176">
        <w:rPr>
          <w:rFonts w:ascii="Times New Roman" w:eastAsia="Times New Roman" w:hAnsi="Times New Roman" w:cs="Times New Roman"/>
          <w:sz w:val="24"/>
          <w:szCs w:val="24"/>
        </w:rPr>
        <w:t xml:space="preserve">, Greenland), smithsonite (sample no. 115633, Broken Hill, Zimbabwe), and magnesite (sample no. 105090, </w:t>
      </w:r>
      <w:proofErr w:type="spellStart"/>
      <w:r w:rsidRPr="006C5176">
        <w:rPr>
          <w:rFonts w:ascii="Times New Roman" w:eastAsia="Times New Roman" w:hAnsi="Times New Roman" w:cs="Times New Roman"/>
          <w:sz w:val="24"/>
          <w:szCs w:val="24"/>
        </w:rPr>
        <w:t>Oberdorf</w:t>
      </w:r>
      <w:proofErr w:type="spellEnd"/>
      <w:r w:rsidRPr="006C5176">
        <w:rPr>
          <w:rFonts w:ascii="Times New Roman" w:eastAsia="Times New Roman" w:hAnsi="Times New Roman" w:cs="Times New Roman"/>
          <w:sz w:val="24"/>
          <w:szCs w:val="24"/>
        </w:rPr>
        <w:t xml:space="preserve">, Austria) were obtained from the Harvard University Mineralogical Museum. Fresh (1014̄) surfaces of each mineral were prepared by cleaving samples with a sharp razor blade. </w:t>
      </w:r>
    </w:p>
    <w:p w:rsidR="006C5176" w:rsidRPr="006C5176" w:rsidRDefault="006C5176" w:rsidP="006C5176">
      <w:pPr>
        <w:spacing w:before="100" w:beforeAutospacing="1" w:after="100" w:afterAutospacing="1" w:line="240" w:lineRule="auto"/>
        <w:outlineLvl w:val="1"/>
        <w:rPr>
          <w:rFonts w:ascii="Times New Roman" w:eastAsia="Times New Roman" w:hAnsi="Times New Roman" w:cs="Times New Roman"/>
          <w:b/>
          <w:bCs/>
          <w:sz w:val="36"/>
          <w:szCs w:val="36"/>
        </w:rPr>
      </w:pPr>
      <w:r w:rsidRPr="006C5176">
        <w:rPr>
          <w:rFonts w:ascii="Times New Roman" w:eastAsia="Times New Roman" w:hAnsi="Times New Roman" w:cs="Times New Roman"/>
          <w:b/>
          <w:bCs/>
          <w:sz w:val="36"/>
          <w:szCs w:val="36"/>
        </w:rPr>
        <w:t>Control Experiments</w:t>
      </w:r>
    </w:p>
    <w:p w:rsidR="006C5176" w:rsidRPr="006C5176" w:rsidRDefault="006C5176" w:rsidP="006C5176">
      <w:pPr>
        <w:spacing w:before="100" w:beforeAutospacing="1" w:after="100" w:afterAutospacing="1" w:line="240" w:lineRule="auto"/>
        <w:rPr>
          <w:rFonts w:ascii="Times New Roman" w:eastAsia="Times New Roman" w:hAnsi="Times New Roman" w:cs="Times New Roman"/>
          <w:sz w:val="24"/>
          <w:szCs w:val="24"/>
        </w:rPr>
      </w:pPr>
      <w:r w:rsidRPr="006C5176">
        <w:rPr>
          <w:rFonts w:ascii="Times New Roman" w:eastAsia="Times New Roman" w:hAnsi="Times New Roman" w:cs="Times New Roman"/>
          <w:sz w:val="24"/>
          <w:szCs w:val="24"/>
        </w:rPr>
        <w:t xml:space="preserve">Control experiments conducted with NaCl and PTFE (Teflon) show the expected responses (Fig. 2). Specifically, the surface of NaCl should have a high density and a high mobility of surface ions, especially above 75% RH when a deliquescent aqueous layer </w:t>
      </w:r>
      <w:proofErr w:type="gramStart"/>
      <w:r w:rsidRPr="006C5176">
        <w:rPr>
          <w:rFonts w:ascii="Times New Roman" w:eastAsia="Times New Roman" w:hAnsi="Times New Roman" w:cs="Times New Roman"/>
          <w:sz w:val="24"/>
          <w:szCs w:val="24"/>
        </w:rPr>
        <w:t>forms</w:t>
      </w:r>
      <w:proofErr w:type="gramEnd"/>
      <w:r w:rsidRPr="006C5176">
        <w:rPr>
          <w:rFonts w:ascii="Times New Roman" w:eastAsia="Times New Roman" w:hAnsi="Times New Roman" w:cs="Times New Roman"/>
          <w:sz w:val="24"/>
          <w:szCs w:val="24"/>
        </w:rPr>
        <w:t xml:space="preserve">. The collected data do show large changes in the polarization forces at 75% RH, which is the NaCl deliquescence point, and at 40% RH, which is the point at which infrared spectroscopy indicates monolayer surface coverage by water (Peters and </w:t>
      </w:r>
    </w:p>
    <w:p w:rsidR="006C5176" w:rsidRPr="006C5176" w:rsidRDefault="006C5176" w:rsidP="006C5176">
      <w:pPr>
        <w:spacing w:before="100" w:beforeAutospacing="1" w:after="100" w:afterAutospacing="1" w:line="240" w:lineRule="auto"/>
        <w:outlineLvl w:val="1"/>
        <w:rPr>
          <w:rFonts w:ascii="Times New Roman" w:eastAsia="Times New Roman" w:hAnsi="Times New Roman" w:cs="Times New Roman"/>
          <w:b/>
          <w:bCs/>
          <w:sz w:val="36"/>
          <w:szCs w:val="36"/>
        </w:rPr>
      </w:pPr>
      <w:r w:rsidRPr="006C5176">
        <w:rPr>
          <w:rFonts w:ascii="Times New Roman" w:eastAsia="Times New Roman" w:hAnsi="Times New Roman" w:cs="Times New Roman"/>
          <w:b/>
          <w:bCs/>
          <w:sz w:val="36"/>
          <w:szCs w:val="36"/>
        </w:rPr>
        <w:t>Summary and conclusions</w:t>
      </w:r>
    </w:p>
    <w:p w:rsidR="006C5176" w:rsidRPr="006C5176" w:rsidRDefault="006C5176" w:rsidP="006C5176">
      <w:pPr>
        <w:spacing w:before="100" w:beforeAutospacing="1" w:after="100" w:afterAutospacing="1" w:line="240" w:lineRule="auto"/>
        <w:rPr>
          <w:rFonts w:ascii="Times New Roman" w:eastAsia="Times New Roman" w:hAnsi="Times New Roman" w:cs="Times New Roman"/>
          <w:sz w:val="24"/>
          <w:szCs w:val="24"/>
        </w:rPr>
      </w:pPr>
      <w:r w:rsidRPr="006C5176">
        <w:rPr>
          <w:rFonts w:ascii="Times New Roman" w:eastAsia="Times New Roman" w:hAnsi="Times New Roman" w:cs="Times New Roman"/>
          <w:sz w:val="24"/>
          <w:szCs w:val="24"/>
        </w:rPr>
        <w:t>Our measurements of the time response of the polarization force lead to several conclusions regarding the growth and the structure of water films and the density, the mobility, and the hydration of surface ions. The local contact potential of calcite begins negative and increases in the positive direction as RH and thus surface hydration increase, up to 55% RH. This observation indicates preferential release and hydration of cations with increasing water coverage. The water film is</w:t>
      </w:r>
    </w:p>
    <w:p w:rsidR="006C5176" w:rsidRPr="006C5176" w:rsidRDefault="006C5176" w:rsidP="006C5176">
      <w:pPr>
        <w:spacing w:before="100" w:beforeAutospacing="1" w:after="100" w:afterAutospacing="1" w:line="240" w:lineRule="auto"/>
        <w:outlineLvl w:val="1"/>
        <w:rPr>
          <w:rFonts w:ascii="Times New Roman" w:eastAsia="Times New Roman" w:hAnsi="Times New Roman" w:cs="Times New Roman"/>
          <w:b/>
          <w:bCs/>
          <w:sz w:val="36"/>
          <w:szCs w:val="36"/>
        </w:rPr>
      </w:pPr>
      <w:r w:rsidRPr="006C5176">
        <w:rPr>
          <w:rFonts w:ascii="Times New Roman" w:eastAsia="Times New Roman" w:hAnsi="Times New Roman" w:cs="Times New Roman"/>
          <w:b/>
          <w:bCs/>
          <w:sz w:val="36"/>
          <w:szCs w:val="36"/>
        </w:rPr>
        <w:t>Acknowledgments</w:t>
      </w:r>
    </w:p>
    <w:p w:rsidR="006C5176" w:rsidRPr="006C5176" w:rsidRDefault="006C5176" w:rsidP="006C5176">
      <w:pPr>
        <w:spacing w:before="100" w:beforeAutospacing="1" w:after="100" w:afterAutospacing="1" w:line="240" w:lineRule="auto"/>
        <w:rPr>
          <w:rFonts w:ascii="Times New Roman" w:eastAsia="Times New Roman" w:hAnsi="Times New Roman" w:cs="Times New Roman"/>
          <w:sz w:val="24"/>
          <w:szCs w:val="24"/>
        </w:rPr>
      </w:pPr>
      <w:r w:rsidRPr="006C5176">
        <w:rPr>
          <w:rFonts w:ascii="Times New Roman" w:eastAsia="Times New Roman" w:hAnsi="Times New Roman" w:cs="Times New Roman"/>
          <w:sz w:val="24"/>
          <w:szCs w:val="24"/>
        </w:rPr>
        <w:t xml:space="preserve">We are grateful for support received from the New York Community Trust Merck Fund, the Petroleum Research Fund, and the Chemical Sciences, Geosciences, and Biosciences Division of the Office of Basic Energy Sciences in the U.S. Department of Energy. We acknowledge the assistance and useful discussion provided by M. Salmeron, F. Ogletree, A. </w:t>
      </w:r>
      <w:proofErr w:type="spellStart"/>
      <w:r w:rsidRPr="006C5176">
        <w:rPr>
          <w:rFonts w:ascii="Times New Roman" w:eastAsia="Times New Roman" w:hAnsi="Times New Roman" w:cs="Times New Roman"/>
          <w:sz w:val="24"/>
          <w:szCs w:val="24"/>
        </w:rPr>
        <w:t>Verdaguer</w:t>
      </w:r>
      <w:proofErr w:type="spellEnd"/>
      <w:r w:rsidRPr="006C5176">
        <w:rPr>
          <w:rFonts w:ascii="Times New Roman" w:eastAsia="Times New Roman" w:hAnsi="Times New Roman" w:cs="Times New Roman"/>
          <w:sz w:val="24"/>
          <w:szCs w:val="24"/>
        </w:rPr>
        <w:t xml:space="preserve">, F. </w:t>
      </w:r>
      <w:proofErr w:type="spellStart"/>
      <w:r w:rsidRPr="006C5176">
        <w:rPr>
          <w:rFonts w:ascii="Times New Roman" w:eastAsia="Times New Roman" w:hAnsi="Times New Roman" w:cs="Times New Roman"/>
          <w:sz w:val="24"/>
          <w:szCs w:val="24"/>
        </w:rPr>
        <w:t>Barberis</w:t>
      </w:r>
      <w:proofErr w:type="spellEnd"/>
      <w:r w:rsidRPr="006C5176">
        <w:rPr>
          <w:rFonts w:ascii="Times New Roman" w:eastAsia="Times New Roman" w:hAnsi="Times New Roman" w:cs="Times New Roman"/>
          <w:sz w:val="24"/>
          <w:szCs w:val="24"/>
        </w:rPr>
        <w:t>, and M. Luna. Additional support and discussion were provided by D. Ham and J. MacArthur (Harvard, DEAS). Mineral samples were</w:t>
      </w:r>
    </w:p>
    <w:p w:rsidR="00F60E38" w:rsidRDefault="00F60E38"/>
    <w:sectPr w:rsidR="00F60E38">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5176"/>
    <w:rsid w:val="006C5176"/>
    <w:rsid w:val="00F60E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E83924"/>
  <w15:chartTrackingRefBased/>
  <w15:docId w15:val="{664F09FC-73B1-4E22-BB1C-0E313F7DA0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49608683">
      <w:bodyDiv w:val="1"/>
      <w:marLeft w:val="0"/>
      <w:marRight w:val="0"/>
      <w:marTop w:val="0"/>
      <w:marBottom w:val="0"/>
      <w:divBdr>
        <w:top w:val="none" w:sz="0" w:space="0" w:color="auto"/>
        <w:left w:val="none" w:sz="0" w:space="0" w:color="auto"/>
        <w:bottom w:val="none" w:sz="0" w:space="0" w:color="auto"/>
        <w:right w:val="none" w:sz="0" w:space="0" w:color="auto"/>
      </w:divBdr>
      <w:divsChild>
        <w:div w:id="1497528045">
          <w:marLeft w:val="0"/>
          <w:marRight w:val="0"/>
          <w:marTop w:val="0"/>
          <w:marBottom w:val="0"/>
          <w:divBdr>
            <w:top w:val="none" w:sz="0" w:space="0" w:color="auto"/>
            <w:left w:val="none" w:sz="0" w:space="0" w:color="auto"/>
            <w:bottom w:val="none" w:sz="0" w:space="0" w:color="auto"/>
            <w:right w:val="none" w:sz="0" w:space="0" w:color="auto"/>
          </w:divBdr>
          <w:divsChild>
            <w:div w:id="37051234">
              <w:marLeft w:val="0"/>
              <w:marRight w:val="0"/>
              <w:marTop w:val="0"/>
              <w:marBottom w:val="0"/>
              <w:divBdr>
                <w:top w:val="none" w:sz="0" w:space="0" w:color="auto"/>
                <w:left w:val="none" w:sz="0" w:space="0" w:color="auto"/>
                <w:bottom w:val="none" w:sz="0" w:space="0" w:color="auto"/>
                <w:right w:val="none" w:sz="0" w:space="0" w:color="auto"/>
              </w:divBdr>
              <w:divsChild>
                <w:div w:id="1441030621">
                  <w:marLeft w:val="0"/>
                  <w:marRight w:val="0"/>
                  <w:marTop w:val="0"/>
                  <w:marBottom w:val="0"/>
                  <w:divBdr>
                    <w:top w:val="none" w:sz="0" w:space="0" w:color="auto"/>
                    <w:left w:val="none" w:sz="0" w:space="0" w:color="auto"/>
                    <w:bottom w:val="none" w:sz="0" w:space="0" w:color="auto"/>
                    <w:right w:val="none" w:sz="0" w:space="0" w:color="auto"/>
                  </w:divBdr>
                  <w:divsChild>
                    <w:div w:id="573004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575240">
          <w:marLeft w:val="0"/>
          <w:marRight w:val="0"/>
          <w:marTop w:val="0"/>
          <w:marBottom w:val="0"/>
          <w:divBdr>
            <w:top w:val="none" w:sz="0" w:space="0" w:color="auto"/>
            <w:left w:val="none" w:sz="0" w:space="0" w:color="auto"/>
            <w:bottom w:val="none" w:sz="0" w:space="0" w:color="auto"/>
            <w:right w:val="none" w:sz="0" w:space="0" w:color="auto"/>
          </w:divBdr>
          <w:divsChild>
            <w:div w:id="1444228999">
              <w:marLeft w:val="0"/>
              <w:marRight w:val="0"/>
              <w:marTop w:val="0"/>
              <w:marBottom w:val="0"/>
              <w:divBdr>
                <w:top w:val="none" w:sz="0" w:space="0" w:color="auto"/>
                <w:left w:val="none" w:sz="0" w:space="0" w:color="auto"/>
                <w:bottom w:val="none" w:sz="0" w:space="0" w:color="auto"/>
                <w:right w:val="none" w:sz="0" w:space="0" w:color="auto"/>
              </w:divBdr>
              <w:divsChild>
                <w:div w:id="1041712749">
                  <w:marLeft w:val="0"/>
                  <w:marRight w:val="0"/>
                  <w:marTop w:val="0"/>
                  <w:marBottom w:val="0"/>
                  <w:divBdr>
                    <w:top w:val="none" w:sz="0" w:space="0" w:color="auto"/>
                    <w:left w:val="none" w:sz="0" w:space="0" w:color="auto"/>
                    <w:bottom w:val="none" w:sz="0" w:space="0" w:color="auto"/>
                    <w:right w:val="none" w:sz="0" w:space="0" w:color="auto"/>
                  </w:divBdr>
                  <w:divsChild>
                    <w:div w:id="488323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840401">
          <w:marLeft w:val="0"/>
          <w:marRight w:val="0"/>
          <w:marTop w:val="0"/>
          <w:marBottom w:val="0"/>
          <w:divBdr>
            <w:top w:val="none" w:sz="0" w:space="0" w:color="auto"/>
            <w:left w:val="none" w:sz="0" w:space="0" w:color="auto"/>
            <w:bottom w:val="none" w:sz="0" w:space="0" w:color="auto"/>
            <w:right w:val="none" w:sz="0" w:space="0" w:color="auto"/>
          </w:divBdr>
          <w:divsChild>
            <w:div w:id="694117705">
              <w:marLeft w:val="0"/>
              <w:marRight w:val="0"/>
              <w:marTop w:val="0"/>
              <w:marBottom w:val="0"/>
              <w:divBdr>
                <w:top w:val="none" w:sz="0" w:space="0" w:color="auto"/>
                <w:left w:val="none" w:sz="0" w:space="0" w:color="auto"/>
                <w:bottom w:val="none" w:sz="0" w:space="0" w:color="auto"/>
                <w:right w:val="none" w:sz="0" w:space="0" w:color="auto"/>
              </w:divBdr>
            </w:div>
          </w:divsChild>
        </w:div>
        <w:div w:id="1368943504">
          <w:marLeft w:val="0"/>
          <w:marRight w:val="0"/>
          <w:marTop w:val="0"/>
          <w:marBottom w:val="0"/>
          <w:divBdr>
            <w:top w:val="none" w:sz="0" w:space="0" w:color="auto"/>
            <w:left w:val="none" w:sz="0" w:space="0" w:color="auto"/>
            <w:bottom w:val="none" w:sz="0" w:space="0" w:color="auto"/>
            <w:right w:val="none" w:sz="0" w:space="0" w:color="auto"/>
          </w:divBdr>
          <w:divsChild>
            <w:div w:id="624654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i.org/10.1016/j.gca.2005.02.0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947</Words>
  <Characters>5404</Characters>
  <Application>Microsoft Office Word</Application>
  <DocSecurity>0</DocSecurity>
  <Lines>45</Lines>
  <Paragraphs>12</Paragraphs>
  <ScaleCrop>false</ScaleCrop>
  <Company/>
  <LinksUpToDate>false</LinksUpToDate>
  <CharactersWithSpaces>6339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2023-11-18T07:50:00Z</dcterms:created>
  <dcterms:modified xsi:type="dcterms:W3CDTF">2023-11-18T07:51:00Z</dcterms:modified>
</cp:coreProperties>
</file>