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507520" w:rsidRPr="00507520" w:rsidRDefault="00507520" w:rsidP="00507520">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507520">
        <w:rPr>
          <w:rFonts w:ascii="Times New Roman" w:eastAsia="Times New Roman" w:hAnsi="Times New Roman" w:cs="Times New Roman"/>
          <w:b/>
          <w:bCs/>
          <w:kern w:val="36"/>
          <w:sz w:val="48"/>
          <w:szCs w:val="48"/>
        </w:rPr>
        <w:t xml:space="preserve">A kinetic model for thermally induced hydrogen and carbon isotope fractionation of individual </w:t>
      </w:r>
      <w:r w:rsidRPr="00507520">
        <w:rPr>
          <w:rFonts w:ascii="Times New Roman" w:eastAsia="Times New Roman" w:hAnsi="Times New Roman" w:cs="Times New Roman"/>
          <w:b/>
          <w:bCs/>
          <w:i/>
          <w:iCs/>
          <w:kern w:val="36"/>
          <w:sz w:val="48"/>
          <w:szCs w:val="48"/>
        </w:rPr>
        <w:t>n</w:t>
      </w:r>
      <w:r w:rsidRPr="00507520">
        <w:rPr>
          <w:rFonts w:ascii="Times New Roman" w:eastAsia="Times New Roman" w:hAnsi="Times New Roman" w:cs="Times New Roman"/>
          <w:b/>
          <w:bCs/>
          <w:kern w:val="36"/>
          <w:sz w:val="48"/>
          <w:szCs w:val="48"/>
        </w:rPr>
        <w:t>-alkanes in crude oil</w:t>
      </w:r>
    </w:p>
    <w:p w:rsidR="00507520" w:rsidRPr="00507520" w:rsidRDefault="00507520" w:rsidP="00507520">
      <w:pPr>
        <w:spacing w:after="0" w:line="240" w:lineRule="auto"/>
        <w:rPr>
          <w:rFonts w:ascii="Times New Roman" w:eastAsia="Times New Roman" w:hAnsi="Times New Roman" w:cs="Times New Roman"/>
          <w:sz w:val="24"/>
          <w:szCs w:val="24"/>
        </w:rPr>
      </w:pPr>
      <w:r w:rsidRPr="00507520">
        <w:rPr>
          <w:rFonts w:ascii="Times New Roman" w:eastAsia="Times New Roman" w:hAnsi="Times New Roman" w:cs="Times New Roman"/>
          <w:sz w:val="24"/>
          <w:szCs w:val="24"/>
        </w:rPr>
        <w:t>Author links open overlay panel</w:t>
      </w:r>
    </w:p>
    <w:p w:rsidR="00507520" w:rsidRPr="00507520" w:rsidRDefault="00507520" w:rsidP="00507520">
      <w:pPr>
        <w:spacing w:after="0" w:line="240" w:lineRule="auto"/>
        <w:rPr>
          <w:rFonts w:ascii="Times New Roman" w:eastAsia="Times New Roman" w:hAnsi="Times New Roman" w:cs="Times New Roman"/>
          <w:sz w:val="24"/>
          <w:szCs w:val="24"/>
        </w:rPr>
      </w:pPr>
      <w:r w:rsidRPr="00507520">
        <w:rPr>
          <w:rFonts w:ascii="Times New Roman" w:eastAsia="Times New Roman" w:hAnsi="Times New Roman" w:cs="Times New Roman"/>
          <w:sz w:val="24"/>
          <w:szCs w:val="24"/>
        </w:rPr>
        <w:t xml:space="preserve">, </w:t>
      </w:r>
      <w:bookmarkStart w:id="0" w:name="baep-author-id14-profile"/>
      <w:r w:rsidRPr="00507520">
        <w:rPr>
          <w:rFonts w:ascii="Times New Roman" w:eastAsia="Times New Roman" w:hAnsi="Times New Roman" w:cs="Times New Roman"/>
          <w:sz w:val="24"/>
          <w:szCs w:val="24"/>
        </w:rPr>
        <w:fldChar w:fldCharType="begin"/>
      </w:r>
      <w:r w:rsidRPr="00507520">
        <w:rPr>
          <w:rFonts w:ascii="Times New Roman" w:eastAsia="Times New Roman" w:hAnsi="Times New Roman" w:cs="Times New Roman"/>
          <w:sz w:val="24"/>
          <w:szCs w:val="24"/>
        </w:rPr>
        <w:instrText xml:space="preserve"> HYPERLINK "https://www.sciencedirect.com/author/57201890438/yongsong-huang" </w:instrText>
      </w:r>
      <w:r w:rsidRPr="00507520">
        <w:rPr>
          <w:rFonts w:ascii="Times New Roman" w:eastAsia="Times New Roman" w:hAnsi="Times New Roman" w:cs="Times New Roman"/>
          <w:sz w:val="24"/>
          <w:szCs w:val="24"/>
        </w:rPr>
        <w:fldChar w:fldCharType="separate"/>
      </w:r>
      <w:proofErr w:type="spellStart"/>
      <w:r w:rsidRPr="00507520">
        <w:rPr>
          <w:rFonts w:ascii="Times New Roman" w:eastAsia="Times New Roman" w:hAnsi="Times New Roman" w:cs="Times New Roman"/>
          <w:color w:val="0000FF"/>
          <w:sz w:val="24"/>
          <w:szCs w:val="24"/>
          <w:u w:val="single"/>
        </w:rPr>
        <w:t>Yongsong</w:t>
      </w:r>
      <w:proofErr w:type="spellEnd"/>
      <w:r w:rsidRPr="00507520">
        <w:rPr>
          <w:rFonts w:ascii="Times New Roman" w:eastAsia="Times New Roman" w:hAnsi="Times New Roman" w:cs="Times New Roman"/>
          <w:color w:val="0000FF"/>
          <w:sz w:val="24"/>
          <w:szCs w:val="24"/>
          <w:u w:val="single"/>
        </w:rPr>
        <w:t xml:space="preserve"> Huang </w:t>
      </w:r>
      <w:r w:rsidRPr="00507520">
        <w:rPr>
          <w:rFonts w:ascii="Times New Roman" w:eastAsia="Times New Roman" w:hAnsi="Times New Roman" w:cs="Times New Roman"/>
          <w:color w:val="0000FF"/>
          <w:sz w:val="24"/>
          <w:szCs w:val="24"/>
          <w:u w:val="single"/>
          <w:vertAlign w:val="superscript"/>
        </w:rPr>
        <w:t>2</w:t>
      </w:r>
      <w:r w:rsidRPr="00507520">
        <w:rPr>
          <w:rFonts w:ascii="Times New Roman" w:eastAsia="Times New Roman" w:hAnsi="Times New Roman" w:cs="Times New Roman"/>
          <w:sz w:val="24"/>
          <w:szCs w:val="24"/>
        </w:rPr>
        <w:fldChar w:fldCharType="end"/>
      </w:r>
      <w:bookmarkEnd w:id="0"/>
      <w:r w:rsidRPr="00507520">
        <w:rPr>
          <w:rFonts w:ascii="Times New Roman" w:eastAsia="Times New Roman" w:hAnsi="Times New Roman" w:cs="Times New Roman"/>
          <w:sz w:val="24"/>
          <w:szCs w:val="24"/>
        </w:rPr>
        <w:t xml:space="preserve">, , , , , , </w:t>
      </w:r>
    </w:p>
    <w:p w:rsidR="00507520" w:rsidRPr="00507520" w:rsidRDefault="00507520" w:rsidP="00507520">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507520">
          <w:rPr>
            <w:rFonts w:ascii="Times New Roman" w:eastAsia="Times New Roman" w:hAnsi="Times New Roman" w:cs="Times New Roman"/>
            <w:color w:val="0000FF"/>
            <w:sz w:val="24"/>
            <w:szCs w:val="24"/>
            <w:u w:val="single"/>
          </w:rPr>
          <w:t>https://doi.org/10.1016/j.gca.2004.12.026</w:t>
        </w:r>
      </w:hyperlink>
      <w:bookmarkStart w:id="1" w:name="_GoBack"/>
      <w:bookmarkEnd w:id="1"/>
      <w:r w:rsidRPr="00507520">
        <w:rPr>
          <w:rFonts w:ascii="Times New Roman" w:eastAsia="Times New Roman" w:hAnsi="Times New Roman" w:cs="Times New Roman"/>
          <w:sz w:val="24"/>
          <w:szCs w:val="24"/>
        </w:rPr>
        <w:t xml:space="preserve"> </w:t>
      </w:r>
    </w:p>
    <w:p w:rsidR="00507520" w:rsidRPr="00507520" w:rsidRDefault="00507520" w:rsidP="00507520">
      <w:pPr>
        <w:spacing w:before="100" w:beforeAutospacing="1" w:after="100" w:afterAutospacing="1" w:line="240" w:lineRule="auto"/>
        <w:outlineLvl w:val="1"/>
        <w:rPr>
          <w:rFonts w:ascii="Times New Roman" w:eastAsia="Times New Roman" w:hAnsi="Times New Roman" w:cs="Times New Roman"/>
          <w:b/>
          <w:bCs/>
          <w:sz w:val="36"/>
          <w:szCs w:val="36"/>
        </w:rPr>
      </w:pPr>
      <w:r w:rsidRPr="00507520">
        <w:rPr>
          <w:rFonts w:ascii="Times New Roman" w:eastAsia="Times New Roman" w:hAnsi="Times New Roman" w:cs="Times New Roman"/>
          <w:b/>
          <w:bCs/>
          <w:sz w:val="36"/>
          <w:szCs w:val="36"/>
        </w:rPr>
        <w:t>Abstract</w:t>
      </w:r>
    </w:p>
    <w:p w:rsidR="00507520" w:rsidRPr="00507520" w:rsidRDefault="00507520" w:rsidP="00507520">
      <w:pPr>
        <w:spacing w:before="100" w:beforeAutospacing="1" w:after="100" w:afterAutospacing="1" w:line="240" w:lineRule="auto"/>
        <w:rPr>
          <w:rFonts w:ascii="Times New Roman" w:eastAsia="Times New Roman" w:hAnsi="Times New Roman" w:cs="Times New Roman"/>
          <w:sz w:val="24"/>
          <w:szCs w:val="24"/>
        </w:rPr>
      </w:pPr>
      <w:r w:rsidRPr="00507520">
        <w:rPr>
          <w:rFonts w:ascii="Times New Roman" w:eastAsia="Times New Roman" w:hAnsi="Times New Roman" w:cs="Times New Roman"/>
          <w:sz w:val="24"/>
          <w:szCs w:val="24"/>
        </w:rPr>
        <w:t xml:space="preserve">A quantitative kinetic model has been proposed to simulate the large D and </w:t>
      </w:r>
      <w:r w:rsidRPr="00507520">
        <w:rPr>
          <w:rFonts w:ascii="Times New Roman" w:eastAsia="Times New Roman" w:hAnsi="Times New Roman" w:cs="Times New Roman"/>
          <w:sz w:val="24"/>
          <w:szCs w:val="24"/>
          <w:vertAlign w:val="superscript"/>
        </w:rPr>
        <w:t>13</w:t>
      </w:r>
      <w:r w:rsidRPr="00507520">
        <w:rPr>
          <w:rFonts w:ascii="Times New Roman" w:eastAsia="Times New Roman" w:hAnsi="Times New Roman" w:cs="Times New Roman"/>
          <w:sz w:val="24"/>
          <w:szCs w:val="24"/>
        </w:rPr>
        <w:t xml:space="preserve">C isotope enrichments observed in individual </w:t>
      </w:r>
      <w:r w:rsidRPr="00507520">
        <w:rPr>
          <w:rFonts w:ascii="Times New Roman" w:eastAsia="Times New Roman" w:hAnsi="Times New Roman" w:cs="Times New Roman"/>
          <w:i/>
          <w:iCs/>
          <w:sz w:val="24"/>
          <w:szCs w:val="24"/>
        </w:rPr>
        <w:t>n</w:t>
      </w:r>
      <w:r w:rsidRPr="00507520">
        <w:rPr>
          <w:rFonts w:ascii="Times New Roman" w:eastAsia="Times New Roman" w:hAnsi="Times New Roman" w:cs="Times New Roman"/>
          <w:sz w:val="24"/>
          <w:szCs w:val="24"/>
        </w:rPr>
        <w:t>-alkanes (C</w:t>
      </w:r>
      <w:r w:rsidRPr="00507520">
        <w:rPr>
          <w:rFonts w:ascii="Times New Roman" w:eastAsia="Times New Roman" w:hAnsi="Times New Roman" w:cs="Times New Roman"/>
          <w:sz w:val="24"/>
          <w:szCs w:val="24"/>
          <w:vertAlign w:val="subscript"/>
        </w:rPr>
        <w:t>13</w:t>
      </w:r>
      <w:r w:rsidRPr="00507520">
        <w:rPr>
          <w:rFonts w:ascii="Times New Roman" w:eastAsia="Times New Roman" w:hAnsi="Times New Roman" w:cs="Times New Roman"/>
          <w:sz w:val="24"/>
          <w:szCs w:val="24"/>
        </w:rPr>
        <w:t>–C</w:t>
      </w:r>
      <w:r w:rsidRPr="00507520">
        <w:rPr>
          <w:rFonts w:ascii="Times New Roman" w:eastAsia="Times New Roman" w:hAnsi="Times New Roman" w:cs="Times New Roman"/>
          <w:sz w:val="24"/>
          <w:szCs w:val="24"/>
          <w:vertAlign w:val="subscript"/>
        </w:rPr>
        <w:t>21</w:t>
      </w:r>
      <w:r w:rsidRPr="00507520">
        <w:rPr>
          <w:rFonts w:ascii="Times New Roman" w:eastAsia="Times New Roman" w:hAnsi="Times New Roman" w:cs="Times New Roman"/>
          <w:sz w:val="24"/>
          <w:szCs w:val="24"/>
        </w:rPr>
        <w:t xml:space="preserve">) during artificial thermal maturation of a North Sea crude oil under anhydrous, closed-system conditions. Under our experimental conditions, average </w:t>
      </w:r>
      <w:r w:rsidRPr="00507520">
        <w:rPr>
          <w:rFonts w:ascii="Times New Roman" w:eastAsia="Times New Roman" w:hAnsi="Times New Roman" w:cs="Times New Roman"/>
          <w:i/>
          <w:iCs/>
          <w:sz w:val="24"/>
          <w:szCs w:val="24"/>
        </w:rPr>
        <w:t>n</w:t>
      </w:r>
      <w:r w:rsidRPr="00507520">
        <w:rPr>
          <w:rFonts w:ascii="Times New Roman" w:eastAsia="Times New Roman" w:hAnsi="Times New Roman" w:cs="Times New Roman"/>
          <w:sz w:val="24"/>
          <w:szCs w:val="24"/>
        </w:rPr>
        <w:t>-alkane δ</w:t>
      </w:r>
      <w:r w:rsidRPr="00507520">
        <w:rPr>
          <w:rFonts w:ascii="Times New Roman" w:eastAsia="Times New Roman" w:hAnsi="Times New Roman" w:cs="Times New Roman"/>
          <w:sz w:val="24"/>
          <w:szCs w:val="24"/>
          <w:vertAlign w:val="superscript"/>
        </w:rPr>
        <w:t>13</w:t>
      </w:r>
      <w:r w:rsidRPr="00507520">
        <w:rPr>
          <w:rFonts w:ascii="Times New Roman" w:eastAsia="Times New Roman" w:hAnsi="Times New Roman" w:cs="Times New Roman"/>
          <w:sz w:val="24"/>
          <w:szCs w:val="24"/>
        </w:rPr>
        <w:t xml:space="preserve">C values increase by </w:t>
      </w:r>
      <w:r w:rsidRPr="00507520">
        <w:rPr>
          <w:rFonts w:ascii="Cambria Math" w:eastAsia="Times New Roman" w:hAnsi="Cambria Math" w:cs="Cambria Math"/>
          <w:sz w:val="24"/>
          <w:szCs w:val="24"/>
        </w:rPr>
        <w:t>∼</w:t>
      </w:r>
      <w:r w:rsidRPr="00507520">
        <w:rPr>
          <w:rFonts w:ascii="Times New Roman" w:eastAsia="Times New Roman" w:hAnsi="Times New Roman" w:cs="Times New Roman"/>
          <w:sz w:val="24"/>
          <w:szCs w:val="24"/>
        </w:rPr>
        <w:t xml:space="preserve">4‰ and </w:t>
      </w:r>
      <w:proofErr w:type="spellStart"/>
      <w:r w:rsidRPr="00507520">
        <w:rPr>
          <w:rFonts w:ascii="Times New Roman" w:eastAsia="Times New Roman" w:hAnsi="Times New Roman" w:cs="Times New Roman"/>
          <w:sz w:val="24"/>
          <w:szCs w:val="24"/>
        </w:rPr>
        <w:t>δD</w:t>
      </w:r>
      <w:proofErr w:type="spellEnd"/>
      <w:r w:rsidRPr="00507520">
        <w:rPr>
          <w:rFonts w:ascii="Times New Roman" w:eastAsia="Times New Roman" w:hAnsi="Times New Roman" w:cs="Times New Roman"/>
          <w:sz w:val="24"/>
          <w:szCs w:val="24"/>
        </w:rPr>
        <w:t xml:space="preserve"> values increase by </w:t>
      </w:r>
      <w:r w:rsidRPr="00507520">
        <w:rPr>
          <w:rFonts w:ascii="Cambria Math" w:eastAsia="Times New Roman" w:hAnsi="Cambria Math" w:cs="Cambria Math"/>
          <w:sz w:val="24"/>
          <w:szCs w:val="24"/>
        </w:rPr>
        <w:t>∼</w:t>
      </w:r>
      <w:r w:rsidRPr="00507520">
        <w:rPr>
          <w:rFonts w:ascii="Times New Roman" w:eastAsia="Times New Roman" w:hAnsi="Times New Roman" w:cs="Times New Roman"/>
          <w:sz w:val="24"/>
          <w:szCs w:val="24"/>
        </w:rPr>
        <w:t xml:space="preserve">50‰ at an equivalent </w:t>
      </w:r>
      <w:hyperlink r:id="rId5" w:tooltip="Learn more about vitrinite reflectance from ScienceDirect's AI-generated Topic Pages" w:history="1">
        <w:r w:rsidRPr="00507520">
          <w:rPr>
            <w:rFonts w:ascii="Times New Roman" w:eastAsia="Times New Roman" w:hAnsi="Times New Roman" w:cs="Times New Roman"/>
            <w:color w:val="0000FF"/>
            <w:sz w:val="24"/>
            <w:szCs w:val="24"/>
            <w:u w:val="single"/>
          </w:rPr>
          <w:t>vitrinite reflectance</w:t>
        </w:r>
      </w:hyperlink>
      <w:r w:rsidRPr="00507520">
        <w:rPr>
          <w:rFonts w:ascii="Times New Roman" w:eastAsia="Times New Roman" w:hAnsi="Times New Roman" w:cs="Times New Roman"/>
          <w:sz w:val="24"/>
          <w:szCs w:val="24"/>
        </w:rPr>
        <w:t xml:space="preserve"> value of 1.5%. While the observed </w:t>
      </w:r>
      <w:r w:rsidRPr="00507520">
        <w:rPr>
          <w:rFonts w:ascii="Times New Roman" w:eastAsia="Times New Roman" w:hAnsi="Times New Roman" w:cs="Times New Roman"/>
          <w:sz w:val="24"/>
          <w:szCs w:val="24"/>
          <w:vertAlign w:val="superscript"/>
        </w:rPr>
        <w:t>13</w:t>
      </w:r>
      <w:r w:rsidRPr="00507520">
        <w:rPr>
          <w:rFonts w:ascii="Times New Roman" w:eastAsia="Times New Roman" w:hAnsi="Times New Roman" w:cs="Times New Roman"/>
          <w:sz w:val="24"/>
          <w:szCs w:val="24"/>
        </w:rPr>
        <w:t xml:space="preserve">C-enrichment shows no significant dependence on hydrocarbon chain length, thermally induced D-enrichment increases with increasing </w:t>
      </w:r>
      <w:r w:rsidRPr="00507520">
        <w:rPr>
          <w:rFonts w:ascii="Times New Roman" w:eastAsia="Times New Roman" w:hAnsi="Times New Roman" w:cs="Times New Roman"/>
          <w:i/>
          <w:iCs/>
          <w:sz w:val="24"/>
          <w:szCs w:val="24"/>
        </w:rPr>
        <w:t>n</w:t>
      </w:r>
      <w:r w:rsidRPr="00507520">
        <w:rPr>
          <w:rFonts w:ascii="Times New Roman" w:eastAsia="Times New Roman" w:hAnsi="Times New Roman" w:cs="Times New Roman"/>
          <w:sz w:val="24"/>
          <w:szCs w:val="24"/>
        </w:rPr>
        <w:t xml:space="preserve">-alkane carbon number. This differential fractionation effect is speculated to be due to the combined effect of the greater extent of thermal cracking of higher molecular weight, </w:t>
      </w:r>
      <w:r w:rsidRPr="00507520">
        <w:rPr>
          <w:rFonts w:ascii="Times New Roman" w:eastAsia="Times New Roman" w:hAnsi="Times New Roman" w:cs="Times New Roman"/>
          <w:i/>
          <w:iCs/>
          <w:sz w:val="24"/>
          <w:szCs w:val="24"/>
        </w:rPr>
        <w:t>n</w:t>
      </w:r>
      <w:r w:rsidRPr="00507520">
        <w:rPr>
          <w:rFonts w:ascii="Times New Roman" w:eastAsia="Times New Roman" w:hAnsi="Times New Roman" w:cs="Times New Roman"/>
          <w:sz w:val="24"/>
          <w:szCs w:val="24"/>
        </w:rPr>
        <w:t xml:space="preserve">-alkanes compared to </w:t>
      </w:r>
      <w:hyperlink r:id="rId6" w:tooltip="Learn more about lower molecular weight from ScienceDirect's AI-generated Topic Pages" w:history="1">
        <w:r w:rsidRPr="00507520">
          <w:rPr>
            <w:rFonts w:ascii="Times New Roman" w:eastAsia="Times New Roman" w:hAnsi="Times New Roman" w:cs="Times New Roman"/>
            <w:color w:val="0000FF"/>
            <w:sz w:val="24"/>
            <w:szCs w:val="24"/>
            <w:u w:val="single"/>
          </w:rPr>
          <w:t>lower molecular weight</w:t>
        </w:r>
      </w:hyperlink>
      <w:r w:rsidRPr="00507520">
        <w:rPr>
          <w:rFonts w:ascii="Times New Roman" w:eastAsia="Times New Roman" w:hAnsi="Times New Roman" w:cs="Times New Roman"/>
          <w:sz w:val="24"/>
          <w:szCs w:val="24"/>
        </w:rPr>
        <w:t xml:space="preserve"> homologues, and the generation of isotopically lighter, lower molecular weight compounds. This carbon-number-linked hydrogen </w:t>
      </w:r>
      <w:hyperlink r:id="rId7" w:tooltip="Learn more about isotopic fractionation from ScienceDirect's AI-generated Topic Pages" w:history="1">
        <w:r w:rsidRPr="00507520">
          <w:rPr>
            <w:rFonts w:ascii="Times New Roman" w:eastAsia="Times New Roman" w:hAnsi="Times New Roman" w:cs="Times New Roman"/>
            <w:color w:val="0000FF"/>
            <w:sz w:val="24"/>
            <w:szCs w:val="24"/>
            <w:u w:val="single"/>
          </w:rPr>
          <w:t>isotopic fractionation</w:t>
        </w:r>
      </w:hyperlink>
      <w:r w:rsidRPr="00507520">
        <w:rPr>
          <w:rFonts w:ascii="Times New Roman" w:eastAsia="Times New Roman" w:hAnsi="Times New Roman" w:cs="Times New Roman"/>
          <w:sz w:val="24"/>
          <w:szCs w:val="24"/>
        </w:rPr>
        <w:t xml:space="preserve"> behavior could form the basis of a new maturity indicator to quantitatively assess the extent of oil cracking in petroleum reservoirs. Quantum mechanical calculations of the average change in enthalpy (ΔΔH</w:t>
      </w:r>
      <w:r w:rsidRPr="00507520">
        <w:rPr>
          <w:rFonts w:ascii="Times New Roman" w:eastAsia="Times New Roman" w:hAnsi="Times New Roman" w:cs="Times New Roman"/>
          <w:sz w:val="24"/>
          <w:szCs w:val="24"/>
          <w:vertAlign w:val="superscript"/>
        </w:rPr>
        <w:t>‡</w:t>
      </w:r>
      <w:r w:rsidRPr="00507520">
        <w:rPr>
          <w:rFonts w:ascii="Times New Roman" w:eastAsia="Times New Roman" w:hAnsi="Times New Roman" w:cs="Times New Roman"/>
          <w:sz w:val="24"/>
          <w:szCs w:val="24"/>
        </w:rPr>
        <w:t>) and entropy (ΔΔS</w:t>
      </w:r>
      <w:r w:rsidRPr="00507520">
        <w:rPr>
          <w:rFonts w:ascii="Times New Roman" w:eastAsia="Times New Roman" w:hAnsi="Times New Roman" w:cs="Times New Roman"/>
          <w:sz w:val="24"/>
          <w:szCs w:val="24"/>
          <w:vertAlign w:val="superscript"/>
        </w:rPr>
        <w:t>‡</w:t>
      </w:r>
      <w:r w:rsidRPr="00507520">
        <w:rPr>
          <w:rFonts w:ascii="Times New Roman" w:eastAsia="Times New Roman" w:hAnsi="Times New Roman" w:cs="Times New Roman"/>
          <w:sz w:val="24"/>
          <w:szCs w:val="24"/>
        </w:rPr>
        <w:t xml:space="preserve">) as a result of isotopic substitution in </w:t>
      </w:r>
      <w:r w:rsidRPr="00507520">
        <w:rPr>
          <w:rFonts w:ascii="Times New Roman" w:eastAsia="Times New Roman" w:hAnsi="Times New Roman" w:cs="Times New Roman"/>
          <w:i/>
          <w:iCs/>
          <w:sz w:val="24"/>
          <w:szCs w:val="24"/>
        </w:rPr>
        <w:t>n</w:t>
      </w:r>
      <w:r w:rsidRPr="00507520">
        <w:rPr>
          <w:rFonts w:ascii="Times New Roman" w:eastAsia="Times New Roman" w:hAnsi="Times New Roman" w:cs="Times New Roman"/>
          <w:sz w:val="24"/>
          <w:szCs w:val="24"/>
        </w:rPr>
        <w:t xml:space="preserve">-alkanes undergoing homolytic </w:t>
      </w:r>
      <w:hyperlink r:id="rId8" w:tooltip="Learn more about cleavage from ScienceDirect's AI-generated Topic Pages" w:history="1">
        <w:r w:rsidRPr="00507520">
          <w:rPr>
            <w:rFonts w:ascii="Times New Roman" w:eastAsia="Times New Roman" w:hAnsi="Times New Roman" w:cs="Times New Roman"/>
            <w:color w:val="0000FF"/>
            <w:sz w:val="24"/>
            <w:szCs w:val="24"/>
            <w:u w:val="single"/>
          </w:rPr>
          <w:t>cleavage</w:t>
        </w:r>
      </w:hyperlink>
      <w:r w:rsidRPr="00507520">
        <w:rPr>
          <w:rFonts w:ascii="Times New Roman" w:eastAsia="Times New Roman" w:hAnsi="Times New Roman" w:cs="Times New Roman"/>
          <w:sz w:val="24"/>
          <w:szCs w:val="24"/>
        </w:rPr>
        <w:t xml:space="preserve"> of C-C bonds lead to predictions of isotopic fractionation that agree quite well with our experimental results. For </w:t>
      </w:r>
      <w:r w:rsidRPr="00507520">
        <w:rPr>
          <w:rFonts w:ascii="Times New Roman" w:eastAsia="Times New Roman" w:hAnsi="Times New Roman" w:cs="Times New Roman"/>
          <w:i/>
          <w:iCs/>
          <w:sz w:val="24"/>
          <w:szCs w:val="24"/>
        </w:rPr>
        <w:t>n</w:t>
      </w:r>
      <w:r w:rsidRPr="00507520">
        <w:rPr>
          <w:rFonts w:ascii="Times New Roman" w:eastAsia="Times New Roman" w:hAnsi="Times New Roman" w:cs="Times New Roman"/>
          <w:sz w:val="24"/>
          <w:szCs w:val="24"/>
        </w:rPr>
        <w:t>-C</w:t>
      </w:r>
      <w:r w:rsidRPr="00507520">
        <w:rPr>
          <w:rFonts w:ascii="Times New Roman" w:eastAsia="Times New Roman" w:hAnsi="Times New Roman" w:cs="Times New Roman"/>
          <w:sz w:val="24"/>
          <w:szCs w:val="24"/>
          <w:vertAlign w:val="subscript"/>
        </w:rPr>
        <w:t>20</w:t>
      </w:r>
      <w:r w:rsidRPr="00507520">
        <w:rPr>
          <w:rFonts w:ascii="Times New Roman" w:eastAsia="Times New Roman" w:hAnsi="Times New Roman" w:cs="Times New Roman"/>
          <w:sz w:val="24"/>
          <w:szCs w:val="24"/>
        </w:rPr>
        <w:t xml:space="preserve"> (</w:t>
      </w:r>
      <w:r w:rsidRPr="00507520">
        <w:rPr>
          <w:rFonts w:ascii="Times New Roman" w:eastAsia="Times New Roman" w:hAnsi="Times New Roman" w:cs="Times New Roman"/>
          <w:i/>
          <w:iCs/>
          <w:sz w:val="24"/>
          <w:szCs w:val="24"/>
        </w:rPr>
        <w:t>n</w:t>
      </w:r>
      <w:r w:rsidRPr="00507520">
        <w:rPr>
          <w:rFonts w:ascii="Times New Roman" w:eastAsia="Times New Roman" w:hAnsi="Times New Roman" w:cs="Times New Roman"/>
          <w:sz w:val="24"/>
          <w:szCs w:val="24"/>
        </w:rPr>
        <w:t>-</w:t>
      </w:r>
      <w:proofErr w:type="spellStart"/>
      <w:r w:rsidRPr="00507520">
        <w:rPr>
          <w:rFonts w:ascii="Times New Roman" w:eastAsia="Times New Roman" w:hAnsi="Times New Roman" w:cs="Times New Roman"/>
          <w:sz w:val="24"/>
          <w:szCs w:val="24"/>
        </w:rPr>
        <w:t>icosane</w:t>
      </w:r>
      <w:proofErr w:type="spellEnd"/>
      <w:r w:rsidRPr="00507520">
        <w:rPr>
          <w:rFonts w:ascii="Times New Roman" w:eastAsia="Times New Roman" w:hAnsi="Times New Roman" w:cs="Times New Roman"/>
          <w:sz w:val="24"/>
          <w:szCs w:val="24"/>
        </w:rPr>
        <w:t xml:space="preserve">), the changes in enthalpy are calculated to be </w:t>
      </w:r>
      <w:r w:rsidRPr="00507520">
        <w:rPr>
          <w:rFonts w:ascii="Cambria Math" w:eastAsia="Times New Roman" w:hAnsi="Cambria Math" w:cs="Cambria Math"/>
          <w:sz w:val="24"/>
          <w:szCs w:val="24"/>
        </w:rPr>
        <w:t>∼</w:t>
      </w:r>
      <w:r w:rsidRPr="00507520">
        <w:rPr>
          <w:rFonts w:ascii="Times New Roman" w:eastAsia="Times New Roman" w:hAnsi="Times New Roman" w:cs="Times New Roman"/>
          <w:sz w:val="24"/>
          <w:szCs w:val="24"/>
        </w:rPr>
        <w:t>1340 J mol</w:t>
      </w:r>
      <w:r w:rsidRPr="00507520">
        <w:rPr>
          <w:rFonts w:ascii="Times New Roman" w:eastAsia="Times New Roman" w:hAnsi="Times New Roman" w:cs="Times New Roman"/>
          <w:sz w:val="24"/>
          <w:szCs w:val="24"/>
          <w:vertAlign w:val="superscript"/>
        </w:rPr>
        <w:t>-1</w:t>
      </w:r>
      <w:r w:rsidRPr="00507520">
        <w:rPr>
          <w:rFonts w:ascii="Times New Roman" w:eastAsia="Times New Roman" w:hAnsi="Times New Roman" w:cs="Times New Roman"/>
          <w:sz w:val="24"/>
          <w:szCs w:val="24"/>
        </w:rPr>
        <w:t xml:space="preserve"> (320 </w:t>
      </w:r>
      <w:proofErr w:type="spellStart"/>
      <w:r w:rsidRPr="00507520">
        <w:rPr>
          <w:rFonts w:ascii="Times New Roman" w:eastAsia="Times New Roman" w:hAnsi="Times New Roman" w:cs="Times New Roman"/>
          <w:sz w:val="24"/>
          <w:szCs w:val="24"/>
        </w:rPr>
        <w:t>cal</w:t>
      </w:r>
      <w:proofErr w:type="spellEnd"/>
      <w:r w:rsidRPr="00507520">
        <w:rPr>
          <w:rFonts w:ascii="Times New Roman" w:eastAsia="Times New Roman" w:hAnsi="Times New Roman" w:cs="Times New Roman"/>
          <w:sz w:val="24"/>
          <w:szCs w:val="24"/>
        </w:rPr>
        <w:t xml:space="preserve"> mol</w:t>
      </w:r>
      <w:r w:rsidRPr="00507520">
        <w:rPr>
          <w:rFonts w:ascii="Times New Roman" w:eastAsia="Times New Roman" w:hAnsi="Times New Roman" w:cs="Times New Roman"/>
          <w:sz w:val="24"/>
          <w:szCs w:val="24"/>
          <w:vertAlign w:val="superscript"/>
        </w:rPr>
        <w:t>-1</w:t>
      </w:r>
      <w:r w:rsidRPr="00507520">
        <w:rPr>
          <w:rFonts w:ascii="Times New Roman" w:eastAsia="Times New Roman" w:hAnsi="Times New Roman" w:cs="Times New Roman"/>
          <w:sz w:val="24"/>
          <w:szCs w:val="24"/>
        </w:rPr>
        <w:t>) and 230 J mol</w:t>
      </w:r>
      <w:r w:rsidRPr="00507520">
        <w:rPr>
          <w:rFonts w:ascii="Times New Roman" w:eastAsia="Times New Roman" w:hAnsi="Times New Roman" w:cs="Times New Roman"/>
          <w:sz w:val="24"/>
          <w:szCs w:val="24"/>
          <w:vertAlign w:val="superscript"/>
        </w:rPr>
        <w:t>-1</w:t>
      </w:r>
      <w:r w:rsidRPr="00507520">
        <w:rPr>
          <w:rFonts w:ascii="Times New Roman" w:eastAsia="Times New Roman" w:hAnsi="Times New Roman" w:cs="Times New Roman"/>
          <w:sz w:val="24"/>
          <w:szCs w:val="24"/>
        </w:rPr>
        <w:t xml:space="preserve"> (55 </w:t>
      </w:r>
      <w:proofErr w:type="spellStart"/>
      <w:r w:rsidRPr="00507520">
        <w:rPr>
          <w:rFonts w:ascii="Times New Roman" w:eastAsia="Times New Roman" w:hAnsi="Times New Roman" w:cs="Times New Roman"/>
          <w:sz w:val="24"/>
          <w:szCs w:val="24"/>
        </w:rPr>
        <w:t>cal</w:t>
      </w:r>
      <w:proofErr w:type="spellEnd"/>
      <w:r w:rsidRPr="00507520">
        <w:rPr>
          <w:rFonts w:ascii="Times New Roman" w:eastAsia="Times New Roman" w:hAnsi="Times New Roman" w:cs="Times New Roman"/>
          <w:sz w:val="24"/>
          <w:szCs w:val="24"/>
        </w:rPr>
        <w:t xml:space="preserve"> mol</w:t>
      </w:r>
      <w:r w:rsidRPr="00507520">
        <w:rPr>
          <w:rFonts w:ascii="Times New Roman" w:eastAsia="Times New Roman" w:hAnsi="Times New Roman" w:cs="Times New Roman"/>
          <w:sz w:val="24"/>
          <w:szCs w:val="24"/>
          <w:vertAlign w:val="superscript"/>
        </w:rPr>
        <w:t>-1</w:t>
      </w:r>
      <w:r w:rsidRPr="00507520">
        <w:rPr>
          <w:rFonts w:ascii="Times New Roman" w:eastAsia="Times New Roman" w:hAnsi="Times New Roman" w:cs="Times New Roman"/>
          <w:sz w:val="24"/>
          <w:szCs w:val="24"/>
        </w:rPr>
        <w:t xml:space="preserve">) for D-H and </w:t>
      </w:r>
      <w:r w:rsidRPr="00507520">
        <w:rPr>
          <w:rFonts w:ascii="Times New Roman" w:eastAsia="Times New Roman" w:hAnsi="Times New Roman" w:cs="Times New Roman"/>
          <w:sz w:val="24"/>
          <w:szCs w:val="24"/>
          <w:vertAlign w:val="superscript"/>
        </w:rPr>
        <w:t>13</w:t>
      </w:r>
      <w:r w:rsidRPr="00507520">
        <w:rPr>
          <w:rFonts w:ascii="Times New Roman" w:eastAsia="Times New Roman" w:hAnsi="Times New Roman" w:cs="Times New Roman"/>
          <w:sz w:val="24"/>
          <w:szCs w:val="24"/>
        </w:rPr>
        <w:t>C-</w:t>
      </w:r>
      <w:r w:rsidRPr="00507520">
        <w:rPr>
          <w:rFonts w:ascii="Times New Roman" w:eastAsia="Times New Roman" w:hAnsi="Times New Roman" w:cs="Times New Roman"/>
          <w:sz w:val="24"/>
          <w:szCs w:val="24"/>
          <w:vertAlign w:val="superscript"/>
        </w:rPr>
        <w:t>12</w:t>
      </w:r>
      <w:r w:rsidRPr="00507520">
        <w:rPr>
          <w:rFonts w:ascii="Times New Roman" w:eastAsia="Times New Roman" w:hAnsi="Times New Roman" w:cs="Times New Roman"/>
          <w:sz w:val="24"/>
          <w:szCs w:val="24"/>
        </w:rPr>
        <w:t xml:space="preserve">C, respectively. Because the enthalpy term associated with hydrogen isotope fractionation is approximately six times greater than that for carbon, variations in </w:t>
      </w:r>
      <w:proofErr w:type="spellStart"/>
      <w:r w:rsidRPr="00507520">
        <w:rPr>
          <w:rFonts w:ascii="Times New Roman" w:eastAsia="Times New Roman" w:hAnsi="Times New Roman" w:cs="Times New Roman"/>
          <w:sz w:val="24"/>
          <w:szCs w:val="24"/>
        </w:rPr>
        <w:t>δD</w:t>
      </w:r>
      <w:proofErr w:type="spellEnd"/>
      <w:r w:rsidRPr="00507520">
        <w:rPr>
          <w:rFonts w:ascii="Times New Roman" w:eastAsia="Times New Roman" w:hAnsi="Times New Roman" w:cs="Times New Roman"/>
          <w:sz w:val="24"/>
          <w:szCs w:val="24"/>
        </w:rPr>
        <w:t xml:space="preserve"> values for individual long-chain hydrocarbons provide a highly sensitive measure of the extent of </w:t>
      </w:r>
      <w:hyperlink r:id="rId9" w:tooltip="Learn more about thermal alteration from ScienceDirect's AI-generated Topic Pages" w:history="1">
        <w:r w:rsidRPr="00507520">
          <w:rPr>
            <w:rFonts w:ascii="Times New Roman" w:eastAsia="Times New Roman" w:hAnsi="Times New Roman" w:cs="Times New Roman"/>
            <w:color w:val="0000FF"/>
            <w:sz w:val="24"/>
            <w:szCs w:val="24"/>
            <w:u w:val="single"/>
          </w:rPr>
          <w:t>thermal alteration</w:t>
        </w:r>
      </w:hyperlink>
      <w:r w:rsidRPr="00507520">
        <w:rPr>
          <w:rFonts w:ascii="Times New Roman" w:eastAsia="Times New Roman" w:hAnsi="Times New Roman" w:cs="Times New Roman"/>
          <w:sz w:val="24"/>
          <w:szCs w:val="24"/>
        </w:rPr>
        <w:t xml:space="preserve"> experienced by the oil. Extrapolation of the kinetic model to typical geological heating conditions predicts significant enrichment in </w:t>
      </w:r>
      <w:r w:rsidRPr="00507520">
        <w:rPr>
          <w:rFonts w:ascii="Times New Roman" w:eastAsia="Times New Roman" w:hAnsi="Times New Roman" w:cs="Times New Roman"/>
          <w:sz w:val="24"/>
          <w:szCs w:val="24"/>
          <w:vertAlign w:val="superscript"/>
        </w:rPr>
        <w:t>13</w:t>
      </w:r>
      <w:r w:rsidRPr="00507520">
        <w:rPr>
          <w:rFonts w:ascii="Times New Roman" w:eastAsia="Times New Roman" w:hAnsi="Times New Roman" w:cs="Times New Roman"/>
          <w:sz w:val="24"/>
          <w:szCs w:val="24"/>
        </w:rPr>
        <w:t xml:space="preserve">C and D for </w:t>
      </w:r>
      <w:r w:rsidRPr="00507520">
        <w:rPr>
          <w:rFonts w:ascii="Times New Roman" w:eastAsia="Times New Roman" w:hAnsi="Times New Roman" w:cs="Times New Roman"/>
          <w:i/>
          <w:iCs/>
          <w:sz w:val="24"/>
          <w:szCs w:val="24"/>
        </w:rPr>
        <w:t>n</w:t>
      </w:r>
      <w:r w:rsidRPr="00507520">
        <w:rPr>
          <w:rFonts w:ascii="Times New Roman" w:eastAsia="Times New Roman" w:hAnsi="Times New Roman" w:cs="Times New Roman"/>
          <w:sz w:val="24"/>
          <w:szCs w:val="24"/>
        </w:rPr>
        <w:t>-</w:t>
      </w:r>
      <w:proofErr w:type="spellStart"/>
      <w:r w:rsidRPr="00507520">
        <w:rPr>
          <w:rFonts w:ascii="Times New Roman" w:eastAsia="Times New Roman" w:hAnsi="Times New Roman" w:cs="Times New Roman"/>
          <w:sz w:val="24"/>
          <w:szCs w:val="24"/>
        </w:rPr>
        <w:t>icosane</w:t>
      </w:r>
      <w:proofErr w:type="spellEnd"/>
      <w:r w:rsidRPr="00507520">
        <w:rPr>
          <w:rFonts w:ascii="Times New Roman" w:eastAsia="Times New Roman" w:hAnsi="Times New Roman" w:cs="Times New Roman"/>
          <w:sz w:val="24"/>
          <w:szCs w:val="24"/>
        </w:rPr>
        <w:t xml:space="preserve"> at equivalent vitrinite reflectance values corresponding to the onset of thermal cracking of normal alkanes. The experimental and theoretical results of this study have significant implications for the use of compound-specific hydrogen isotope data in petroleum geochemical and </w:t>
      </w:r>
      <w:proofErr w:type="spellStart"/>
      <w:r w:rsidRPr="00507520">
        <w:rPr>
          <w:rFonts w:ascii="Times New Roman" w:eastAsia="Times New Roman" w:hAnsi="Times New Roman" w:cs="Times New Roman"/>
          <w:sz w:val="24"/>
          <w:szCs w:val="24"/>
        </w:rPr>
        <w:t>paleoclimatological</w:t>
      </w:r>
      <w:proofErr w:type="spellEnd"/>
      <w:r w:rsidRPr="00507520">
        <w:rPr>
          <w:rFonts w:ascii="Times New Roman" w:eastAsia="Times New Roman" w:hAnsi="Times New Roman" w:cs="Times New Roman"/>
          <w:sz w:val="24"/>
          <w:szCs w:val="24"/>
        </w:rPr>
        <w:t xml:space="preserve"> studies. However, there are many other geochemical processes that will significantly affect observed hydrogen </w:t>
      </w:r>
      <w:hyperlink r:id="rId10" w:tooltip="Learn more about isotopic compositions from ScienceDirect's AI-generated Topic Pages" w:history="1">
        <w:r w:rsidRPr="00507520">
          <w:rPr>
            <w:rFonts w:ascii="Times New Roman" w:eastAsia="Times New Roman" w:hAnsi="Times New Roman" w:cs="Times New Roman"/>
            <w:color w:val="0000FF"/>
            <w:sz w:val="24"/>
            <w:szCs w:val="24"/>
            <w:u w:val="single"/>
          </w:rPr>
          <w:t>isotopic compositions</w:t>
        </w:r>
      </w:hyperlink>
      <w:r w:rsidRPr="00507520">
        <w:rPr>
          <w:rFonts w:ascii="Times New Roman" w:eastAsia="Times New Roman" w:hAnsi="Times New Roman" w:cs="Times New Roman"/>
          <w:sz w:val="24"/>
          <w:szCs w:val="24"/>
        </w:rPr>
        <w:t xml:space="preserve"> (e.g., biodegradation, water washing, isotopic exchange with water and minerals) that must also be taken into consideration.</w:t>
      </w:r>
    </w:p>
    <w:p w:rsidR="00507520" w:rsidRPr="00507520" w:rsidRDefault="00507520" w:rsidP="00507520">
      <w:pPr>
        <w:spacing w:before="100" w:beforeAutospacing="1" w:after="100" w:afterAutospacing="1" w:line="240" w:lineRule="auto"/>
        <w:outlineLvl w:val="1"/>
        <w:rPr>
          <w:rFonts w:ascii="Times New Roman" w:eastAsia="Times New Roman" w:hAnsi="Times New Roman" w:cs="Times New Roman"/>
          <w:b/>
          <w:bCs/>
          <w:sz w:val="36"/>
          <w:szCs w:val="36"/>
        </w:rPr>
      </w:pPr>
      <w:r w:rsidRPr="00507520">
        <w:rPr>
          <w:rFonts w:ascii="Times New Roman" w:eastAsia="Times New Roman" w:hAnsi="Times New Roman" w:cs="Times New Roman"/>
          <w:b/>
          <w:bCs/>
          <w:sz w:val="36"/>
          <w:szCs w:val="36"/>
        </w:rPr>
        <w:t>Introduction</w:t>
      </w:r>
    </w:p>
    <w:p w:rsidR="00507520" w:rsidRPr="00507520" w:rsidRDefault="00507520" w:rsidP="00507520">
      <w:pPr>
        <w:spacing w:before="100" w:beforeAutospacing="1" w:after="100" w:afterAutospacing="1" w:line="240" w:lineRule="auto"/>
        <w:rPr>
          <w:rFonts w:ascii="Times New Roman" w:eastAsia="Times New Roman" w:hAnsi="Times New Roman" w:cs="Times New Roman"/>
          <w:sz w:val="24"/>
          <w:szCs w:val="24"/>
        </w:rPr>
      </w:pPr>
      <w:r w:rsidRPr="00507520">
        <w:rPr>
          <w:rFonts w:ascii="Times New Roman" w:eastAsia="Times New Roman" w:hAnsi="Times New Roman" w:cs="Times New Roman"/>
          <w:sz w:val="24"/>
          <w:szCs w:val="24"/>
        </w:rPr>
        <w:t xml:space="preserve">Compound-specific </w:t>
      </w:r>
      <w:r w:rsidRPr="00507520">
        <w:rPr>
          <w:rFonts w:ascii="Times New Roman" w:eastAsia="Times New Roman" w:hAnsi="Times New Roman" w:cs="Times New Roman"/>
          <w:sz w:val="24"/>
          <w:szCs w:val="24"/>
          <w:vertAlign w:val="superscript"/>
        </w:rPr>
        <w:t>13</w:t>
      </w:r>
      <w:r w:rsidRPr="00507520">
        <w:rPr>
          <w:rFonts w:ascii="Times New Roman" w:eastAsia="Times New Roman" w:hAnsi="Times New Roman" w:cs="Times New Roman"/>
          <w:sz w:val="24"/>
          <w:szCs w:val="24"/>
        </w:rPr>
        <w:t>C/</w:t>
      </w:r>
      <w:r w:rsidRPr="00507520">
        <w:rPr>
          <w:rFonts w:ascii="Times New Roman" w:eastAsia="Times New Roman" w:hAnsi="Times New Roman" w:cs="Times New Roman"/>
          <w:sz w:val="24"/>
          <w:szCs w:val="24"/>
          <w:vertAlign w:val="superscript"/>
        </w:rPr>
        <w:t>12</w:t>
      </w:r>
      <w:r w:rsidRPr="00507520">
        <w:rPr>
          <w:rFonts w:ascii="Times New Roman" w:eastAsia="Times New Roman" w:hAnsi="Times New Roman" w:cs="Times New Roman"/>
          <w:sz w:val="24"/>
          <w:szCs w:val="24"/>
        </w:rPr>
        <w:t xml:space="preserve">C isotopic analysis has been successfully applied in a number of areas of petroleum geochemistry, including oil-source rock correlation (e.g., Chung et al., 1994; Murray et al., 1994; </w:t>
      </w:r>
      <w:proofErr w:type="spellStart"/>
      <w:r w:rsidRPr="00507520">
        <w:rPr>
          <w:rFonts w:ascii="Times New Roman" w:eastAsia="Times New Roman" w:hAnsi="Times New Roman" w:cs="Times New Roman"/>
          <w:sz w:val="24"/>
          <w:szCs w:val="24"/>
        </w:rPr>
        <w:t>Odden</w:t>
      </w:r>
      <w:proofErr w:type="spellEnd"/>
      <w:r w:rsidRPr="00507520">
        <w:rPr>
          <w:rFonts w:ascii="Times New Roman" w:eastAsia="Times New Roman" w:hAnsi="Times New Roman" w:cs="Times New Roman"/>
          <w:sz w:val="24"/>
          <w:szCs w:val="24"/>
        </w:rPr>
        <w:t xml:space="preserve"> et al., 2002), oil-oil correlation (e.g., </w:t>
      </w:r>
      <w:proofErr w:type="spellStart"/>
      <w:r w:rsidRPr="00507520">
        <w:rPr>
          <w:rFonts w:ascii="Times New Roman" w:eastAsia="Times New Roman" w:hAnsi="Times New Roman" w:cs="Times New Roman"/>
          <w:sz w:val="24"/>
          <w:szCs w:val="24"/>
        </w:rPr>
        <w:t>Whiticar</w:t>
      </w:r>
      <w:proofErr w:type="spellEnd"/>
      <w:r w:rsidRPr="00507520">
        <w:rPr>
          <w:rFonts w:ascii="Times New Roman" w:eastAsia="Times New Roman" w:hAnsi="Times New Roman" w:cs="Times New Roman"/>
          <w:sz w:val="24"/>
          <w:szCs w:val="24"/>
        </w:rPr>
        <w:t xml:space="preserve"> and </w:t>
      </w:r>
      <w:proofErr w:type="spellStart"/>
      <w:r w:rsidRPr="00507520">
        <w:rPr>
          <w:rFonts w:ascii="Times New Roman" w:eastAsia="Times New Roman" w:hAnsi="Times New Roman" w:cs="Times New Roman"/>
          <w:sz w:val="24"/>
          <w:szCs w:val="24"/>
        </w:rPr>
        <w:t>Snowdon</w:t>
      </w:r>
      <w:proofErr w:type="spellEnd"/>
      <w:r w:rsidRPr="00507520">
        <w:rPr>
          <w:rFonts w:ascii="Times New Roman" w:eastAsia="Times New Roman" w:hAnsi="Times New Roman" w:cs="Times New Roman"/>
          <w:sz w:val="24"/>
          <w:szCs w:val="24"/>
        </w:rPr>
        <w:t xml:space="preserve">, 1999), and determination of mixed oil sources (Rooney et al., 1998). Early studies of the stable carbon isotopic composition of crude oils, natural gases, and petroleum source rocks suggested that the isotopic compositions of individual petroleum hydrocarbons are generally inherited from the kerogens from </w:t>
      </w:r>
      <w:r w:rsidRPr="00507520">
        <w:rPr>
          <w:rFonts w:ascii="Times New Roman" w:eastAsia="Times New Roman" w:hAnsi="Times New Roman" w:cs="Times New Roman"/>
          <w:sz w:val="24"/>
          <w:szCs w:val="24"/>
        </w:rPr>
        <w:lastRenderedPageBreak/>
        <w:t>which they are derived (</w:t>
      </w:r>
      <w:proofErr w:type="spellStart"/>
      <w:r w:rsidRPr="00507520">
        <w:rPr>
          <w:rFonts w:ascii="Times New Roman" w:eastAsia="Times New Roman" w:hAnsi="Times New Roman" w:cs="Times New Roman"/>
          <w:sz w:val="24"/>
          <w:szCs w:val="24"/>
        </w:rPr>
        <w:t>Schoell</w:t>
      </w:r>
      <w:proofErr w:type="spellEnd"/>
      <w:r w:rsidRPr="00507520">
        <w:rPr>
          <w:rFonts w:ascii="Times New Roman" w:eastAsia="Times New Roman" w:hAnsi="Times New Roman" w:cs="Times New Roman"/>
          <w:sz w:val="24"/>
          <w:szCs w:val="24"/>
        </w:rPr>
        <w:t>, 1984). However, numerous theoretical, experimental, and field -based studies have since shown that variations in thermal maturity can significantly affect the compound-specific δ</w:t>
      </w:r>
      <w:r w:rsidRPr="00507520">
        <w:rPr>
          <w:rFonts w:ascii="Times New Roman" w:eastAsia="Times New Roman" w:hAnsi="Times New Roman" w:cs="Times New Roman"/>
          <w:sz w:val="24"/>
          <w:szCs w:val="24"/>
          <w:vertAlign w:val="superscript"/>
        </w:rPr>
        <w:t>13</w:t>
      </w:r>
      <w:r w:rsidRPr="00507520">
        <w:rPr>
          <w:rFonts w:ascii="Times New Roman" w:eastAsia="Times New Roman" w:hAnsi="Times New Roman" w:cs="Times New Roman"/>
          <w:sz w:val="24"/>
          <w:szCs w:val="24"/>
        </w:rPr>
        <w:t xml:space="preserve">C composition of petroleum hydrocarbons (Clayton, 1991a; Clayton, 1991b; Clayton and </w:t>
      </w:r>
      <w:proofErr w:type="spellStart"/>
      <w:r w:rsidRPr="00507520">
        <w:rPr>
          <w:rFonts w:ascii="Times New Roman" w:eastAsia="Times New Roman" w:hAnsi="Times New Roman" w:cs="Times New Roman"/>
          <w:sz w:val="24"/>
          <w:szCs w:val="24"/>
        </w:rPr>
        <w:t>Bjorøy</w:t>
      </w:r>
      <w:proofErr w:type="spellEnd"/>
      <w:r w:rsidRPr="00507520">
        <w:rPr>
          <w:rFonts w:ascii="Times New Roman" w:eastAsia="Times New Roman" w:hAnsi="Times New Roman" w:cs="Times New Roman"/>
          <w:sz w:val="24"/>
          <w:szCs w:val="24"/>
        </w:rPr>
        <w:t xml:space="preserve">, 1994; Berner and Faber, 1996; Cramer et al., 1998; </w:t>
      </w:r>
      <w:proofErr w:type="spellStart"/>
      <w:r w:rsidRPr="00507520">
        <w:rPr>
          <w:rFonts w:ascii="Times New Roman" w:eastAsia="Times New Roman" w:hAnsi="Times New Roman" w:cs="Times New Roman"/>
          <w:sz w:val="24"/>
          <w:szCs w:val="24"/>
        </w:rPr>
        <w:t>Lorant</w:t>
      </w:r>
      <w:proofErr w:type="spellEnd"/>
      <w:r w:rsidRPr="00507520">
        <w:rPr>
          <w:rFonts w:ascii="Times New Roman" w:eastAsia="Times New Roman" w:hAnsi="Times New Roman" w:cs="Times New Roman"/>
          <w:sz w:val="24"/>
          <w:szCs w:val="24"/>
        </w:rPr>
        <w:t xml:space="preserve"> et al., 1998; Rooney et al., 1998; Harris et al., 2003). In one instance, Clayton and </w:t>
      </w:r>
      <w:proofErr w:type="spellStart"/>
      <w:r w:rsidRPr="00507520">
        <w:rPr>
          <w:rFonts w:ascii="Times New Roman" w:eastAsia="Times New Roman" w:hAnsi="Times New Roman" w:cs="Times New Roman"/>
          <w:sz w:val="24"/>
          <w:szCs w:val="24"/>
        </w:rPr>
        <w:t>Bjorøy</w:t>
      </w:r>
      <w:proofErr w:type="spellEnd"/>
      <w:r w:rsidRPr="00507520">
        <w:rPr>
          <w:rFonts w:ascii="Times New Roman" w:eastAsia="Times New Roman" w:hAnsi="Times New Roman" w:cs="Times New Roman"/>
          <w:sz w:val="24"/>
          <w:szCs w:val="24"/>
        </w:rPr>
        <w:t xml:space="preserve"> (1994) found that 50 to 90% of the carbon isotope variation in individual compounds from four North Sea oils was due to differences in thermal maturity.</w:t>
      </w:r>
    </w:p>
    <w:p w:rsidR="00507520" w:rsidRPr="00507520" w:rsidRDefault="00507520" w:rsidP="00507520">
      <w:pPr>
        <w:spacing w:before="100" w:beforeAutospacing="1" w:after="100" w:afterAutospacing="1" w:line="240" w:lineRule="auto"/>
        <w:rPr>
          <w:rFonts w:ascii="Times New Roman" w:eastAsia="Times New Roman" w:hAnsi="Times New Roman" w:cs="Times New Roman"/>
          <w:sz w:val="24"/>
          <w:szCs w:val="24"/>
        </w:rPr>
      </w:pPr>
      <w:r w:rsidRPr="00507520">
        <w:rPr>
          <w:rFonts w:ascii="Times New Roman" w:eastAsia="Times New Roman" w:hAnsi="Times New Roman" w:cs="Times New Roman"/>
          <w:sz w:val="24"/>
          <w:szCs w:val="24"/>
        </w:rPr>
        <w:t xml:space="preserve">Since the first report of an empiric relationship between hydrocarbon stable carbon isotopic composition and thermal maturity (Stahl, 1968), a variety of models to explain this phenomenon have been proposed and effectively applied to geological problems (Stahl, 1977; James, 1983; </w:t>
      </w:r>
      <w:proofErr w:type="spellStart"/>
      <w:r w:rsidRPr="00507520">
        <w:rPr>
          <w:rFonts w:ascii="Times New Roman" w:eastAsia="Times New Roman" w:hAnsi="Times New Roman" w:cs="Times New Roman"/>
          <w:sz w:val="24"/>
          <w:szCs w:val="24"/>
        </w:rPr>
        <w:t>Schoell</w:t>
      </w:r>
      <w:proofErr w:type="spellEnd"/>
      <w:r w:rsidRPr="00507520">
        <w:rPr>
          <w:rFonts w:ascii="Times New Roman" w:eastAsia="Times New Roman" w:hAnsi="Times New Roman" w:cs="Times New Roman"/>
          <w:sz w:val="24"/>
          <w:szCs w:val="24"/>
        </w:rPr>
        <w:t xml:space="preserve">, 1983; Faber, 1987; Chung et al., 1988; </w:t>
      </w:r>
      <w:proofErr w:type="spellStart"/>
      <w:r w:rsidRPr="00507520">
        <w:rPr>
          <w:rFonts w:ascii="Times New Roman" w:eastAsia="Times New Roman" w:hAnsi="Times New Roman" w:cs="Times New Roman"/>
          <w:sz w:val="24"/>
          <w:szCs w:val="24"/>
        </w:rPr>
        <w:t>Schoell</w:t>
      </w:r>
      <w:proofErr w:type="spellEnd"/>
      <w:r w:rsidRPr="00507520">
        <w:rPr>
          <w:rFonts w:ascii="Times New Roman" w:eastAsia="Times New Roman" w:hAnsi="Times New Roman" w:cs="Times New Roman"/>
          <w:sz w:val="24"/>
          <w:szCs w:val="24"/>
        </w:rPr>
        <w:t xml:space="preserve">, 1988). However, because these relationships are based on empiric observations rather than fundamental </w:t>
      </w:r>
      <w:proofErr w:type="spellStart"/>
      <w:r w:rsidRPr="00507520">
        <w:rPr>
          <w:rFonts w:ascii="Times New Roman" w:eastAsia="Times New Roman" w:hAnsi="Times New Roman" w:cs="Times New Roman"/>
          <w:sz w:val="24"/>
          <w:szCs w:val="24"/>
        </w:rPr>
        <w:t>principals</w:t>
      </w:r>
      <w:proofErr w:type="spellEnd"/>
      <w:r w:rsidRPr="00507520">
        <w:rPr>
          <w:rFonts w:ascii="Times New Roman" w:eastAsia="Times New Roman" w:hAnsi="Times New Roman" w:cs="Times New Roman"/>
          <w:sz w:val="24"/>
          <w:szCs w:val="24"/>
        </w:rPr>
        <w:t xml:space="preserve"> of isotopic fractionation, their application to diverse petroleum systems is limited. In fact, some discrepancies between experimental pyrolysis data and model predictions have been reported (Andresen et al., 1995), and even some of the model predictions contradict each other (</w:t>
      </w:r>
      <w:proofErr w:type="spellStart"/>
      <w:r w:rsidRPr="00507520">
        <w:rPr>
          <w:rFonts w:ascii="Times New Roman" w:eastAsia="Times New Roman" w:hAnsi="Times New Roman" w:cs="Times New Roman"/>
          <w:sz w:val="24"/>
          <w:szCs w:val="24"/>
        </w:rPr>
        <w:t>Jenden</w:t>
      </w:r>
      <w:proofErr w:type="spellEnd"/>
      <w:r w:rsidRPr="00507520">
        <w:rPr>
          <w:rFonts w:ascii="Times New Roman" w:eastAsia="Times New Roman" w:hAnsi="Times New Roman" w:cs="Times New Roman"/>
          <w:sz w:val="24"/>
          <w:szCs w:val="24"/>
        </w:rPr>
        <w:t xml:space="preserve"> et al., 1988; </w:t>
      </w:r>
      <w:proofErr w:type="spellStart"/>
      <w:r w:rsidRPr="00507520">
        <w:rPr>
          <w:rFonts w:ascii="Times New Roman" w:eastAsia="Times New Roman" w:hAnsi="Times New Roman" w:cs="Times New Roman"/>
          <w:sz w:val="24"/>
          <w:szCs w:val="24"/>
        </w:rPr>
        <w:t>Lorant</w:t>
      </w:r>
      <w:proofErr w:type="spellEnd"/>
      <w:r w:rsidRPr="00507520">
        <w:rPr>
          <w:rFonts w:ascii="Times New Roman" w:eastAsia="Times New Roman" w:hAnsi="Times New Roman" w:cs="Times New Roman"/>
          <w:sz w:val="24"/>
          <w:szCs w:val="24"/>
        </w:rPr>
        <w:t xml:space="preserve"> et al., 1998).</w:t>
      </w:r>
    </w:p>
    <w:p w:rsidR="00507520" w:rsidRPr="00507520" w:rsidRDefault="00507520" w:rsidP="00507520">
      <w:pPr>
        <w:spacing w:before="100" w:beforeAutospacing="1" w:after="100" w:afterAutospacing="1" w:line="240" w:lineRule="auto"/>
        <w:rPr>
          <w:rFonts w:ascii="Times New Roman" w:eastAsia="Times New Roman" w:hAnsi="Times New Roman" w:cs="Times New Roman"/>
          <w:sz w:val="24"/>
          <w:szCs w:val="24"/>
        </w:rPr>
      </w:pPr>
      <w:r w:rsidRPr="00507520">
        <w:rPr>
          <w:rFonts w:ascii="Times New Roman" w:eastAsia="Times New Roman" w:hAnsi="Times New Roman" w:cs="Times New Roman"/>
          <w:sz w:val="24"/>
          <w:szCs w:val="24"/>
        </w:rPr>
        <w:t>More sophisticated mathematical models based on Rayleigh distillation theory have been proposed that address some of the shortcomings of earlier models (Clayton, 1991a; Berner et al., 1995; Rooney et al., 1995). Yet, these models still have their weaknesses. For example, the relative rate of generation of methane and higher molecular weight hydrocarbons is assumed to be constant and dependent only on the extent of reaction. However, it is well established that the ratio of C</w:t>
      </w:r>
      <w:r w:rsidRPr="00507520">
        <w:rPr>
          <w:rFonts w:ascii="Times New Roman" w:eastAsia="Times New Roman" w:hAnsi="Times New Roman" w:cs="Times New Roman"/>
          <w:sz w:val="24"/>
          <w:szCs w:val="24"/>
          <w:vertAlign w:val="subscript"/>
        </w:rPr>
        <w:t>2</w:t>
      </w:r>
      <w:r w:rsidRPr="00507520">
        <w:rPr>
          <w:rFonts w:ascii="Times New Roman" w:eastAsia="Times New Roman" w:hAnsi="Times New Roman" w:cs="Times New Roman"/>
          <w:sz w:val="24"/>
          <w:szCs w:val="24"/>
        </w:rPr>
        <w:t>+ hydrocarbons to methane is not constant during thermal maturation (Hill et al., 1996; Tang et al., 1996). Additionally, these models fail to account for complex changes in the kinetic isotopic fractionation factor (ε) that can occur during hydrocarbon gas generation (</w:t>
      </w:r>
      <w:proofErr w:type="spellStart"/>
      <w:r w:rsidRPr="00507520">
        <w:rPr>
          <w:rFonts w:ascii="Times New Roman" w:eastAsia="Times New Roman" w:hAnsi="Times New Roman" w:cs="Times New Roman"/>
          <w:sz w:val="24"/>
          <w:szCs w:val="24"/>
        </w:rPr>
        <w:t>Galimov</w:t>
      </w:r>
      <w:proofErr w:type="spellEnd"/>
      <w:r w:rsidRPr="00507520">
        <w:rPr>
          <w:rFonts w:ascii="Times New Roman" w:eastAsia="Times New Roman" w:hAnsi="Times New Roman" w:cs="Times New Roman"/>
          <w:sz w:val="24"/>
          <w:szCs w:val="24"/>
        </w:rPr>
        <w:t xml:space="preserve">, 1974; Hayes, 1993). More recently, new models have been proposed based on a reaction network of first-order kinetic reactions and calibrated to laboratory pyrolysis data (Tang and </w:t>
      </w:r>
      <w:proofErr w:type="spellStart"/>
      <w:r w:rsidRPr="00507520">
        <w:rPr>
          <w:rFonts w:ascii="Times New Roman" w:eastAsia="Times New Roman" w:hAnsi="Times New Roman" w:cs="Times New Roman"/>
          <w:sz w:val="24"/>
          <w:szCs w:val="24"/>
        </w:rPr>
        <w:t>Jenden</w:t>
      </w:r>
      <w:proofErr w:type="spellEnd"/>
      <w:r w:rsidRPr="00507520">
        <w:rPr>
          <w:rFonts w:ascii="Times New Roman" w:eastAsia="Times New Roman" w:hAnsi="Times New Roman" w:cs="Times New Roman"/>
          <w:sz w:val="24"/>
          <w:szCs w:val="24"/>
        </w:rPr>
        <w:t xml:space="preserve">, 1995; Cramer et al., 1998; </w:t>
      </w:r>
      <w:proofErr w:type="spellStart"/>
      <w:r w:rsidRPr="00507520">
        <w:rPr>
          <w:rFonts w:ascii="Times New Roman" w:eastAsia="Times New Roman" w:hAnsi="Times New Roman" w:cs="Times New Roman"/>
          <w:sz w:val="24"/>
          <w:szCs w:val="24"/>
        </w:rPr>
        <w:t>Lorant</w:t>
      </w:r>
      <w:proofErr w:type="spellEnd"/>
      <w:r w:rsidRPr="00507520">
        <w:rPr>
          <w:rFonts w:ascii="Times New Roman" w:eastAsia="Times New Roman" w:hAnsi="Times New Roman" w:cs="Times New Roman"/>
          <w:sz w:val="24"/>
          <w:szCs w:val="24"/>
        </w:rPr>
        <w:t xml:space="preserve"> et al., 1998; Tang et al., 2000; Cramer et al., 2001). While model parameters can be adjusted to give a highly accurate fit to experimental data, problems may arise when model results are extrapolated to field observations. Such extrapolations are complicated by secondary processes that significantly impact individual hydrocarbon stable carbon isotopic compositions. Potential complicating factors include phase separation associated with oil migration (</w:t>
      </w:r>
      <w:proofErr w:type="spellStart"/>
      <w:r w:rsidRPr="00507520">
        <w:rPr>
          <w:rFonts w:ascii="Times New Roman" w:eastAsia="Times New Roman" w:hAnsi="Times New Roman" w:cs="Times New Roman"/>
          <w:sz w:val="24"/>
          <w:szCs w:val="24"/>
        </w:rPr>
        <w:t>Dzou</w:t>
      </w:r>
      <w:proofErr w:type="spellEnd"/>
      <w:r w:rsidRPr="00507520">
        <w:rPr>
          <w:rFonts w:ascii="Times New Roman" w:eastAsia="Times New Roman" w:hAnsi="Times New Roman" w:cs="Times New Roman"/>
          <w:sz w:val="24"/>
          <w:szCs w:val="24"/>
        </w:rPr>
        <w:t xml:space="preserve"> and Hughes, 1993), biodegradation (Masterson et al., 2001), and carbon isotopic exchange between short-chain carboxylic acids and inorganic carbonate in water (Dias et al., 2002).</w:t>
      </w:r>
    </w:p>
    <w:p w:rsidR="00507520" w:rsidRPr="00507520" w:rsidRDefault="00507520" w:rsidP="00507520">
      <w:pPr>
        <w:spacing w:before="100" w:beforeAutospacing="1" w:after="100" w:afterAutospacing="1" w:line="240" w:lineRule="auto"/>
        <w:rPr>
          <w:rFonts w:ascii="Times New Roman" w:eastAsia="Times New Roman" w:hAnsi="Times New Roman" w:cs="Times New Roman"/>
          <w:sz w:val="24"/>
          <w:szCs w:val="24"/>
        </w:rPr>
      </w:pPr>
      <w:r w:rsidRPr="00507520">
        <w:rPr>
          <w:rFonts w:ascii="Times New Roman" w:eastAsia="Times New Roman" w:hAnsi="Times New Roman" w:cs="Times New Roman"/>
          <w:sz w:val="24"/>
          <w:szCs w:val="24"/>
        </w:rPr>
        <w:t xml:space="preserve">In recent years, measurement of hydrogen isotopic compositions of individual organic compounds has become possible (Burgoyne and Hayes, 1998; </w:t>
      </w:r>
      <w:proofErr w:type="spellStart"/>
      <w:r w:rsidRPr="00507520">
        <w:rPr>
          <w:rFonts w:ascii="Times New Roman" w:eastAsia="Times New Roman" w:hAnsi="Times New Roman" w:cs="Times New Roman"/>
          <w:sz w:val="24"/>
          <w:szCs w:val="24"/>
        </w:rPr>
        <w:t>Hilkert</w:t>
      </w:r>
      <w:proofErr w:type="spellEnd"/>
      <w:r w:rsidRPr="00507520">
        <w:rPr>
          <w:rFonts w:ascii="Times New Roman" w:eastAsia="Times New Roman" w:hAnsi="Times New Roman" w:cs="Times New Roman"/>
          <w:sz w:val="24"/>
          <w:szCs w:val="24"/>
        </w:rPr>
        <w:t xml:space="preserve"> et al., 1999). Because deuterium (D) and hydrogen (H) have the largest relative mass difference of any stable isotope pair, hydrogen isotopes exhibit the greatest fractionation in natural systems (</w:t>
      </w:r>
      <w:proofErr w:type="spellStart"/>
      <w:r w:rsidRPr="00507520">
        <w:rPr>
          <w:rFonts w:ascii="Times New Roman" w:eastAsia="Times New Roman" w:hAnsi="Times New Roman" w:cs="Times New Roman"/>
          <w:sz w:val="24"/>
          <w:szCs w:val="24"/>
        </w:rPr>
        <w:t>Bigeleisen</w:t>
      </w:r>
      <w:proofErr w:type="spellEnd"/>
      <w:r w:rsidRPr="00507520">
        <w:rPr>
          <w:rFonts w:ascii="Times New Roman" w:eastAsia="Times New Roman" w:hAnsi="Times New Roman" w:cs="Times New Roman"/>
          <w:sz w:val="24"/>
          <w:szCs w:val="24"/>
        </w:rPr>
        <w:t xml:space="preserve">, 1965). Quantum chemistry calculations have shown that this property produces the substantially greater variation in </w:t>
      </w:r>
      <w:proofErr w:type="spellStart"/>
      <w:r w:rsidRPr="00507520">
        <w:rPr>
          <w:rFonts w:ascii="Times New Roman" w:eastAsia="Times New Roman" w:hAnsi="Times New Roman" w:cs="Times New Roman"/>
          <w:sz w:val="24"/>
          <w:szCs w:val="24"/>
        </w:rPr>
        <w:t>δD</w:t>
      </w:r>
      <w:proofErr w:type="spellEnd"/>
      <w:r w:rsidRPr="00507520">
        <w:rPr>
          <w:rFonts w:ascii="Times New Roman" w:eastAsia="Times New Roman" w:hAnsi="Times New Roman" w:cs="Times New Roman"/>
          <w:sz w:val="24"/>
          <w:szCs w:val="24"/>
        </w:rPr>
        <w:t xml:space="preserve"> values compared to δ</w:t>
      </w:r>
      <w:r w:rsidRPr="00507520">
        <w:rPr>
          <w:rFonts w:ascii="Times New Roman" w:eastAsia="Times New Roman" w:hAnsi="Times New Roman" w:cs="Times New Roman"/>
          <w:sz w:val="24"/>
          <w:szCs w:val="24"/>
          <w:vertAlign w:val="superscript"/>
        </w:rPr>
        <w:t>13</w:t>
      </w:r>
      <w:r w:rsidRPr="00507520">
        <w:rPr>
          <w:rFonts w:ascii="Times New Roman" w:eastAsia="Times New Roman" w:hAnsi="Times New Roman" w:cs="Times New Roman"/>
          <w:sz w:val="24"/>
          <w:szCs w:val="24"/>
        </w:rPr>
        <w:t xml:space="preserve">C that is commonly observed in hydrocarbons (Tang and </w:t>
      </w:r>
      <w:proofErr w:type="spellStart"/>
      <w:r w:rsidRPr="00507520">
        <w:rPr>
          <w:rFonts w:ascii="Times New Roman" w:eastAsia="Times New Roman" w:hAnsi="Times New Roman" w:cs="Times New Roman"/>
          <w:sz w:val="24"/>
          <w:szCs w:val="24"/>
        </w:rPr>
        <w:t>Jenden</w:t>
      </w:r>
      <w:proofErr w:type="spellEnd"/>
      <w:r w:rsidRPr="00507520">
        <w:rPr>
          <w:rFonts w:ascii="Times New Roman" w:eastAsia="Times New Roman" w:hAnsi="Times New Roman" w:cs="Times New Roman"/>
          <w:sz w:val="24"/>
          <w:szCs w:val="24"/>
        </w:rPr>
        <w:t xml:space="preserve">, 1995). The greater range of </w:t>
      </w:r>
      <w:proofErr w:type="spellStart"/>
      <w:r w:rsidRPr="00507520">
        <w:rPr>
          <w:rFonts w:ascii="Times New Roman" w:eastAsia="Times New Roman" w:hAnsi="Times New Roman" w:cs="Times New Roman"/>
          <w:sz w:val="24"/>
          <w:szCs w:val="24"/>
        </w:rPr>
        <w:t>δD</w:t>
      </w:r>
      <w:proofErr w:type="spellEnd"/>
      <w:r w:rsidRPr="00507520">
        <w:rPr>
          <w:rFonts w:ascii="Times New Roman" w:eastAsia="Times New Roman" w:hAnsi="Times New Roman" w:cs="Times New Roman"/>
          <w:sz w:val="24"/>
          <w:szCs w:val="24"/>
        </w:rPr>
        <w:t xml:space="preserve"> values and distinct chemical reactivity of hydrogen make compound-specific hydrogen isotope data a valuable complement to δ</w:t>
      </w:r>
      <w:r w:rsidRPr="00507520">
        <w:rPr>
          <w:rFonts w:ascii="Times New Roman" w:eastAsia="Times New Roman" w:hAnsi="Times New Roman" w:cs="Times New Roman"/>
          <w:sz w:val="24"/>
          <w:szCs w:val="24"/>
          <w:vertAlign w:val="superscript"/>
        </w:rPr>
        <w:t>13</w:t>
      </w:r>
      <w:r w:rsidRPr="00507520">
        <w:rPr>
          <w:rFonts w:ascii="Times New Roman" w:eastAsia="Times New Roman" w:hAnsi="Times New Roman" w:cs="Times New Roman"/>
          <w:sz w:val="24"/>
          <w:szCs w:val="24"/>
        </w:rPr>
        <w:t>C values in petroleum systems (Li et al., 2001).</w:t>
      </w:r>
    </w:p>
    <w:p w:rsidR="00507520" w:rsidRPr="00507520" w:rsidRDefault="00507520" w:rsidP="00507520">
      <w:pPr>
        <w:spacing w:before="100" w:beforeAutospacing="1" w:after="100" w:afterAutospacing="1" w:line="240" w:lineRule="auto"/>
        <w:rPr>
          <w:rFonts w:ascii="Times New Roman" w:eastAsia="Times New Roman" w:hAnsi="Times New Roman" w:cs="Times New Roman"/>
          <w:sz w:val="24"/>
          <w:szCs w:val="24"/>
        </w:rPr>
      </w:pPr>
      <w:r w:rsidRPr="00507520">
        <w:rPr>
          <w:rFonts w:ascii="Times New Roman" w:eastAsia="Times New Roman" w:hAnsi="Times New Roman" w:cs="Times New Roman"/>
          <w:sz w:val="24"/>
          <w:szCs w:val="24"/>
        </w:rPr>
        <w:t xml:space="preserve">Measured </w:t>
      </w:r>
      <w:proofErr w:type="spellStart"/>
      <w:r w:rsidRPr="00507520">
        <w:rPr>
          <w:rFonts w:ascii="Times New Roman" w:eastAsia="Times New Roman" w:hAnsi="Times New Roman" w:cs="Times New Roman"/>
          <w:sz w:val="24"/>
          <w:szCs w:val="24"/>
        </w:rPr>
        <w:t>δD</w:t>
      </w:r>
      <w:proofErr w:type="spellEnd"/>
      <w:r w:rsidRPr="00507520">
        <w:rPr>
          <w:rFonts w:ascii="Times New Roman" w:eastAsia="Times New Roman" w:hAnsi="Times New Roman" w:cs="Times New Roman"/>
          <w:sz w:val="24"/>
          <w:szCs w:val="24"/>
        </w:rPr>
        <w:t xml:space="preserve"> values in hydrocarbons in petroleum systems result from a combination of the isotopic composition of the source organic matter (</w:t>
      </w:r>
      <w:proofErr w:type="spellStart"/>
      <w:r w:rsidRPr="00507520">
        <w:rPr>
          <w:rFonts w:ascii="Times New Roman" w:eastAsia="Times New Roman" w:hAnsi="Times New Roman" w:cs="Times New Roman"/>
          <w:sz w:val="24"/>
          <w:szCs w:val="24"/>
        </w:rPr>
        <w:t>Hoefs</w:t>
      </w:r>
      <w:proofErr w:type="spellEnd"/>
      <w:r w:rsidRPr="00507520">
        <w:rPr>
          <w:rFonts w:ascii="Times New Roman" w:eastAsia="Times New Roman" w:hAnsi="Times New Roman" w:cs="Times New Roman"/>
          <w:sz w:val="24"/>
          <w:szCs w:val="24"/>
        </w:rPr>
        <w:t>, 1987), hydrogen exchange processes that involve D/H in water (Sessions et al., 2004) and/or clay minerals (Alexander et al., 1982), and thermal maturation processes (</w:t>
      </w:r>
      <w:proofErr w:type="spellStart"/>
      <w:r w:rsidRPr="00507520">
        <w:rPr>
          <w:rFonts w:ascii="Times New Roman" w:eastAsia="Times New Roman" w:hAnsi="Times New Roman" w:cs="Times New Roman"/>
          <w:sz w:val="24"/>
          <w:szCs w:val="24"/>
        </w:rPr>
        <w:t>Schimmelmann</w:t>
      </w:r>
      <w:proofErr w:type="spellEnd"/>
      <w:r w:rsidRPr="00507520">
        <w:rPr>
          <w:rFonts w:ascii="Times New Roman" w:eastAsia="Times New Roman" w:hAnsi="Times New Roman" w:cs="Times New Roman"/>
          <w:sz w:val="24"/>
          <w:szCs w:val="24"/>
        </w:rPr>
        <w:t xml:space="preserve"> et al., 1999; </w:t>
      </w:r>
      <w:proofErr w:type="spellStart"/>
      <w:r w:rsidRPr="00507520">
        <w:rPr>
          <w:rFonts w:ascii="Times New Roman" w:eastAsia="Times New Roman" w:hAnsi="Times New Roman" w:cs="Times New Roman"/>
          <w:sz w:val="24"/>
          <w:szCs w:val="24"/>
        </w:rPr>
        <w:t>Schimmelmann</w:t>
      </w:r>
      <w:proofErr w:type="spellEnd"/>
      <w:r w:rsidRPr="00507520">
        <w:rPr>
          <w:rFonts w:ascii="Times New Roman" w:eastAsia="Times New Roman" w:hAnsi="Times New Roman" w:cs="Times New Roman"/>
          <w:sz w:val="24"/>
          <w:szCs w:val="24"/>
        </w:rPr>
        <w:t xml:space="preserve"> et al., 2001). Additionally, water </w:t>
      </w:r>
      <w:r w:rsidRPr="00507520">
        <w:rPr>
          <w:rFonts w:ascii="Times New Roman" w:eastAsia="Times New Roman" w:hAnsi="Times New Roman" w:cs="Times New Roman"/>
          <w:sz w:val="24"/>
          <w:szCs w:val="24"/>
        </w:rPr>
        <w:lastRenderedPageBreak/>
        <w:t xml:space="preserve">washing, biodegradation, and migration all have the potential to alter </w:t>
      </w:r>
      <w:proofErr w:type="spellStart"/>
      <w:r w:rsidRPr="00507520">
        <w:rPr>
          <w:rFonts w:ascii="Times New Roman" w:eastAsia="Times New Roman" w:hAnsi="Times New Roman" w:cs="Times New Roman"/>
          <w:sz w:val="24"/>
          <w:szCs w:val="24"/>
        </w:rPr>
        <w:t>δD</w:t>
      </w:r>
      <w:proofErr w:type="spellEnd"/>
      <w:r w:rsidRPr="00507520">
        <w:rPr>
          <w:rFonts w:ascii="Times New Roman" w:eastAsia="Times New Roman" w:hAnsi="Times New Roman" w:cs="Times New Roman"/>
          <w:sz w:val="24"/>
          <w:szCs w:val="24"/>
        </w:rPr>
        <w:t xml:space="preserve"> values; however, the magnitude of these effects is not currently known (</w:t>
      </w:r>
      <w:proofErr w:type="spellStart"/>
      <w:r w:rsidRPr="00507520">
        <w:rPr>
          <w:rFonts w:ascii="Times New Roman" w:eastAsia="Times New Roman" w:hAnsi="Times New Roman" w:cs="Times New Roman"/>
          <w:sz w:val="24"/>
          <w:szCs w:val="24"/>
        </w:rPr>
        <w:t>Schimmelmann</w:t>
      </w:r>
      <w:proofErr w:type="spellEnd"/>
      <w:r w:rsidRPr="00507520">
        <w:rPr>
          <w:rFonts w:ascii="Times New Roman" w:eastAsia="Times New Roman" w:hAnsi="Times New Roman" w:cs="Times New Roman"/>
          <w:sz w:val="24"/>
          <w:szCs w:val="24"/>
        </w:rPr>
        <w:t xml:space="preserve"> et al., 2005). Variability in climate and ecological assemblage associated with the deposition of coals and peat have been suggested as contributory factors to the observed range of </w:t>
      </w:r>
      <w:proofErr w:type="spellStart"/>
      <w:r w:rsidRPr="00507520">
        <w:rPr>
          <w:rFonts w:ascii="Times New Roman" w:eastAsia="Times New Roman" w:hAnsi="Times New Roman" w:cs="Times New Roman"/>
          <w:sz w:val="24"/>
          <w:szCs w:val="24"/>
        </w:rPr>
        <w:t>δD</w:t>
      </w:r>
      <w:proofErr w:type="spellEnd"/>
      <w:r w:rsidRPr="00507520">
        <w:rPr>
          <w:rFonts w:ascii="Times New Roman" w:eastAsia="Times New Roman" w:hAnsi="Times New Roman" w:cs="Times New Roman"/>
          <w:sz w:val="24"/>
          <w:szCs w:val="24"/>
        </w:rPr>
        <w:t xml:space="preserve"> values in biomarker compounds extracted from preserved organic matter (</w:t>
      </w:r>
      <w:proofErr w:type="spellStart"/>
      <w:r w:rsidRPr="00507520">
        <w:rPr>
          <w:rFonts w:ascii="Times New Roman" w:eastAsia="Times New Roman" w:hAnsi="Times New Roman" w:cs="Times New Roman"/>
          <w:sz w:val="24"/>
          <w:szCs w:val="24"/>
        </w:rPr>
        <w:t>Xie</w:t>
      </w:r>
      <w:proofErr w:type="spellEnd"/>
      <w:r w:rsidRPr="00507520">
        <w:rPr>
          <w:rFonts w:ascii="Times New Roman" w:eastAsia="Times New Roman" w:hAnsi="Times New Roman" w:cs="Times New Roman"/>
          <w:sz w:val="24"/>
          <w:szCs w:val="24"/>
        </w:rPr>
        <w:t xml:space="preserve"> et al., 2000; Dawson et al., 2004). Extensive exchange of hydrogen atoms between deuterated water and kerogen has been found during hydrous pyrolysis experiments (</w:t>
      </w:r>
      <w:proofErr w:type="spellStart"/>
      <w:r w:rsidRPr="00507520">
        <w:rPr>
          <w:rFonts w:ascii="Times New Roman" w:eastAsia="Times New Roman" w:hAnsi="Times New Roman" w:cs="Times New Roman"/>
          <w:sz w:val="24"/>
          <w:szCs w:val="24"/>
        </w:rPr>
        <w:t>Hoering</w:t>
      </w:r>
      <w:proofErr w:type="spellEnd"/>
      <w:r w:rsidRPr="00507520">
        <w:rPr>
          <w:rFonts w:ascii="Times New Roman" w:eastAsia="Times New Roman" w:hAnsi="Times New Roman" w:cs="Times New Roman"/>
          <w:sz w:val="24"/>
          <w:szCs w:val="24"/>
        </w:rPr>
        <w:t xml:space="preserve">, 1984). Subsequently, </w:t>
      </w:r>
      <w:proofErr w:type="spellStart"/>
      <w:r w:rsidRPr="00507520">
        <w:rPr>
          <w:rFonts w:ascii="Times New Roman" w:eastAsia="Times New Roman" w:hAnsi="Times New Roman" w:cs="Times New Roman"/>
          <w:sz w:val="24"/>
          <w:szCs w:val="24"/>
        </w:rPr>
        <w:t>Schimmelmann</w:t>
      </w:r>
      <w:proofErr w:type="spellEnd"/>
      <w:r w:rsidRPr="00507520">
        <w:rPr>
          <w:rFonts w:ascii="Times New Roman" w:eastAsia="Times New Roman" w:hAnsi="Times New Roman" w:cs="Times New Roman"/>
          <w:sz w:val="24"/>
          <w:szCs w:val="24"/>
        </w:rPr>
        <w:t xml:space="preserve"> et al. (1999) used experimental results and isotopic mass-balance calculations to show that, with increasing temperature and time, the amount of carbon-bound hydrogen in hydrocarbons is increasingly derived from water. The authors also concluded that the magnitude of this effect is greatest for kerogen-water, followed by bitumen-water, and smallest for oil-water systems. There is additional experimental evidence to suggest that the water/rock ratio is an important control on water-hydrocarbon hydrogen exchange (</w:t>
      </w:r>
      <w:proofErr w:type="spellStart"/>
      <w:r w:rsidRPr="00507520">
        <w:rPr>
          <w:rFonts w:ascii="Times New Roman" w:eastAsia="Times New Roman" w:hAnsi="Times New Roman" w:cs="Times New Roman"/>
          <w:sz w:val="24"/>
          <w:szCs w:val="24"/>
        </w:rPr>
        <w:t>Schimmelmann</w:t>
      </w:r>
      <w:proofErr w:type="spellEnd"/>
      <w:r w:rsidRPr="00507520">
        <w:rPr>
          <w:rFonts w:ascii="Times New Roman" w:eastAsia="Times New Roman" w:hAnsi="Times New Roman" w:cs="Times New Roman"/>
          <w:sz w:val="24"/>
          <w:szCs w:val="24"/>
        </w:rPr>
        <w:t xml:space="preserve"> et al., 2001). Exchange of carbon-bound hydrogen may also involve labile hydrogen associated with clay minerals, and experimental work on aromatic hydrocarbons and acidic clay surfaces found exchange reactions occurring extremely fast at temperatures as low as 23°C (Alexander et al., 1982). Despite the occurrence of hydrogen exchange between water and hydrocarbons, there still appears to be a strong correlation between </w:t>
      </w:r>
      <w:proofErr w:type="spellStart"/>
      <w:r w:rsidRPr="00507520">
        <w:rPr>
          <w:rFonts w:ascii="Times New Roman" w:eastAsia="Times New Roman" w:hAnsi="Times New Roman" w:cs="Times New Roman"/>
          <w:sz w:val="24"/>
          <w:szCs w:val="24"/>
        </w:rPr>
        <w:t>δD</w:t>
      </w:r>
      <w:proofErr w:type="spellEnd"/>
      <w:r w:rsidRPr="00507520">
        <w:rPr>
          <w:rFonts w:ascii="Times New Roman" w:eastAsia="Times New Roman" w:hAnsi="Times New Roman" w:cs="Times New Roman"/>
          <w:sz w:val="24"/>
          <w:szCs w:val="24"/>
        </w:rPr>
        <w:t xml:space="preserve"> values of oils and their source kerogens, and a recent study of 45 oils showed no correlation between formation water and whole oil </w:t>
      </w:r>
      <w:proofErr w:type="spellStart"/>
      <w:r w:rsidRPr="00507520">
        <w:rPr>
          <w:rFonts w:ascii="Times New Roman" w:eastAsia="Times New Roman" w:hAnsi="Times New Roman" w:cs="Times New Roman"/>
          <w:sz w:val="24"/>
          <w:szCs w:val="24"/>
        </w:rPr>
        <w:t>δD</w:t>
      </w:r>
      <w:proofErr w:type="spellEnd"/>
      <w:r w:rsidRPr="00507520">
        <w:rPr>
          <w:rFonts w:ascii="Times New Roman" w:eastAsia="Times New Roman" w:hAnsi="Times New Roman" w:cs="Times New Roman"/>
          <w:sz w:val="24"/>
          <w:szCs w:val="24"/>
        </w:rPr>
        <w:t xml:space="preserve"> values (</w:t>
      </w:r>
      <w:proofErr w:type="spellStart"/>
      <w:r w:rsidRPr="00507520">
        <w:rPr>
          <w:rFonts w:ascii="Times New Roman" w:eastAsia="Times New Roman" w:hAnsi="Times New Roman" w:cs="Times New Roman"/>
          <w:sz w:val="24"/>
          <w:szCs w:val="24"/>
        </w:rPr>
        <w:t>Schimmelmann</w:t>
      </w:r>
      <w:proofErr w:type="spellEnd"/>
      <w:r w:rsidRPr="00507520">
        <w:rPr>
          <w:rFonts w:ascii="Times New Roman" w:eastAsia="Times New Roman" w:hAnsi="Times New Roman" w:cs="Times New Roman"/>
          <w:sz w:val="24"/>
          <w:szCs w:val="24"/>
        </w:rPr>
        <w:t xml:space="preserve"> et al., 2005). The precise magnitude and mechanisms for isotopic fractionation of D/H during thermal maturation of hydrocarbons are not known; however, the loss of D-depleted light hydrocarbons is undoubtedly a contributory factor (</w:t>
      </w:r>
      <w:proofErr w:type="spellStart"/>
      <w:r w:rsidRPr="00507520">
        <w:rPr>
          <w:rFonts w:ascii="Times New Roman" w:eastAsia="Times New Roman" w:hAnsi="Times New Roman" w:cs="Times New Roman"/>
          <w:sz w:val="24"/>
          <w:szCs w:val="24"/>
        </w:rPr>
        <w:t>Schoell</w:t>
      </w:r>
      <w:proofErr w:type="spellEnd"/>
      <w:r w:rsidRPr="00507520">
        <w:rPr>
          <w:rFonts w:ascii="Times New Roman" w:eastAsia="Times New Roman" w:hAnsi="Times New Roman" w:cs="Times New Roman"/>
          <w:sz w:val="24"/>
          <w:szCs w:val="24"/>
        </w:rPr>
        <w:t>, 1984).</w:t>
      </w:r>
    </w:p>
    <w:p w:rsidR="00507520" w:rsidRPr="00507520" w:rsidRDefault="00507520" w:rsidP="00507520">
      <w:pPr>
        <w:spacing w:before="100" w:beforeAutospacing="1" w:after="100" w:afterAutospacing="1" w:line="240" w:lineRule="auto"/>
        <w:rPr>
          <w:rFonts w:ascii="Times New Roman" w:eastAsia="Times New Roman" w:hAnsi="Times New Roman" w:cs="Times New Roman"/>
          <w:sz w:val="24"/>
          <w:szCs w:val="24"/>
        </w:rPr>
      </w:pPr>
      <w:r w:rsidRPr="00507520">
        <w:rPr>
          <w:rFonts w:ascii="Times New Roman" w:eastAsia="Times New Roman" w:hAnsi="Times New Roman" w:cs="Times New Roman"/>
          <w:sz w:val="24"/>
          <w:szCs w:val="24"/>
        </w:rPr>
        <w:t>The interpretation of D/H values determined on petroleum hydrocarbons requires an understanding of the relative significance of the various factors that influence isotopic composition; however, it is difficult to quantitatively differentiate between hydrogen exchange reactions between carbon-bound hydrogen and water (and/or clay minerals) and fractionation associated purely with thermal alteration. To attempt to address this problem, an independent assessment of isotope effects due to thermal alteration on crude oil alone (i.e., in the absence of water or other minerals containing exchangeable hydrogen) should provide useful information. While all crude oils contain some small amount of water, this is significantly less than the amount generally added during hydrous pyrolysis experiments, and substantially less than the amount of formation water found in typical reservoir settings. Based on mass balance calculations, it has been shown that the small amount of water contained within a hydrophobic crude oil sample has a negligible effect on the overall observed hydrocarbon D/H ratios (</w:t>
      </w:r>
      <w:proofErr w:type="spellStart"/>
      <w:r w:rsidRPr="00507520">
        <w:rPr>
          <w:rFonts w:ascii="Times New Roman" w:eastAsia="Times New Roman" w:hAnsi="Times New Roman" w:cs="Times New Roman"/>
          <w:sz w:val="24"/>
          <w:szCs w:val="24"/>
        </w:rPr>
        <w:t>Schimmelmann</w:t>
      </w:r>
      <w:proofErr w:type="spellEnd"/>
      <w:r w:rsidRPr="00507520">
        <w:rPr>
          <w:rFonts w:ascii="Times New Roman" w:eastAsia="Times New Roman" w:hAnsi="Times New Roman" w:cs="Times New Roman"/>
          <w:sz w:val="24"/>
          <w:szCs w:val="24"/>
        </w:rPr>
        <w:t xml:space="preserve"> et al., 1999).</w:t>
      </w:r>
    </w:p>
    <w:p w:rsidR="00507520" w:rsidRPr="00507520" w:rsidRDefault="00507520" w:rsidP="00507520">
      <w:pPr>
        <w:spacing w:before="100" w:beforeAutospacing="1" w:after="100" w:afterAutospacing="1" w:line="240" w:lineRule="auto"/>
        <w:rPr>
          <w:rFonts w:ascii="Times New Roman" w:eastAsia="Times New Roman" w:hAnsi="Times New Roman" w:cs="Times New Roman"/>
          <w:sz w:val="24"/>
          <w:szCs w:val="24"/>
        </w:rPr>
      </w:pPr>
      <w:r w:rsidRPr="00507520">
        <w:rPr>
          <w:rFonts w:ascii="Times New Roman" w:eastAsia="Times New Roman" w:hAnsi="Times New Roman" w:cs="Times New Roman"/>
          <w:sz w:val="24"/>
          <w:szCs w:val="24"/>
        </w:rPr>
        <w:t xml:space="preserve">The main aim of the present study was to measure and model the effect of thermal maturation on both hydrogen and carbon isotopic fractionation for individual </w:t>
      </w:r>
      <w:r w:rsidRPr="00507520">
        <w:rPr>
          <w:rFonts w:ascii="Times New Roman" w:eastAsia="Times New Roman" w:hAnsi="Times New Roman" w:cs="Times New Roman"/>
          <w:i/>
          <w:iCs/>
          <w:sz w:val="24"/>
          <w:szCs w:val="24"/>
        </w:rPr>
        <w:t>n</w:t>
      </w:r>
      <w:r w:rsidRPr="00507520">
        <w:rPr>
          <w:rFonts w:ascii="Times New Roman" w:eastAsia="Times New Roman" w:hAnsi="Times New Roman" w:cs="Times New Roman"/>
          <w:sz w:val="24"/>
          <w:szCs w:val="24"/>
        </w:rPr>
        <w:t xml:space="preserve">-alkanes in petroleum by performing a series of controlled laboratory heating experiments on a produced oil sample in the absence of additional water (the oil contains 0.04% water). Additional pyrolysis experiments were performed on pure </w:t>
      </w:r>
      <w:r w:rsidRPr="00507520">
        <w:rPr>
          <w:rFonts w:ascii="Times New Roman" w:eastAsia="Times New Roman" w:hAnsi="Times New Roman" w:cs="Times New Roman"/>
          <w:i/>
          <w:iCs/>
          <w:sz w:val="24"/>
          <w:szCs w:val="24"/>
        </w:rPr>
        <w:t>n</w:t>
      </w:r>
      <w:r w:rsidRPr="00507520">
        <w:rPr>
          <w:rFonts w:ascii="Times New Roman" w:eastAsia="Times New Roman" w:hAnsi="Times New Roman" w:cs="Times New Roman"/>
          <w:sz w:val="24"/>
          <w:szCs w:val="24"/>
        </w:rPr>
        <w:t xml:space="preserve">-alkanes, extracted from the same oil, to confirm the assertion that isotopic exchange between saturated hydrocarbons and water contained in the oil is insignificant and to remove all other potentially reactive species in the oil matrix (e.g., aromatics, asphaltenes). These laboratory results and additional quantum mechanical calculations were used to constrain a kinetic model of thermally induced hydrogen and carbon isotopic fractionation in individual </w:t>
      </w:r>
      <w:r w:rsidRPr="00507520">
        <w:rPr>
          <w:rFonts w:ascii="Times New Roman" w:eastAsia="Times New Roman" w:hAnsi="Times New Roman" w:cs="Times New Roman"/>
          <w:i/>
          <w:iCs/>
          <w:sz w:val="24"/>
          <w:szCs w:val="24"/>
        </w:rPr>
        <w:t>n</w:t>
      </w:r>
      <w:r w:rsidRPr="00507520">
        <w:rPr>
          <w:rFonts w:ascii="Times New Roman" w:eastAsia="Times New Roman" w:hAnsi="Times New Roman" w:cs="Times New Roman"/>
          <w:sz w:val="24"/>
          <w:szCs w:val="24"/>
        </w:rPr>
        <w:t xml:space="preserve">-alkanes. The results obtained from this work provide an initial estimate of the relative importance of the isotopic fractionations associated with thermal maturation of hydrocarbons. This will help to improve our level of understanding of the controls on isotopic variability in oils and </w:t>
      </w:r>
      <w:proofErr w:type="spellStart"/>
      <w:r w:rsidRPr="00507520">
        <w:rPr>
          <w:rFonts w:ascii="Times New Roman" w:eastAsia="Times New Roman" w:hAnsi="Times New Roman" w:cs="Times New Roman"/>
          <w:sz w:val="24"/>
          <w:szCs w:val="24"/>
        </w:rPr>
        <w:t>bitumens</w:t>
      </w:r>
      <w:proofErr w:type="spellEnd"/>
      <w:r w:rsidRPr="00507520">
        <w:rPr>
          <w:rFonts w:ascii="Times New Roman" w:eastAsia="Times New Roman" w:hAnsi="Times New Roman" w:cs="Times New Roman"/>
          <w:sz w:val="24"/>
          <w:szCs w:val="24"/>
        </w:rPr>
        <w:t xml:space="preserve">, which is an essential requirement for proper interpretation of carbon and hydrogen stable isotopic compositions </w:t>
      </w:r>
      <w:r w:rsidRPr="00507520">
        <w:rPr>
          <w:rFonts w:ascii="Times New Roman" w:eastAsia="Times New Roman" w:hAnsi="Times New Roman" w:cs="Times New Roman"/>
          <w:sz w:val="24"/>
          <w:szCs w:val="24"/>
        </w:rPr>
        <w:lastRenderedPageBreak/>
        <w:t>of petroleum hydrocarbons (e.g., oil-oil correlations and thermal history assessment of high-maturity oils).</w:t>
      </w:r>
    </w:p>
    <w:p w:rsidR="00507520" w:rsidRPr="00507520" w:rsidRDefault="00507520" w:rsidP="00507520">
      <w:pPr>
        <w:spacing w:before="100" w:beforeAutospacing="1" w:after="100" w:afterAutospacing="1" w:line="240" w:lineRule="auto"/>
        <w:outlineLvl w:val="1"/>
        <w:rPr>
          <w:rFonts w:ascii="Times New Roman" w:eastAsia="Times New Roman" w:hAnsi="Times New Roman" w:cs="Times New Roman"/>
          <w:b/>
          <w:bCs/>
          <w:sz w:val="36"/>
          <w:szCs w:val="36"/>
        </w:rPr>
      </w:pPr>
      <w:r w:rsidRPr="00507520">
        <w:rPr>
          <w:rFonts w:ascii="Times New Roman" w:eastAsia="Times New Roman" w:hAnsi="Times New Roman" w:cs="Times New Roman"/>
          <w:b/>
          <w:bCs/>
          <w:sz w:val="36"/>
          <w:szCs w:val="36"/>
        </w:rPr>
        <w:t>Section snippets</w:t>
      </w:r>
    </w:p>
    <w:p w:rsidR="00507520" w:rsidRPr="00507520" w:rsidRDefault="00507520" w:rsidP="00507520">
      <w:pPr>
        <w:spacing w:before="100" w:beforeAutospacing="1" w:after="100" w:afterAutospacing="1" w:line="240" w:lineRule="auto"/>
        <w:outlineLvl w:val="1"/>
        <w:rPr>
          <w:rFonts w:ascii="Times New Roman" w:eastAsia="Times New Roman" w:hAnsi="Times New Roman" w:cs="Times New Roman"/>
          <w:b/>
          <w:bCs/>
          <w:sz w:val="36"/>
          <w:szCs w:val="36"/>
        </w:rPr>
      </w:pPr>
      <w:r w:rsidRPr="00507520">
        <w:rPr>
          <w:rFonts w:ascii="Times New Roman" w:eastAsia="Times New Roman" w:hAnsi="Times New Roman" w:cs="Times New Roman"/>
          <w:b/>
          <w:bCs/>
          <w:sz w:val="36"/>
          <w:szCs w:val="36"/>
        </w:rPr>
        <w:t>Samples</w:t>
      </w:r>
    </w:p>
    <w:p w:rsidR="00507520" w:rsidRPr="00507520" w:rsidRDefault="00507520" w:rsidP="00507520">
      <w:pPr>
        <w:spacing w:before="100" w:beforeAutospacing="1" w:after="100" w:afterAutospacing="1" w:line="240" w:lineRule="auto"/>
        <w:rPr>
          <w:rFonts w:ascii="Times New Roman" w:eastAsia="Times New Roman" w:hAnsi="Times New Roman" w:cs="Times New Roman"/>
          <w:sz w:val="24"/>
          <w:szCs w:val="24"/>
        </w:rPr>
      </w:pPr>
      <w:r w:rsidRPr="00507520">
        <w:rPr>
          <w:rFonts w:ascii="Times New Roman" w:eastAsia="Times New Roman" w:hAnsi="Times New Roman" w:cs="Times New Roman"/>
          <w:sz w:val="24"/>
          <w:szCs w:val="24"/>
        </w:rPr>
        <w:t>A produced oil sample from the North Sea was used for artificial thermal maturation experiments. Selected bulk chemistry, physical properties, and molecular data for this oil are presented in Table 1.</w:t>
      </w:r>
    </w:p>
    <w:p w:rsidR="00507520" w:rsidRPr="00507520" w:rsidRDefault="00507520" w:rsidP="00507520">
      <w:pPr>
        <w:spacing w:before="100" w:beforeAutospacing="1" w:after="100" w:afterAutospacing="1" w:line="240" w:lineRule="auto"/>
        <w:outlineLvl w:val="1"/>
        <w:rPr>
          <w:rFonts w:ascii="Times New Roman" w:eastAsia="Times New Roman" w:hAnsi="Times New Roman" w:cs="Times New Roman"/>
          <w:b/>
          <w:bCs/>
          <w:sz w:val="36"/>
          <w:szCs w:val="36"/>
        </w:rPr>
      </w:pPr>
      <w:r w:rsidRPr="00507520">
        <w:rPr>
          <w:rFonts w:ascii="Times New Roman" w:eastAsia="Times New Roman" w:hAnsi="Times New Roman" w:cs="Times New Roman"/>
          <w:b/>
          <w:bCs/>
          <w:sz w:val="36"/>
          <w:szCs w:val="36"/>
        </w:rPr>
        <w:t>Crude oil</w:t>
      </w:r>
    </w:p>
    <w:p w:rsidR="00507520" w:rsidRPr="00507520" w:rsidRDefault="00507520" w:rsidP="00507520">
      <w:pPr>
        <w:spacing w:before="100" w:beforeAutospacing="1" w:after="100" w:afterAutospacing="1" w:line="240" w:lineRule="auto"/>
        <w:rPr>
          <w:rFonts w:ascii="Times New Roman" w:eastAsia="Times New Roman" w:hAnsi="Times New Roman" w:cs="Times New Roman"/>
          <w:sz w:val="24"/>
          <w:szCs w:val="24"/>
        </w:rPr>
      </w:pPr>
      <w:r w:rsidRPr="00507520">
        <w:rPr>
          <w:rFonts w:ascii="Times New Roman" w:eastAsia="Times New Roman" w:hAnsi="Times New Roman" w:cs="Times New Roman"/>
          <w:sz w:val="24"/>
          <w:szCs w:val="24"/>
        </w:rPr>
        <w:t>Oil pyrolysis experiments were performed under anhydrous, closed-system conditions using sealed gold reactor tubes. Details of the apparatus employed are published elsewhere (Tang and Behar, 1995). In this work, 60 mm x 3.5 mm i.d. gold tubes (wall thickness 0.35 mm) were heated to 650°C (30 min)</w:t>
      </w:r>
    </w:p>
    <w:p w:rsidR="00507520" w:rsidRPr="00507520" w:rsidRDefault="00507520" w:rsidP="00507520">
      <w:pPr>
        <w:spacing w:before="100" w:beforeAutospacing="1" w:after="100" w:afterAutospacing="1" w:line="240" w:lineRule="auto"/>
        <w:outlineLvl w:val="1"/>
        <w:rPr>
          <w:rFonts w:ascii="Times New Roman" w:eastAsia="Times New Roman" w:hAnsi="Times New Roman" w:cs="Times New Roman"/>
          <w:b/>
          <w:bCs/>
          <w:sz w:val="36"/>
          <w:szCs w:val="36"/>
        </w:rPr>
      </w:pPr>
      <w:r w:rsidRPr="00507520">
        <w:rPr>
          <w:rFonts w:ascii="Times New Roman" w:eastAsia="Times New Roman" w:hAnsi="Times New Roman" w:cs="Times New Roman"/>
          <w:b/>
          <w:bCs/>
          <w:i/>
          <w:iCs/>
          <w:sz w:val="36"/>
          <w:szCs w:val="36"/>
        </w:rPr>
        <w:t>n</w:t>
      </w:r>
      <w:r w:rsidRPr="00507520">
        <w:rPr>
          <w:rFonts w:ascii="Times New Roman" w:eastAsia="Times New Roman" w:hAnsi="Times New Roman" w:cs="Times New Roman"/>
          <w:b/>
          <w:bCs/>
          <w:sz w:val="36"/>
          <w:szCs w:val="36"/>
        </w:rPr>
        <w:t>-Alkane Concentrations in Oil Pyrolysis Experiments</w:t>
      </w:r>
    </w:p>
    <w:p w:rsidR="00507520" w:rsidRPr="00507520" w:rsidRDefault="00507520" w:rsidP="00507520">
      <w:pPr>
        <w:spacing w:before="100" w:beforeAutospacing="1" w:after="100" w:afterAutospacing="1" w:line="240" w:lineRule="auto"/>
        <w:rPr>
          <w:rFonts w:ascii="Times New Roman" w:eastAsia="Times New Roman" w:hAnsi="Times New Roman" w:cs="Times New Roman"/>
          <w:sz w:val="24"/>
          <w:szCs w:val="24"/>
        </w:rPr>
      </w:pPr>
      <w:r w:rsidRPr="00507520">
        <w:rPr>
          <w:rFonts w:ascii="Times New Roman" w:eastAsia="Times New Roman" w:hAnsi="Times New Roman" w:cs="Times New Roman"/>
          <w:sz w:val="24"/>
          <w:szCs w:val="24"/>
        </w:rPr>
        <w:t xml:space="preserve">Gas chromatograms of </w:t>
      </w:r>
      <w:r w:rsidRPr="00507520">
        <w:rPr>
          <w:rFonts w:ascii="Times New Roman" w:eastAsia="Times New Roman" w:hAnsi="Times New Roman" w:cs="Times New Roman"/>
          <w:i/>
          <w:iCs/>
          <w:sz w:val="24"/>
          <w:szCs w:val="24"/>
        </w:rPr>
        <w:t>n</w:t>
      </w:r>
      <w:r w:rsidRPr="00507520">
        <w:rPr>
          <w:rFonts w:ascii="Times New Roman" w:eastAsia="Times New Roman" w:hAnsi="Times New Roman" w:cs="Times New Roman"/>
          <w:sz w:val="24"/>
          <w:szCs w:val="24"/>
        </w:rPr>
        <w:t xml:space="preserve">-hexane soluble fractions isolated from the original North Sea oil and </w:t>
      </w:r>
      <w:proofErr w:type="spellStart"/>
      <w:r w:rsidRPr="00507520">
        <w:rPr>
          <w:rFonts w:ascii="Times New Roman" w:eastAsia="Times New Roman" w:hAnsi="Times New Roman" w:cs="Times New Roman"/>
          <w:sz w:val="24"/>
          <w:szCs w:val="24"/>
        </w:rPr>
        <w:t>pyrolysates</w:t>
      </w:r>
      <w:proofErr w:type="spellEnd"/>
      <w:r w:rsidRPr="00507520">
        <w:rPr>
          <w:rFonts w:ascii="Times New Roman" w:eastAsia="Times New Roman" w:hAnsi="Times New Roman" w:cs="Times New Roman"/>
          <w:sz w:val="24"/>
          <w:szCs w:val="24"/>
        </w:rPr>
        <w:t xml:space="preserve"> obtained after heating subsamples to various temperatures over the range 390 to 460°C (at 10°C h</w:t>
      </w:r>
      <w:r w:rsidRPr="00507520">
        <w:rPr>
          <w:rFonts w:ascii="Times New Roman" w:eastAsia="Times New Roman" w:hAnsi="Times New Roman" w:cs="Times New Roman"/>
          <w:sz w:val="24"/>
          <w:szCs w:val="24"/>
          <w:vertAlign w:val="superscript"/>
        </w:rPr>
        <w:t>-1</w:t>
      </w:r>
      <w:r w:rsidRPr="00507520">
        <w:rPr>
          <w:rFonts w:ascii="Times New Roman" w:eastAsia="Times New Roman" w:hAnsi="Times New Roman" w:cs="Times New Roman"/>
          <w:sz w:val="24"/>
          <w:szCs w:val="24"/>
        </w:rPr>
        <w:t>) are presented in Figure 1, and the concentrations of the C</w:t>
      </w:r>
      <w:r w:rsidRPr="00507520">
        <w:rPr>
          <w:rFonts w:ascii="Times New Roman" w:eastAsia="Times New Roman" w:hAnsi="Times New Roman" w:cs="Times New Roman"/>
          <w:sz w:val="24"/>
          <w:szCs w:val="24"/>
          <w:vertAlign w:val="subscript"/>
        </w:rPr>
        <w:t>13</w:t>
      </w:r>
      <w:r w:rsidRPr="00507520">
        <w:rPr>
          <w:rFonts w:ascii="Times New Roman" w:eastAsia="Times New Roman" w:hAnsi="Times New Roman" w:cs="Times New Roman"/>
          <w:sz w:val="24"/>
          <w:szCs w:val="24"/>
        </w:rPr>
        <w:t xml:space="preserve"> to C</w:t>
      </w:r>
      <w:r w:rsidRPr="00507520">
        <w:rPr>
          <w:rFonts w:ascii="Times New Roman" w:eastAsia="Times New Roman" w:hAnsi="Times New Roman" w:cs="Times New Roman"/>
          <w:sz w:val="24"/>
          <w:szCs w:val="24"/>
          <w:vertAlign w:val="subscript"/>
        </w:rPr>
        <w:t>21</w:t>
      </w:r>
      <w:r w:rsidRPr="00507520">
        <w:rPr>
          <w:rFonts w:ascii="Times New Roman" w:eastAsia="Times New Roman" w:hAnsi="Times New Roman" w:cs="Times New Roman"/>
          <w:sz w:val="24"/>
          <w:szCs w:val="24"/>
        </w:rPr>
        <w:t xml:space="preserve"> </w:t>
      </w:r>
      <w:r w:rsidRPr="00507520">
        <w:rPr>
          <w:rFonts w:ascii="Times New Roman" w:eastAsia="Times New Roman" w:hAnsi="Times New Roman" w:cs="Times New Roman"/>
          <w:i/>
          <w:iCs/>
          <w:sz w:val="24"/>
          <w:szCs w:val="24"/>
        </w:rPr>
        <w:t>n</w:t>
      </w:r>
      <w:r w:rsidRPr="00507520">
        <w:rPr>
          <w:rFonts w:ascii="Times New Roman" w:eastAsia="Times New Roman" w:hAnsi="Times New Roman" w:cs="Times New Roman"/>
          <w:sz w:val="24"/>
          <w:szCs w:val="24"/>
        </w:rPr>
        <w:t>-alkanes are included in Table 2. Distributions of C</w:t>
      </w:r>
      <w:r w:rsidRPr="00507520">
        <w:rPr>
          <w:rFonts w:ascii="Times New Roman" w:eastAsia="Times New Roman" w:hAnsi="Times New Roman" w:cs="Times New Roman"/>
          <w:sz w:val="24"/>
          <w:szCs w:val="24"/>
          <w:vertAlign w:val="subscript"/>
        </w:rPr>
        <w:t>11</w:t>
      </w:r>
      <w:r w:rsidRPr="00507520">
        <w:rPr>
          <w:rFonts w:ascii="Times New Roman" w:eastAsia="Times New Roman" w:hAnsi="Times New Roman" w:cs="Times New Roman"/>
          <w:sz w:val="24"/>
          <w:szCs w:val="24"/>
        </w:rPr>
        <w:t xml:space="preserve"> to C</w:t>
      </w:r>
      <w:r w:rsidRPr="00507520">
        <w:rPr>
          <w:rFonts w:ascii="Times New Roman" w:eastAsia="Times New Roman" w:hAnsi="Times New Roman" w:cs="Times New Roman"/>
          <w:sz w:val="24"/>
          <w:szCs w:val="24"/>
          <w:vertAlign w:val="subscript"/>
        </w:rPr>
        <w:t>35</w:t>
      </w:r>
      <w:r w:rsidRPr="00507520">
        <w:rPr>
          <w:rFonts w:ascii="Times New Roman" w:eastAsia="Times New Roman" w:hAnsi="Times New Roman" w:cs="Times New Roman"/>
          <w:sz w:val="24"/>
          <w:szCs w:val="24"/>
        </w:rPr>
        <w:t xml:space="preserve"> </w:t>
      </w:r>
      <w:r w:rsidRPr="00507520">
        <w:rPr>
          <w:rFonts w:ascii="Times New Roman" w:eastAsia="Times New Roman" w:hAnsi="Times New Roman" w:cs="Times New Roman"/>
          <w:i/>
          <w:iCs/>
          <w:sz w:val="24"/>
          <w:szCs w:val="24"/>
        </w:rPr>
        <w:t>n</w:t>
      </w:r>
      <w:r w:rsidRPr="00507520">
        <w:rPr>
          <w:rFonts w:ascii="Times New Roman" w:eastAsia="Times New Roman" w:hAnsi="Times New Roman" w:cs="Times New Roman"/>
          <w:sz w:val="24"/>
          <w:szCs w:val="24"/>
        </w:rPr>
        <w:t>-alkanes, C</w:t>
      </w:r>
      <w:r w:rsidRPr="00507520">
        <w:rPr>
          <w:rFonts w:ascii="Times New Roman" w:eastAsia="Times New Roman" w:hAnsi="Times New Roman" w:cs="Times New Roman"/>
          <w:sz w:val="24"/>
          <w:szCs w:val="24"/>
          <w:vertAlign w:val="subscript"/>
        </w:rPr>
        <w:t>13</w:t>
      </w:r>
      <w:r w:rsidRPr="00507520">
        <w:rPr>
          <w:rFonts w:ascii="Times New Roman" w:eastAsia="Times New Roman" w:hAnsi="Times New Roman" w:cs="Times New Roman"/>
          <w:sz w:val="24"/>
          <w:szCs w:val="24"/>
        </w:rPr>
        <w:t xml:space="preserve"> to C</w:t>
      </w:r>
      <w:r w:rsidRPr="00507520">
        <w:rPr>
          <w:rFonts w:ascii="Times New Roman" w:eastAsia="Times New Roman" w:hAnsi="Times New Roman" w:cs="Times New Roman"/>
          <w:sz w:val="24"/>
          <w:szCs w:val="24"/>
          <w:vertAlign w:val="subscript"/>
        </w:rPr>
        <w:t>20</w:t>
      </w:r>
      <w:r w:rsidRPr="00507520">
        <w:rPr>
          <w:rFonts w:ascii="Times New Roman" w:eastAsia="Times New Roman" w:hAnsi="Times New Roman" w:cs="Times New Roman"/>
          <w:sz w:val="24"/>
          <w:szCs w:val="24"/>
        </w:rPr>
        <w:t xml:space="preserve"> acyclic isoprenoids (including pristane [C</w:t>
      </w:r>
      <w:r w:rsidRPr="00507520">
        <w:rPr>
          <w:rFonts w:ascii="Times New Roman" w:eastAsia="Times New Roman" w:hAnsi="Times New Roman" w:cs="Times New Roman"/>
          <w:sz w:val="24"/>
          <w:szCs w:val="24"/>
          <w:vertAlign w:val="subscript"/>
        </w:rPr>
        <w:t>19</w:t>
      </w:r>
      <w:r w:rsidRPr="00507520">
        <w:rPr>
          <w:rFonts w:ascii="Times New Roman" w:eastAsia="Times New Roman" w:hAnsi="Times New Roman" w:cs="Times New Roman"/>
          <w:sz w:val="24"/>
          <w:szCs w:val="24"/>
        </w:rPr>
        <w:t>] and phytane [C</w:t>
      </w:r>
      <w:r w:rsidRPr="00507520">
        <w:rPr>
          <w:rFonts w:ascii="Times New Roman" w:eastAsia="Times New Roman" w:hAnsi="Times New Roman" w:cs="Times New Roman"/>
          <w:sz w:val="24"/>
          <w:szCs w:val="24"/>
          <w:vertAlign w:val="subscript"/>
        </w:rPr>
        <w:t>20</w:t>
      </w:r>
      <w:r w:rsidRPr="00507520">
        <w:rPr>
          <w:rFonts w:ascii="Times New Roman" w:eastAsia="Times New Roman" w:hAnsi="Times New Roman" w:cs="Times New Roman"/>
          <w:sz w:val="24"/>
          <w:szCs w:val="24"/>
        </w:rPr>
        <w:t>]), and other less prominent, chromatographically resolvable species in the</w:t>
      </w:r>
    </w:p>
    <w:p w:rsidR="00507520" w:rsidRPr="00507520" w:rsidRDefault="00507520" w:rsidP="00507520">
      <w:pPr>
        <w:spacing w:before="100" w:beforeAutospacing="1" w:after="100" w:afterAutospacing="1" w:line="240" w:lineRule="auto"/>
        <w:outlineLvl w:val="1"/>
        <w:rPr>
          <w:rFonts w:ascii="Times New Roman" w:eastAsia="Times New Roman" w:hAnsi="Times New Roman" w:cs="Times New Roman"/>
          <w:b/>
          <w:bCs/>
          <w:sz w:val="36"/>
          <w:szCs w:val="36"/>
        </w:rPr>
      </w:pPr>
      <w:r w:rsidRPr="00507520">
        <w:rPr>
          <w:rFonts w:ascii="Times New Roman" w:eastAsia="Times New Roman" w:hAnsi="Times New Roman" w:cs="Times New Roman"/>
          <w:b/>
          <w:bCs/>
          <w:sz w:val="36"/>
          <w:szCs w:val="36"/>
        </w:rPr>
        <w:t>Extrapolation to Geological Heating Conditions</w:t>
      </w:r>
    </w:p>
    <w:p w:rsidR="00507520" w:rsidRPr="00507520" w:rsidRDefault="00507520" w:rsidP="00507520">
      <w:pPr>
        <w:spacing w:before="100" w:beforeAutospacing="1" w:after="100" w:afterAutospacing="1" w:line="240" w:lineRule="auto"/>
        <w:rPr>
          <w:rFonts w:ascii="Times New Roman" w:eastAsia="Times New Roman" w:hAnsi="Times New Roman" w:cs="Times New Roman"/>
          <w:sz w:val="24"/>
          <w:szCs w:val="24"/>
        </w:rPr>
      </w:pPr>
      <w:r w:rsidRPr="00507520">
        <w:rPr>
          <w:rFonts w:ascii="Times New Roman" w:eastAsia="Times New Roman" w:hAnsi="Times New Roman" w:cs="Times New Roman"/>
          <w:sz w:val="24"/>
          <w:szCs w:val="24"/>
        </w:rPr>
        <w:t xml:space="preserve">Using the kinetic calculations derived above, we can extrapolate the fractionations of carbon and hydrogen isotopes of individual </w:t>
      </w:r>
      <w:r w:rsidRPr="00507520">
        <w:rPr>
          <w:rFonts w:ascii="Times New Roman" w:eastAsia="Times New Roman" w:hAnsi="Times New Roman" w:cs="Times New Roman"/>
          <w:i/>
          <w:iCs/>
          <w:sz w:val="24"/>
          <w:szCs w:val="24"/>
        </w:rPr>
        <w:t>n</w:t>
      </w:r>
      <w:r w:rsidRPr="00507520">
        <w:rPr>
          <w:rFonts w:ascii="Times New Roman" w:eastAsia="Times New Roman" w:hAnsi="Times New Roman" w:cs="Times New Roman"/>
          <w:sz w:val="24"/>
          <w:szCs w:val="24"/>
        </w:rPr>
        <w:t>-alkanes in the North Sea oil, observed under laboratory conditions, to typical geological heating rates. One important caveat to this type of extrapolation is that our empiric and theoretical results only account for isotopic effects associated with thermal maturation and do not address other sources of isotopic variation (e.g., isotopic exchange with formation</w:t>
      </w:r>
    </w:p>
    <w:p w:rsidR="00507520" w:rsidRPr="00507520" w:rsidRDefault="00507520" w:rsidP="00507520">
      <w:pPr>
        <w:spacing w:before="100" w:beforeAutospacing="1" w:after="100" w:afterAutospacing="1" w:line="240" w:lineRule="auto"/>
        <w:outlineLvl w:val="1"/>
        <w:rPr>
          <w:rFonts w:ascii="Times New Roman" w:eastAsia="Times New Roman" w:hAnsi="Times New Roman" w:cs="Times New Roman"/>
          <w:b/>
          <w:bCs/>
          <w:sz w:val="36"/>
          <w:szCs w:val="36"/>
        </w:rPr>
      </w:pPr>
      <w:r w:rsidRPr="00507520">
        <w:rPr>
          <w:rFonts w:ascii="Times New Roman" w:eastAsia="Times New Roman" w:hAnsi="Times New Roman" w:cs="Times New Roman"/>
          <w:b/>
          <w:bCs/>
          <w:sz w:val="36"/>
          <w:szCs w:val="36"/>
        </w:rPr>
        <w:t>Conclusions</w:t>
      </w:r>
    </w:p>
    <w:p w:rsidR="00507520" w:rsidRPr="00507520" w:rsidRDefault="00507520" w:rsidP="00507520">
      <w:pPr>
        <w:spacing w:before="100" w:beforeAutospacing="1" w:after="100" w:afterAutospacing="1" w:line="240" w:lineRule="auto"/>
        <w:rPr>
          <w:rFonts w:ascii="Times New Roman" w:eastAsia="Times New Roman" w:hAnsi="Times New Roman" w:cs="Times New Roman"/>
          <w:sz w:val="24"/>
          <w:szCs w:val="24"/>
        </w:rPr>
      </w:pPr>
      <w:r w:rsidRPr="00507520">
        <w:rPr>
          <w:rFonts w:ascii="Times New Roman" w:eastAsia="Times New Roman" w:hAnsi="Times New Roman" w:cs="Times New Roman"/>
          <w:sz w:val="24"/>
          <w:szCs w:val="24"/>
        </w:rPr>
        <w:t xml:space="preserve">Thermally induced changes in the hydrogen and carbon isotopic compositions of individual </w:t>
      </w:r>
      <w:r w:rsidRPr="00507520">
        <w:rPr>
          <w:rFonts w:ascii="Times New Roman" w:eastAsia="Times New Roman" w:hAnsi="Times New Roman" w:cs="Times New Roman"/>
          <w:i/>
          <w:iCs/>
          <w:sz w:val="24"/>
          <w:szCs w:val="24"/>
        </w:rPr>
        <w:t>n</w:t>
      </w:r>
      <w:r w:rsidRPr="00507520">
        <w:rPr>
          <w:rFonts w:ascii="Times New Roman" w:eastAsia="Times New Roman" w:hAnsi="Times New Roman" w:cs="Times New Roman"/>
          <w:sz w:val="24"/>
          <w:szCs w:val="24"/>
        </w:rPr>
        <w:t xml:space="preserve">-alkanes during primary cracking of a produced crude oil from the North Sea have been modeled based on laboratory pyrolysis data (anhydrous, closed system) and theoretical chemical kinetics computations. Pyrolysis experiments were intentionally designed to exclude additional water so as to isolate the effect of hydrocarbon cracking. Subsequent pyrolysis experiments involving urea adducted </w:t>
      </w:r>
      <w:r w:rsidRPr="00507520">
        <w:rPr>
          <w:rFonts w:ascii="Times New Roman" w:eastAsia="Times New Roman" w:hAnsi="Times New Roman" w:cs="Times New Roman"/>
          <w:i/>
          <w:iCs/>
          <w:sz w:val="24"/>
          <w:szCs w:val="24"/>
        </w:rPr>
        <w:t>n</w:t>
      </w:r>
      <w:r w:rsidRPr="00507520">
        <w:rPr>
          <w:rFonts w:ascii="Times New Roman" w:eastAsia="Times New Roman" w:hAnsi="Times New Roman" w:cs="Times New Roman"/>
          <w:sz w:val="24"/>
          <w:szCs w:val="24"/>
        </w:rPr>
        <w:t>-alkanes</w:t>
      </w:r>
    </w:p>
    <w:p w:rsidR="00507520" w:rsidRPr="00507520" w:rsidRDefault="00507520" w:rsidP="00507520">
      <w:pPr>
        <w:spacing w:before="100" w:beforeAutospacing="1" w:after="100" w:afterAutospacing="1" w:line="240" w:lineRule="auto"/>
        <w:outlineLvl w:val="1"/>
        <w:rPr>
          <w:rFonts w:ascii="Times New Roman" w:eastAsia="Times New Roman" w:hAnsi="Times New Roman" w:cs="Times New Roman"/>
          <w:b/>
          <w:bCs/>
          <w:sz w:val="36"/>
          <w:szCs w:val="36"/>
        </w:rPr>
      </w:pPr>
      <w:r w:rsidRPr="00507520">
        <w:rPr>
          <w:rFonts w:ascii="Times New Roman" w:eastAsia="Times New Roman" w:hAnsi="Times New Roman" w:cs="Times New Roman"/>
          <w:b/>
          <w:bCs/>
          <w:sz w:val="36"/>
          <w:szCs w:val="36"/>
        </w:rPr>
        <w:t>Acknowledgments</w:t>
      </w:r>
    </w:p>
    <w:p w:rsidR="00507520" w:rsidRPr="00507520" w:rsidRDefault="00507520" w:rsidP="00507520">
      <w:pPr>
        <w:spacing w:before="100" w:beforeAutospacing="1" w:after="100" w:afterAutospacing="1" w:line="240" w:lineRule="auto"/>
        <w:rPr>
          <w:rFonts w:ascii="Times New Roman" w:eastAsia="Times New Roman" w:hAnsi="Times New Roman" w:cs="Times New Roman"/>
          <w:sz w:val="24"/>
          <w:szCs w:val="24"/>
        </w:rPr>
      </w:pPr>
      <w:r w:rsidRPr="00507520">
        <w:rPr>
          <w:rFonts w:ascii="Times New Roman" w:eastAsia="Times New Roman" w:hAnsi="Times New Roman" w:cs="Times New Roman"/>
          <w:sz w:val="24"/>
          <w:szCs w:val="24"/>
        </w:rPr>
        <w:lastRenderedPageBreak/>
        <w:t xml:space="preserve">Major funding for this project was provided by the U.S. Department of Energy for the Advanced Chemistry of Basin Modeling project at the California Institute of Technology. We would like to thank Peter </w:t>
      </w:r>
      <w:proofErr w:type="spellStart"/>
      <w:r w:rsidRPr="00507520">
        <w:rPr>
          <w:rFonts w:ascii="Times New Roman" w:eastAsia="Times New Roman" w:hAnsi="Times New Roman" w:cs="Times New Roman"/>
          <w:sz w:val="24"/>
          <w:szCs w:val="24"/>
        </w:rPr>
        <w:t>Jenden</w:t>
      </w:r>
      <w:proofErr w:type="spellEnd"/>
      <w:r w:rsidRPr="00507520">
        <w:rPr>
          <w:rFonts w:ascii="Times New Roman" w:eastAsia="Times New Roman" w:hAnsi="Times New Roman" w:cs="Times New Roman"/>
          <w:sz w:val="24"/>
          <w:szCs w:val="24"/>
        </w:rPr>
        <w:t xml:space="preserve"> and Jason Perry for their early contributions to isotope fractionation modeling and all positive discussions. The manuscript was greatly improved through the editorial assistance of Roger Summons and Jeffrey Seewald, and helpful reviews were provided by Arndt </w:t>
      </w:r>
      <w:proofErr w:type="spellStart"/>
      <w:r w:rsidRPr="00507520">
        <w:rPr>
          <w:rFonts w:ascii="Times New Roman" w:eastAsia="Times New Roman" w:hAnsi="Times New Roman" w:cs="Times New Roman"/>
          <w:sz w:val="24"/>
          <w:szCs w:val="24"/>
        </w:rPr>
        <w:t>Schimmelmann</w:t>
      </w:r>
      <w:proofErr w:type="spellEnd"/>
      <w:r w:rsidRPr="00507520">
        <w:rPr>
          <w:rFonts w:ascii="Times New Roman" w:eastAsia="Times New Roman" w:hAnsi="Times New Roman" w:cs="Times New Roman"/>
          <w:sz w:val="24"/>
          <w:szCs w:val="24"/>
        </w:rPr>
        <w:t xml:space="preserve">, </w:t>
      </w:r>
      <w:proofErr w:type="spellStart"/>
      <w:r w:rsidRPr="00507520">
        <w:rPr>
          <w:rFonts w:ascii="Times New Roman" w:eastAsia="Times New Roman" w:hAnsi="Times New Roman" w:cs="Times New Roman"/>
          <w:sz w:val="24"/>
          <w:szCs w:val="24"/>
        </w:rPr>
        <w:t>Kliti</w:t>
      </w:r>
      <w:proofErr w:type="spellEnd"/>
      <w:r w:rsidRPr="00507520">
        <w:rPr>
          <w:rFonts w:ascii="Times New Roman" w:eastAsia="Times New Roman" w:hAnsi="Times New Roman" w:cs="Times New Roman"/>
          <w:sz w:val="24"/>
          <w:szCs w:val="24"/>
        </w:rPr>
        <w:t xml:space="preserve"> Grice, and </w:t>
      </w:r>
    </w:p>
    <w:p w:rsidR="00CF6A21" w:rsidRDefault="00CF6A21"/>
    <w:sectPr w:rsidR="00CF6A21">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7520"/>
    <w:rsid w:val="00507520"/>
    <w:rsid w:val="00CF6A2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902716"/>
  <w15:chartTrackingRefBased/>
  <w15:docId w15:val="{42D5E715-EECE-42CF-B14A-7113C3AF37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70387448">
      <w:bodyDiv w:val="1"/>
      <w:marLeft w:val="0"/>
      <w:marRight w:val="0"/>
      <w:marTop w:val="0"/>
      <w:marBottom w:val="0"/>
      <w:divBdr>
        <w:top w:val="none" w:sz="0" w:space="0" w:color="auto"/>
        <w:left w:val="none" w:sz="0" w:space="0" w:color="auto"/>
        <w:bottom w:val="none" w:sz="0" w:space="0" w:color="auto"/>
        <w:right w:val="none" w:sz="0" w:space="0" w:color="auto"/>
      </w:divBdr>
      <w:divsChild>
        <w:div w:id="120534179">
          <w:marLeft w:val="0"/>
          <w:marRight w:val="0"/>
          <w:marTop w:val="0"/>
          <w:marBottom w:val="0"/>
          <w:divBdr>
            <w:top w:val="none" w:sz="0" w:space="0" w:color="auto"/>
            <w:left w:val="none" w:sz="0" w:space="0" w:color="auto"/>
            <w:bottom w:val="none" w:sz="0" w:space="0" w:color="auto"/>
            <w:right w:val="none" w:sz="0" w:space="0" w:color="auto"/>
          </w:divBdr>
          <w:divsChild>
            <w:div w:id="1496996046">
              <w:marLeft w:val="0"/>
              <w:marRight w:val="0"/>
              <w:marTop w:val="0"/>
              <w:marBottom w:val="0"/>
              <w:divBdr>
                <w:top w:val="none" w:sz="0" w:space="0" w:color="auto"/>
                <w:left w:val="none" w:sz="0" w:space="0" w:color="auto"/>
                <w:bottom w:val="none" w:sz="0" w:space="0" w:color="auto"/>
                <w:right w:val="none" w:sz="0" w:space="0" w:color="auto"/>
              </w:divBdr>
              <w:divsChild>
                <w:div w:id="1745906871">
                  <w:marLeft w:val="0"/>
                  <w:marRight w:val="0"/>
                  <w:marTop w:val="0"/>
                  <w:marBottom w:val="0"/>
                  <w:divBdr>
                    <w:top w:val="none" w:sz="0" w:space="0" w:color="auto"/>
                    <w:left w:val="none" w:sz="0" w:space="0" w:color="auto"/>
                    <w:bottom w:val="none" w:sz="0" w:space="0" w:color="auto"/>
                    <w:right w:val="none" w:sz="0" w:space="0" w:color="auto"/>
                  </w:divBdr>
                  <w:divsChild>
                    <w:div w:id="964114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5437151">
          <w:marLeft w:val="0"/>
          <w:marRight w:val="0"/>
          <w:marTop w:val="0"/>
          <w:marBottom w:val="0"/>
          <w:divBdr>
            <w:top w:val="none" w:sz="0" w:space="0" w:color="auto"/>
            <w:left w:val="none" w:sz="0" w:space="0" w:color="auto"/>
            <w:bottom w:val="none" w:sz="0" w:space="0" w:color="auto"/>
            <w:right w:val="none" w:sz="0" w:space="0" w:color="auto"/>
          </w:divBdr>
          <w:divsChild>
            <w:div w:id="915818038">
              <w:marLeft w:val="0"/>
              <w:marRight w:val="0"/>
              <w:marTop w:val="0"/>
              <w:marBottom w:val="0"/>
              <w:divBdr>
                <w:top w:val="none" w:sz="0" w:space="0" w:color="auto"/>
                <w:left w:val="none" w:sz="0" w:space="0" w:color="auto"/>
                <w:bottom w:val="none" w:sz="0" w:space="0" w:color="auto"/>
                <w:right w:val="none" w:sz="0" w:space="0" w:color="auto"/>
              </w:divBdr>
              <w:divsChild>
                <w:div w:id="1559973248">
                  <w:marLeft w:val="0"/>
                  <w:marRight w:val="0"/>
                  <w:marTop w:val="0"/>
                  <w:marBottom w:val="0"/>
                  <w:divBdr>
                    <w:top w:val="none" w:sz="0" w:space="0" w:color="auto"/>
                    <w:left w:val="none" w:sz="0" w:space="0" w:color="auto"/>
                    <w:bottom w:val="none" w:sz="0" w:space="0" w:color="auto"/>
                    <w:right w:val="none" w:sz="0" w:space="0" w:color="auto"/>
                  </w:divBdr>
                  <w:divsChild>
                    <w:div w:id="1464616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0697541">
          <w:marLeft w:val="0"/>
          <w:marRight w:val="0"/>
          <w:marTop w:val="0"/>
          <w:marBottom w:val="0"/>
          <w:divBdr>
            <w:top w:val="none" w:sz="0" w:space="0" w:color="auto"/>
            <w:left w:val="none" w:sz="0" w:space="0" w:color="auto"/>
            <w:bottom w:val="none" w:sz="0" w:space="0" w:color="auto"/>
            <w:right w:val="none" w:sz="0" w:space="0" w:color="auto"/>
          </w:divBdr>
          <w:divsChild>
            <w:div w:id="1554079089">
              <w:marLeft w:val="0"/>
              <w:marRight w:val="0"/>
              <w:marTop w:val="0"/>
              <w:marBottom w:val="0"/>
              <w:divBdr>
                <w:top w:val="none" w:sz="0" w:space="0" w:color="auto"/>
                <w:left w:val="none" w:sz="0" w:space="0" w:color="auto"/>
                <w:bottom w:val="none" w:sz="0" w:space="0" w:color="auto"/>
                <w:right w:val="none" w:sz="0" w:space="0" w:color="auto"/>
              </w:divBdr>
            </w:div>
          </w:divsChild>
        </w:div>
        <w:div w:id="116527286">
          <w:marLeft w:val="0"/>
          <w:marRight w:val="0"/>
          <w:marTop w:val="0"/>
          <w:marBottom w:val="0"/>
          <w:divBdr>
            <w:top w:val="none" w:sz="0" w:space="0" w:color="auto"/>
            <w:left w:val="none" w:sz="0" w:space="0" w:color="auto"/>
            <w:bottom w:val="none" w:sz="0" w:space="0" w:color="auto"/>
            <w:right w:val="none" w:sz="0" w:space="0" w:color="auto"/>
          </w:divBdr>
          <w:divsChild>
            <w:div w:id="1820271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earth-and-planetary-sciences/cleavage" TargetMode="External"/><Relationship Id="rId3" Type="http://schemas.openxmlformats.org/officeDocument/2006/relationships/webSettings" Target="webSettings.xml"/><Relationship Id="rId7" Type="http://schemas.openxmlformats.org/officeDocument/2006/relationships/hyperlink" Target="https://www.sciencedirect.com/topics/earth-and-planetary-sciences/isotopic-fractionation"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low-molecular-weight" TargetMode="External"/><Relationship Id="rId11" Type="http://schemas.openxmlformats.org/officeDocument/2006/relationships/fontTable" Target="fontTable.xml"/><Relationship Id="rId5" Type="http://schemas.openxmlformats.org/officeDocument/2006/relationships/hyperlink" Target="https://www.sciencedirect.com/topics/earth-and-planetary-sciences/vitrinite-reflectance" TargetMode="External"/><Relationship Id="rId10" Type="http://schemas.openxmlformats.org/officeDocument/2006/relationships/hyperlink" Target="https://www.sciencedirect.com/topics/earth-and-planetary-sciences/isotopic-composition" TargetMode="External"/><Relationship Id="rId4" Type="http://schemas.openxmlformats.org/officeDocument/2006/relationships/hyperlink" Target="https://doi.org/10.1016/j.gca.2004.12.026" TargetMode="External"/><Relationship Id="rId9" Type="http://schemas.openxmlformats.org/officeDocument/2006/relationships/hyperlink" Target="https://www.sciencedirect.com/topics/earth-and-planetary-sciences/thermal-alterat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2382</Words>
  <Characters>13579</Characters>
  <Application>Microsoft Office Word</Application>
  <DocSecurity>0</DocSecurity>
  <Lines>113</Lines>
  <Paragraphs>31</Paragraphs>
  <ScaleCrop>false</ScaleCrop>
  <Company/>
  <LinksUpToDate>false</LinksUpToDate>
  <CharactersWithSpaces>15930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2023-11-18T02:56:00Z</dcterms:created>
  <dcterms:modified xsi:type="dcterms:W3CDTF">2023-11-18T02:56:00Z</dcterms:modified>
</cp:coreProperties>
</file>