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7520" w:rsidRPr="00507520" w:rsidRDefault="00507520" w:rsidP="0050752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7520">
        <w:rPr>
          <w:rFonts w:ascii="Times New Roman" w:eastAsia="Times New Roman" w:hAnsi="Times New Roman" w:cs="Times New Roman"/>
          <w:b/>
          <w:bCs/>
          <w:kern w:val="36"/>
          <w:sz w:val="48"/>
          <w:szCs w:val="48"/>
        </w:rPr>
        <w:t xml:space="preserve">A kinetic model for thermally induced hydrogen and carbon isotope fractionation of individual </w:t>
      </w:r>
      <w:r w:rsidRPr="00507520">
        <w:rPr>
          <w:rFonts w:ascii="Times New Roman" w:eastAsia="Times New Roman" w:hAnsi="Times New Roman" w:cs="Times New Roman"/>
          <w:b/>
          <w:bCs/>
          <w:i/>
          <w:iCs/>
          <w:kern w:val="36"/>
          <w:sz w:val="48"/>
          <w:szCs w:val="48"/>
        </w:rPr>
        <w:t>n</w:t>
      </w:r>
      <w:r w:rsidRPr="00507520">
        <w:rPr>
          <w:rFonts w:ascii="Times New Roman" w:eastAsia="Times New Roman" w:hAnsi="Times New Roman" w:cs="Times New Roman"/>
          <w:b/>
          <w:bCs/>
          <w:kern w:val="36"/>
          <w:sz w:val="48"/>
          <w:szCs w:val="48"/>
        </w:rPr>
        <w:t>-alkanes in crude oil</w:t>
      </w:r>
    </w:p>
    <w:p w:rsidR="00507520" w:rsidRPr="00507520" w:rsidRDefault="00507520" w:rsidP="00507520">
      <w:pPr>
        <w:spacing w:after="0"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Author links open overlay panel</w:t>
      </w:r>
    </w:p>
    <w:p w:rsidR="00507520" w:rsidRPr="00507520" w:rsidRDefault="00507520" w:rsidP="00507520">
      <w:pPr>
        <w:spacing w:after="0"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 </w:t>
      </w:r>
      <w:bookmarkStart w:id="0" w:name="baep-author-id14-profile"/>
      <w:r w:rsidRPr="00507520">
        <w:rPr>
          <w:rFonts w:ascii="Times New Roman" w:eastAsia="Times New Roman" w:hAnsi="Times New Roman" w:cs="Times New Roman"/>
          <w:sz w:val="24"/>
          <w:szCs w:val="24"/>
        </w:rPr>
        <w:fldChar w:fldCharType="begin"/>
      </w:r>
      <w:r w:rsidRPr="00507520">
        <w:rPr>
          <w:rFonts w:ascii="Times New Roman" w:eastAsia="Times New Roman" w:hAnsi="Times New Roman" w:cs="Times New Roman"/>
          <w:sz w:val="24"/>
          <w:szCs w:val="24"/>
        </w:rPr>
        <w:instrText xml:space="preserve"> HYPERLINK "https://www.sciencedirect.com/author/57201890438/yongsong-huang" </w:instrText>
      </w:r>
      <w:r w:rsidRPr="00507520">
        <w:rPr>
          <w:rFonts w:ascii="Times New Roman" w:eastAsia="Times New Roman" w:hAnsi="Times New Roman" w:cs="Times New Roman"/>
          <w:sz w:val="24"/>
          <w:szCs w:val="24"/>
        </w:rPr>
        <w:fldChar w:fldCharType="separate"/>
      </w:r>
      <w:proofErr w:type="spellStart"/>
      <w:r w:rsidRPr="00507520">
        <w:rPr>
          <w:rFonts w:ascii="Times New Roman" w:eastAsia="Times New Roman" w:hAnsi="Times New Roman" w:cs="Times New Roman"/>
          <w:color w:val="0000FF"/>
          <w:sz w:val="24"/>
          <w:szCs w:val="24"/>
          <w:u w:val="single"/>
        </w:rPr>
        <w:t>Yongsong</w:t>
      </w:r>
      <w:proofErr w:type="spellEnd"/>
      <w:r w:rsidRPr="00507520">
        <w:rPr>
          <w:rFonts w:ascii="Times New Roman" w:eastAsia="Times New Roman" w:hAnsi="Times New Roman" w:cs="Times New Roman"/>
          <w:color w:val="0000FF"/>
          <w:sz w:val="24"/>
          <w:szCs w:val="24"/>
          <w:u w:val="single"/>
        </w:rPr>
        <w:t xml:space="preserve"> Huang </w:t>
      </w:r>
      <w:r w:rsidRPr="00507520">
        <w:rPr>
          <w:rFonts w:ascii="Times New Roman" w:eastAsia="Times New Roman" w:hAnsi="Times New Roman" w:cs="Times New Roman"/>
          <w:color w:val="0000FF"/>
          <w:sz w:val="24"/>
          <w:szCs w:val="24"/>
          <w:u w:val="single"/>
          <w:vertAlign w:val="superscript"/>
        </w:rPr>
        <w:t>2</w:t>
      </w:r>
      <w:r w:rsidRPr="00507520">
        <w:rPr>
          <w:rFonts w:ascii="Times New Roman" w:eastAsia="Times New Roman" w:hAnsi="Times New Roman" w:cs="Times New Roman"/>
          <w:sz w:val="24"/>
          <w:szCs w:val="24"/>
        </w:rPr>
        <w:fldChar w:fldCharType="end"/>
      </w:r>
      <w:bookmarkEnd w:id="0"/>
      <w:r w:rsidRPr="00507520">
        <w:rPr>
          <w:rFonts w:ascii="Times New Roman" w:eastAsia="Times New Roman" w:hAnsi="Times New Roman" w:cs="Times New Roman"/>
          <w:sz w:val="24"/>
          <w:szCs w:val="24"/>
        </w:rPr>
        <w:t xml:space="preserve">, , , , , , </w:t>
      </w:r>
    </w:p>
    <w:p w:rsidR="00507520" w:rsidRPr="00507520" w:rsidRDefault="00507520" w:rsidP="0050752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07520">
          <w:rPr>
            <w:rFonts w:ascii="Times New Roman" w:eastAsia="Times New Roman" w:hAnsi="Times New Roman" w:cs="Times New Roman"/>
            <w:color w:val="0000FF"/>
            <w:sz w:val="24"/>
            <w:szCs w:val="24"/>
            <w:u w:val="single"/>
          </w:rPr>
          <w:t>https://doi.org/10.1016/j.gca.2004.12.026</w:t>
        </w:r>
      </w:hyperlink>
      <w:bookmarkStart w:id="1" w:name="_GoBack"/>
      <w:bookmarkEnd w:id="1"/>
      <w:r w:rsidRPr="00507520">
        <w:rPr>
          <w:rFonts w:ascii="Times New Roman" w:eastAsia="Times New Roman" w:hAnsi="Times New Roman" w:cs="Times New Roman"/>
          <w:sz w:val="24"/>
          <w:szCs w:val="24"/>
        </w:rPr>
        <w:t xml:space="preserve"> </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Abstract</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A quantitative kinetic model has been proposed to simulate the large D and </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 isotope enrichments observed in individual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-alkanes (C</w:t>
      </w:r>
      <w:r w:rsidRPr="00507520">
        <w:rPr>
          <w:rFonts w:ascii="Times New Roman" w:eastAsia="Times New Roman" w:hAnsi="Times New Roman" w:cs="Times New Roman"/>
          <w:sz w:val="24"/>
          <w:szCs w:val="24"/>
          <w:vertAlign w:val="subscript"/>
        </w:rPr>
        <w:t>13</w:t>
      </w:r>
      <w:r w:rsidRPr="00507520">
        <w:rPr>
          <w:rFonts w:ascii="Times New Roman" w:eastAsia="Times New Roman" w:hAnsi="Times New Roman" w:cs="Times New Roman"/>
          <w:sz w:val="24"/>
          <w:szCs w:val="24"/>
        </w:rPr>
        <w:t>–C</w:t>
      </w:r>
      <w:r w:rsidRPr="00507520">
        <w:rPr>
          <w:rFonts w:ascii="Times New Roman" w:eastAsia="Times New Roman" w:hAnsi="Times New Roman" w:cs="Times New Roman"/>
          <w:sz w:val="24"/>
          <w:szCs w:val="24"/>
          <w:vertAlign w:val="subscript"/>
        </w:rPr>
        <w:t>21</w:t>
      </w:r>
      <w:r w:rsidRPr="00507520">
        <w:rPr>
          <w:rFonts w:ascii="Times New Roman" w:eastAsia="Times New Roman" w:hAnsi="Times New Roman" w:cs="Times New Roman"/>
          <w:sz w:val="24"/>
          <w:szCs w:val="24"/>
        </w:rPr>
        <w:t xml:space="preserve">) during artificial thermal maturation of a North Sea crude oil under anhydrous, closed-system conditions. Under our experimental conditions, average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 δ</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 values increase by </w:t>
      </w:r>
      <w:r w:rsidRPr="00507520">
        <w:rPr>
          <w:rFonts w:ascii="Cambria Math" w:eastAsia="Times New Roman" w:hAnsi="Cambria Math" w:cs="Cambria Math"/>
          <w:sz w:val="24"/>
          <w:szCs w:val="24"/>
        </w:rPr>
        <w:t>∼</w:t>
      </w:r>
      <w:r w:rsidRPr="00507520">
        <w:rPr>
          <w:rFonts w:ascii="Times New Roman" w:eastAsia="Times New Roman" w:hAnsi="Times New Roman" w:cs="Times New Roman"/>
          <w:sz w:val="24"/>
          <w:szCs w:val="24"/>
        </w:rPr>
        <w:t xml:space="preserve">4‰ and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increase by </w:t>
      </w:r>
      <w:r w:rsidRPr="00507520">
        <w:rPr>
          <w:rFonts w:ascii="Cambria Math" w:eastAsia="Times New Roman" w:hAnsi="Cambria Math" w:cs="Cambria Math"/>
          <w:sz w:val="24"/>
          <w:szCs w:val="24"/>
        </w:rPr>
        <w:t>∼</w:t>
      </w:r>
      <w:r w:rsidRPr="00507520">
        <w:rPr>
          <w:rFonts w:ascii="Times New Roman" w:eastAsia="Times New Roman" w:hAnsi="Times New Roman" w:cs="Times New Roman"/>
          <w:sz w:val="24"/>
          <w:szCs w:val="24"/>
        </w:rPr>
        <w:t xml:space="preserve">50‰ at an equivalent </w:t>
      </w:r>
      <w:hyperlink r:id="rId5" w:tooltip="Learn more about vitrinite reflectance from ScienceDirect's AI-generated Topic Pages" w:history="1">
        <w:r w:rsidRPr="00507520">
          <w:rPr>
            <w:rFonts w:ascii="Times New Roman" w:eastAsia="Times New Roman" w:hAnsi="Times New Roman" w:cs="Times New Roman"/>
            <w:color w:val="0000FF"/>
            <w:sz w:val="24"/>
            <w:szCs w:val="24"/>
            <w:u w:val="single"/>
          </w:rPr>
          <w:t>vitrinite reflectance</w:t>
        </w:r>
      </w:hyperlink>
      <w:r w:rsidRPr="00507520">
        <w:rPr>
          <w:rFonts w:ascii="Times New Roman" w:eastAsia="Times New Roman" w:hAnsi="Times New Roman" w:cs="Times New Roman"/>
          <w:sz w:val="24"/>
          <w:szCs w:val="24"/>
        </w:rPr>
        <w:t xml:space="preserve"> value of 1.5%. While the observed </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C-enrichment shows no significant dependence on hydrocarbon chain length, thermally induced D-enrichment increases with increasing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 carbon number. This differential fractionation effect is speculated to be due to the combined effect of the greater extent of thermal cracking of higher molecular weight,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compared to </w:t>
      </w:r>
      <w:hyperlink r:id="rId6" w:tooltip="Learn more about lower molecular weight from ScienceDirect's AI-generated Topic Pages" w:history="1">
        <w:r w:rsidRPr="00507520">
          <w:rPr>
            <w:rFonts w:ascii="Times New Roman" w:eastAsia="Times New Roman" w:hAnsi="Times New Roman" w:cs="Times New Roman"/>
            <w:color w:val="0000FF"/>
            <w:sz w:val="24"/>
            <w:szCs w:val="24"/>
            <w:u w:val="single"/>
          </w:rPr>
          <w:t>lower molecular weight</w:t>
        </w:r>
      </w:hyperlink>
      <w:r w:rsidRPr="00507520">
        <w:rPr>
          <w:rFonts w:ascii="Times New Roman" w:eastAsia="Times New Roman" w:hAnsi="Times New Roman" w:cs="Times New Roman"/>
          <w:sz w:val="24"/>
          <w:szCs w:val="24"/>
        </w:rPr>
        <w:t xml:space="preserve"> homologues, and the generation of isotopically lighter, lower molecular weight compounds. This carbon-number-linked hydrogen </w:t>
      </w:r>
      <w:hyperlink r:id="rId7" w:tooltip="Learn more about isotopic fractionation from ScienceDirect's AI-generated Topic Pages" w:history="1">
        <w:r w:rsidRPr="00507520">
          <w:rPr>
            <w:rFonts w:ascii="Times New Roman" w:eastAsia="Times New Roman" w:hAnsi="Times New Roman" w:cs="Times New Roman"/>
            <w:color w:val="0000FF"/>
            <w:sz w:val="24"/>
            <w:szCs w:val="24"/>
            <w:u w:val="single"/>
          </w:rPr>
          <w:t>isotopic fractionation</w:t>
        </w:r>
      </w:hyperlink>
      <w:r w:rsidRPr="00507520">
        <w:rPr>
          <w:rFonts w:ascii="Times New Roman" w:eastAsia="Times New Roman" w:hAnsi="Times New Roman" w:cs="Times New Roman"/>
          <w:sz w:val="24"/>
          <w:szCs w:val="24"/>
        </w:rPr>
        <w:t xml:space="preserve"> behavior could form the basis of a new maturity indicator to quantitatively assess the extent of oil cracking in petroleum reservoirs. Quantum mechanical calculations of the average change in enthalpy (ΔΔH</w:t>
      </w:r>
      <w:r w:rsidRPr="00507520">
        <w:rPr>
          <w:rFonts w:ascii="Times New Roman" w:eastAsia="Times New Roman" w:hAnsi="Times New Roman" w:cs="Times New Roman"/>
          <w:sz w:val="24"/>
          <w:szCs w:val="24"/>
          <w:vertAlign w:val="superscript"/>
        </w:rPr>
        <w:t>‡</w:t>
      </w:r>
      <w:r w:rsidRPr="00507520">
        <w:rPr>
          <w:rFonts w:ascii="Times New Roman" w:eastAsia="Times New Roman" w:hAnsi="Times New Roman" w:cs="Times New Roman"/>
          <w:sz w:val="24"/>
          <w:szCs w:val="24"/>
        </w:rPr>
        <w:t>) and entropy (ΔΔS</w:t>
      </w:r>
      <w:r w:rsidRPr="00507520">
        <w:rPr>
          <w:rFonts w:ascii="Times New Roman" w:eastAsia="Times New Roman" w:hAnsi="Times New Roman" w:cs="Times New Roman"/>
          <w:sz w:val="24"/>
          <w:szCs w:val="24"/>
          <w:vertAlign w:val="superscript"/>
        </w:rPr>
        <w:t>‡</w:t>
      </w:r>
      <w:r w:rsidRPr="00507520">
        <w:rPr>
          <w:rFonts w:ascii="Times New Roman" w:eastAsia="Times New Roman" w:hAnsi="Times New Roman" w:cs="Times New Roman"/>
          <w:sz w:val="24"/>
          <w:szCs w:val="24"/>
        </w:rPr>
        <w:t xml:space="preserve">) as a result of isotopic substitution in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undergoing homolytic </w:t>
      </w:r>
      <w:hyperlink r:id="rId8" w:tooltip="Learn more about cleavage from ScienceDirect's AI-generated Topic Pages" w:history="1">
        <w:r w:rsidRPr="00507520">
          <w:rPr>
            <w:rFonts w:ascii="Times New Roman" w:eastAsia="Times New Roman" w:hAnsi="Times New Roman" w:cs="Times New Roman"/>
            <w:color w:val="0000FF"/>
            <w:sz w:val="24"/>
            <w:szCs w:val="24"/>
            <w:u w:val="single"/>
          </w:rPr>
          <w:t>cleavage</w:t>
        </w:r>
      </w:hyperlink>
      <w:r w:rsidRPr="00507520">
        <w:rPr>
          <w:rFonts w:ascii="Times New Roman" w:eastAsia="Times New Roman" w:hAnsi="Times New Roman" w:cs="Times New Roman"/>
          <w:sz w:val="24"/>
          <w:szCs w:val="24"/>
        </w:rPr>
        <w:t xml:space="preserve"> of C-C bonds lead to predictions of isotopic fractionation that agree quite well with our experimental results. For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-C</w:t>
      </w:r>
      <w:r w:rsidRPr="00507520">
        <w:rPr>
          <w:rFonts w:ascii="Times New Roman" w:eastAsia="Times New Roman" w:hAnsi="Times New Roman" w:cs="Times New Roman"/>
          <w:sz w:val="24"/>
          <w:szCs w:val="24"/>
          <w:vertAlign w:val="subscript"/>
        </w:rPr>
        <w:t>20</w:t>
      </w:r>
      <w:r w:rsidRPr="00507520">
        <w:rPr>
          <w:rFonts w:ascii="Times New Roman" w:eastAsia="Times New Roman" w:hAnsi="Times New Roman" w:cs="Times New Roman"/>
          <w:sz w:val="24"/>
          <w:szCs w:val="24"/>
        </w:rPr>
        <w:t xml:space="preserve">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w:t>
      </w:r>
      <w:proofErr w:type="spellStart"/>
      <w:r w:rsidRPr="00507520">
        <w:rPr>
          <w:rFonts w:ascii="Times New Roman" w:eastAsia="Times New Roman" w:hAnsi="Times New Roman" w:cs="Times New Roman"/>
          <w:sz w:val="24"/>
          <w:szCs w:val="24"/>
        </w:rPr>
        <w:t>icosane</w:t>
      </w:r>
      <w:proofErr w:type="spellEnd"/>
      <w:r w:rsidRPr="00507520">
        <w:rPr>
          <w:rFonts w:ascii="Times New Roman" w:eastAsia="Times New Roman" w:hAnsi="Times New Roman" w:cs="Times New Roman"/>
          <w:sz w:val="24"/>
          <w:szCs w:val="24"/>
        </w:rPr>
        <w:t xml:space="preserve">), the changes in enthalpy are calculated to be </w:t>
      </w:r>
      <w:r w:rsidRPr="00507520">
        <w:rPr>
          <w:rFonts w:ascii="Cambria Math" w:eastAsia="Times New Roman" w:hAnsi="Cambria Math" w:cs="Cambria Math"/>
          <w:sz w:val="24"/>
          <w:szCs w:val="24"/>
        </w:rPr>
        <w:t>∼</w:t>
      </w:r>
      <w:r w:rsidRPr="00507520">
        <w:rPr>
          <w:rFonts w:ascii="Times New Roman" w:eastAsia="Times New Roman" w:hAnsi="Times New Roman" w:cs="Times New Roman"/>
          <w:sz w:val="24"/>
          <w:szCs w:val="24"/>
        </w:rPr>
        <w:t>1340 J mol</w:t>
      </w:r>
      <w:r w:rsidRPr="00507520">
        <w:rPr>
          <w:rFonts w:ascii="Times New Roman" w:eastAsia="Times New Roman" w:hAnsi="Times New Roman" w:cs="Times New Roman"/>
          <w:sz w:val="24"/>
          <w:szCs w:val="24"/>
          <w:vertAlign w:val="superscript"/>
        </w:rPr>
        <w:t>-1</w:t>
      </w:r>
      <w:r w:rsidRPr="00507520">
        <w:rPr>
          <w:rFonts w:ascii="Times New Roman" w:eastAsia="Times New Roman" w:hAnsi="Times New Roman" w:cs="Times New Roman"/>
          <w:sz w:val="24"/>
          <w:szCs w:val="24"/>
        </w:rPr>
        <w:t xml:space="preserve"> (320 </w:t>
      </w:r>
      <w:proofErr w:type="spellStart"/>
      <w:r w:rsidRPr="00507520">
        <w:rPr>
          <w:rFonts w:ascii="Times New Roman" w:eastAsia="Times New Roman" w:hAnsi="Times New Roman" w:cs="Times New Roman"/>
          <w:sz w:val="24"/>
          <w:szCs w:val="24"/>
        </w:rPr>
        <w:t>cal</w:t>
      </w:r>
      <w:proofErr w:type="spellEnd"/>
      <w:r w:rsidRPr="00507520">
        <w:rPr>
          <w:rFonts w:ascii="Times New Roman" w:eastAsia="Times New Roman" w:hAnsi="Times New Roman" w:cs="Times New Roman"/>
          <w:sz w:val="24"/>
          <w:szCs w:val="24"/>
        </w:rPr>
        <w:t xml:space="preserve"> mol</w:t>
      </w:r>
      <w:r w:rsidRPr="00507520">
        <w:rPr>
          <w:rFonts w:ascii="Times New Roman" w:eastAsia="Times New Roman" w:hAnsi="Times New Roman" w:cs="Times New Roman"/>
          <w:sz w:val="24"/>
          <w:szCs w:val="24"/>
          <w:vertAlign w:val="superscript"/>
        </w:rPr>
        <w:t>-1</w:t>
      </w:r>
      <w:r w:rsidRPr="00507520">
        <w:rPr>
          <w:rFonts w:ascii="Times New Roman" w:eastAsia="Times New Roman" w:hAnsi="Times New Roman" w:cs="Times New Roman"/>
          <w:sz w:val="24"/>
          <w:szCs w:val="24"/>
        </w:rPr>
        <w:t>) and 230 J mol</w:t>
      </w:r>
      <w:r w:rsidRPr="00507520">
        <w:rPr>
          <w:rFonts w:ascii="Times New Roman" w:eastAsia="Times New Roman" w:hAnsi="Times New Roman" w:cs="Times New Roman"/>
          <w:sz w:val="24"/>
          <w:szCs w:val="24"/>
          <w:vertAlign w:val="superscript"/>
        </w:rPr>
        <w:t>-1</w:t>
      </w:r>
      <w:r w:rsidRPr="00507520">
        <w:rPr>
          <w:rFonts w:ascii="Times New Roman" w:eastAsia="Times New Roman" w:hAnsi="Times New Roman" w:cs="Times New Roman"/>
          <w:sz w:val="24"/>
          <w:szCs w:val="24"/>
        </w:rPr>
        <w:t xml:space="preserve"> (55 </w:t>
      </w:r>
      <w:proofErr w:type="spellStart"/>
      <w:r w:rsidRPr="00507520">
        <w:rPr>
          <w:rFonts w:ascii="Times New Roman" w:eastAsia="Times New Roman" w:hAnsi="Times New Roman" w:cs="Times New Roman"/>
          <w:sz w:val="24"/>
          <w:szCs w:val="24"/>
        </w:rPr>
        <w:t>cal</w:t>
      </w:r>
      <w:proofErr w:type="spellEnd"/>
      <w:r w:rsidRPr="00507520">
        <w:rPr>
          <w:rFonts w:ascii="Times New Roman" w:eastAsia="Times New Roman" w:hAnsi="Times New Roman" w:cs="Times New Roman"/>
          <w:sz w:val="24"/>
          <w:szCs w:val="24"/>
        </w:rPr>
        <w:t xml:space="preserve"> mol</w:t>
      </w:r>
      <w:r w:rsidRPr="00507520">
        <w:rPr>
          <w:rFonts w:ascii="Times New Roman" w:eastAsia="Times New Roman" w:hAnsi="Times New Roman" w:cs="Times New Roman"/>
          <w:sz w:val="24"/>
          <w:szCs w:val="24"/>
          <w:vertAlign w:val="superscript"/>
        </w:rPr>
        <w:t>-1</w:t>
      </w:r>
      <w:r w:rsidRPr="00507520">
        <w:rPr>
          <w:rFonts w:ascii="Times New Roman" w:eastAsia="Times New Roman" w:hAnsi="Times New Roman" w:cs="Times New Roman"/>
          <w:sz w:val="24"/>
          <w:szCs w:val="24"/>
        </w:rPr>
        <w:t xml:space="preserve">) for D-H and </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C-</w:t>
      </w:r>
      <w:r w:rsidRPr="00507520">
        <w:rPr>
          <w:rFonts w:ascii="Times New Roman" w:eastAsia="Times New Roman" w:hAnsi="Times New Roman" w:cs="Times New Roman"/>
          <w:sz w:val="24"/>
          <w:szCs w:val="24"/>
          <w:vertAlign w:val="superscript"/>
        </w:rPr>
        <w:t>12</w:t>
      </w:r>
      <w:r w:rsidRPr="00507520">
        <w:rPr>
          <w:rFonts w:ascii="Times New Roman" w:eastAsia="Times New Roman" w:hAnsi="Times New Roman" w:cs="Times New Roman"/>
          <w:sz w:val="24"/>
          <w:szCs w:val="24"/>
        </w:rPr>
        <w:t xml:space="preserve">C, respectively. Because the enthalpy term associated with hydrogen isotope fractionation is approximately six times greater than that for carbon, variations in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for individual long-chain hydrocarbons provide a highly sensitive measure of the extent of </w:t>
      </w:r>
      <w:hyperlink r:id="rId9" w:tooltip="Learn more about thermal alteration from ScienceDirect's AI-generated Topic Pages" w:history="1">
        <w:r w:rsidRPr="00507520">
          <w:rPr>
            <w:rFonts w:ascii="Times New Roman" w:eastAsia="Times New Roman" w:hAnsi="Times New Roman" w:cs="Times New Roman"/>
            <w:color w:val="0000FF"/>
            <w:sz w:val="24"/>
            <w:szCs w:val="24"/>
            <w:u w:val="single"/>
          </w:rPr>
          <w:t>thermal alteration</w:t>
        </w:r>
      </w:hyperlink>
      <w:r w:rsidRPr="00507520">
        <w:rPr>
          <w:rFonts w:ascii="Times New Roman" w:eastAsia="Times New Roman" w:hAnsi="Times New Roman" w:cs="Times New Roman"/>
          <w:sz w:val="24"/>
          <w:szCs w:val="24"/>
        </w:rPr>
        <w:t xml:space="preserve"> experienced by the oil. Extrapolation of the kinetic model to typical geological heating conditions predicts significant enrichment in </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 and D for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w:t>
      </w:r>
      <w:proofErr w:type="spellStart"/>
      <w:r w:rsidRPr="00507520">
        <w:rPr>
          <w:rFonts w:ascii="Times New Roman" w:eastAsia="Times New Roman" w:hAnsi="Times New Roman" w:cs="Times New Roman"/>
          <w:sz w:val="24"/>
          <w:szCs w:val="24"/>
        </w:rPr>
        <w:t>icosane</w:t>
      </w:r>
      <w:proofErr w:type="spellEnd"/>
      <w:r w:rsidRPr="00507520">
        <w:rPr>
          <w:rFonts w:ascii="Times New Roman" w:eastAsia="Times New Roman" w:hAnsi="Times New Roman" w:cs="Times New Roman"/>
          <w:sz w:val="24"/>
          <w:szCs w:val="24"/>
        </w:rPr>
        <w:t xml:space="preserve"> at equivalent vitrinite reflectance values corresponding to the onset of thermal cracking of normal alkanes. The experimental and theoretical results of this study have significant implications for the use of compound-specific hydrogen isotope data in petroleum geochemical and </w:t>
      </w:r>
      <w:proofErr w:type="spellStart"/>
      <w:r w:rsidRPr="00507520">
        <w:rPr>
          <w:rFonts w:ascii="Times New Roman" w:eastAsia="Times New Roman" w:hAnsi="Times New Roman" w:cs="Times New Roman"/>
          <w:sz w:val="24"/>
          <w:szCs w:val="24"/>
        </w:rPr>
        <w:t>paleoclimatological</w:t>
      </w:r>
      <w:proofErr w:type="spellEnd"/>
      <w:r w:rsidRPr="00507520">
        <w:rPr>
          <w:rFonts w:ascii="Times New Roman" w:eastAsia="Times New Roman" w:hAnsi="Times New Roman" w:cs="Times New Roman"/>
          <w:sz w:val="24"/>
          <w:szCs w:val="24"/>
        </w:rPr>
        <w:t xml:space="preserve"> studies. However, there are many other geochemical processes that will significantly affect observed hydrogen </w:t>
      </w:r>
      <w:hyperlink r:id="rId10" w:tooltip="Learn more about isotopic compositions from ScienceDirect's AI-generated Topic Pages" w:history="1">
        <w:r w:rsidRPr="00507520">
          <w:rPr>
            <w:rFonts w:ascii="Times New Roman" w:eastAsia="Times New Roman" w:hAnsi="Times New Roman" w:cs="Times New Roman"/>
            <w:color w:val="0000FF"/>
            <w:sz w:val="24"/>
            <w:szCs w:val="24"/>
            <w:u w:val="single"/>
          </w:rPr>
          <w:t>isotopic compositions</w:t>
        </w:r>
      </w:hyperlink>
      <w:r w:rsidRPr="00507520">
        <w:rPr>
          <w:rFonts w:ascii="Times New Roman" w:eastAsia="Times New Roman" w:hAnsi="Times New Roman" w:cs="Times New Roman"/>
          <w:sz w:val="24"/>
          <w:szCs w:val="24"/>
        </w:rPr>
        <w:t xml:space="preserve"> (e.g., biodegradation, water washing, isotopic exchange with water and minerals) that must also be taken into consideration.</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Introduction</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Compound-specific </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C/</w:t>
      </w:r>
      <w:r w:rsidRPr="00507520">
        <w:rPr>
          <w:rFonts w:ascii="Times New Roman" w:eastAsia="Times New Roman" w:hAnsi="Times New Roman" w:cs="Times New Roman"/>
          <w:sz w:val="24"/>
          <w:szCs w:val="24"/>
          <w:vertAlign w:val="superscript"/>
        </w:rPr>
        <w:t>12</w:t>
      </w:r>
      <w:r w:rsidRPr="00507520">
        <w:rPr>
          <w:rFonts w:ascii="Times New Roman" w:eastAsia="Times New Roman" w:hAnsi="Times New Roman" w:cs="Times New Roman"/>
          <w:sz w:val="24"/>
          <w:szCs w:val="24"/>
        </w:rPr>
        <w:t xml:space="preserve">C isotopic analysis has been successfully applied in a number of areas of petroleum geochemistry, including oil-source rock correlation (e.g., Chung et al., 1994; Murray et al., 1994; </w:t>
      </w:r>
      <w:proofErr w:type="spellStart"/>
      <w:r w:rsidRPr="00507520">
        <w:rPr>
          <w:rFonts w:ascii="Times New Roman" w:eastAsia="Times New Roman" w:hAnsi="Times New Roman" w:cs="Times New Roman"/>
          <w:sz w:val="24"/>
          <w:szCs w:val="24"/>
        </w:rPr>
        <w:t>Odden</w:t>
      </w:r>
      <w:proofErr w:type="spellEnd"/>
      <w:r w:rsidRPr="00507520">
        <w:rPr>
          <w:rFonts w:ascii="Times New Roman" w:eastAsia="Times New Roman" w:hAnsi="Times New Roman" w:cs="Times New Roman"/>
          <w:sz w:val="24"/>
          <w:szCs w:val="24"/>
        </w:rPr>
        <w:t xml:space="preserve"> et al., 2002), oil-oil correlation (e.g., </w:t>
      </w:r>
      <w:proofErr w:type="spellStart"/>
      <w:r w:rsidRPr="00507520">
        <w:rPr>
          <w:rFonts w:ascii="Times New Roman" w:eastAsia="Times New Roman" w:hAnsi="Times New Roman" w:cs="Times New Roman"/>
          <w:sz w:val="24"/>
          <w:szCs w:val="24"/>
        </w:rPr>
        <w:t>Whiticar</w:t>
      </w:r>
      <w:proofErr w:type="spellEnd"/>
      <w:r w:rsidRPr="00507520">
        <w:rPr>
          <w:rFonts w:ascii="Times New Roman" w:eastAsia="Times New Roman" w:hAnsi="Times New Roman" w:cs="Times New Roman"/>
          <w:sz w:val="24"/>
          <w:szCs w:val="24"/>
        </w:rPr>
        <w:t xml:space="preserve"> and </w:t>
      </w:r>
      <w:proofErr w:type="spellStart"/>
      <w:r w:rsidRPr="00507520">
        <w:rPr>
          <w:rFonts w:ascii="Times New Roman" w:eastAsia="Times New Roman" w:hAnsi="Times New Roman" w:cs="Times New Roman"/>
          <w:sz w:val="24"/>
          <w:szCs w:val="24"/>
        </w:rPr>
        <w:t>Snowdon</w:t>
      </w:r>
      <w:proofErr w:type="spellEnd"/>
      <w:r w:rsidRPr="00507520">
        <w:rPr>
          <w:rFonts w:ascii="Times New Roman" w:eastAsia="Times New Roman" w:hAnsi="Times New Roman" w:cs="Times New Roman"/>
          <w:sz w:val="24"/>
          <w:szCs w:val="24"/>
        </w:rPr>
        <w:t xml:space="preserve">, 1999), and determination of mixed oil sources (Rooney et al., 1998). Early studies of the stable carbon isotopic composition of crude oils, natural gases, and petroleum source rocks suggested that the isotopic compositions of individual petroleum hydrocarbons are generally inherited from the kerogens from </w:t>
      </w:r>
      <w:r w:rsidRPr="00507520">
        <w:rPr>
          <w:rFonts w:ascii="Times New Roman" w:eastAsia="Times New Roman" w:hAnsi="Times New Roman" w:cs="Times New Roman"/>
          <w:sz w:val="24"/>
          <w:szCs w:val="24"/>
        </w:rPr>
        <w:lastRenderedPageBreak/>
        <w:t>which they are derived (</w:t>
      </w:r>
      <w:proofErr w:type="spellStart"/>
      <w:r w:rsidRPr="00507520">
        <w:rPr>
          <w:rFonts w:ascii="Times New Roman" w:eastAsia="Times New Roman" w:hAnsi="Times New Roman" w:cs="Times New Roman"/>
          <w:sz w:val="24"/>
          <w:szCs w:val="24"/>
        </w:rPr>
        <w:t>Schoell</w:t>
      </w:r>
      <w:proofErr w:type="spellEnd"/>
      <w:r w:rsidRPr="00507520">
        <w:rPr>
          <w:rFonts w:ascii="Times New Roman" w:eastAsia="Times New Roman" w:hAnsi="Times New Roman" w:cs="Times New Roman"/>
          <w:sz w:val="24"/>
          <w:szCs w:val="24"/>
        </w:rPr>
        <w:t>, 1984). However, numerous theoretical, experimental, and field -based studies have since shown that variations in thermal maturity can significantly affect the compound-specific δ</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 composition of petroleum hydrocarbons (Clayton, 1991a; Clayton, 1991b; Clayton and </w:t>
      </w:r>
      <w:proofErr w:type="spellStart"/>
      <w:r w:rsidRPr="00507520">
        <w:rPr>
          <w:rFonts w:ascii="Times New Roman" w:eastAsia="Times New Roman" w:hAnsi="Times New Roman" w:cs="Times New Roman"/>
          <w:sz w:val="24"/>
          <w:szCs w:val="24"/>
        </w:rPr>
        <w:t>Bjorøy</w:t>
      </w:r>
      <w:proofErr w:type="spellEnd"/>
      <w:r w:rsidRPr="00507520">
        <w:rPr>
          <w:rFonts w:ascii="Times New Roman" w:eastAsia="Times New Roman" w:hAnsi="Times New Roman" w:cs="Times New Roman"/>
          <w:sz w:val="24"/>
          <w:szCs w:val="24"/>
        </w:rPr>
        <w:t xml:space="preserve">, 1994; Berner and Faber, 1996; Cramer et al., 1998; </w:t>
      </w:r>
      <w:proofErr w:type="spellStart"/>
      <w:r w:rsidRPr="00507520">
        <w:rPr>
          <w:rFonts w:ascii="Times New Roman" w:eastAsia="Times New Roman" w:hAnsi="Times New Roman" w:cs="Times New Roman"/>
          <w:sz w:val="24"/>
          <w:szCs w:val="24"/>
        </w:rPr>
        <w:t>Lorant</w:t>
      </w:r>
      <w:proofErr w:type="spellEnd"/>
      <w:r w:rsidRPr="00507520">
        <w:rPr>
          <w:rFonts w:ascii="Times New Roman" w:eastAsia="Times New Roman" w:hAnsi="Times New Roman" w:cs="Times New Roman"/>
          <w:sz w:val="24"/>
          <w:szCs w:val="24"/>
        </w:rPr>
        <w:t xml:space="preserve"> et al., 1998; Rooney et al., 1998; Harris et al., 2003). In one instance, Clayton and </w:t>
      </w:r>
      <w:proofErr w:type="spellStart"/>
      <w:r w:rsidRPr="00507520">
        <w:rPr>
          <w:rFonts w:ascii="Times New Roman" w:eastAsia="Times New Roman" w:hAnsi="Times New Roman" w:cs="Times New Roman"/>
          <w:sz w:val="24"/>
          <w:szCs w:val="24"/>
        </w:rPr>
        <w:t>Bjorøy</w:t>
      </w:r>
      <w:proofErr w:type="spellEnd"/>
      <w:r w:rsidRPr="00507520">
        <w:rPr>
          <w:rFonts w:ascii="Times New Roman" w:eastAsia="Times New Roman" w:hAnsi="Times New Roman" w:cs="Times New Roman"/>
          <w:sz w:val="24"/>
          <w:szCs w:val="24"/>
        </w:rPr>
        <w:t xml:space="preserve"> (1994) found that 50 to 90% of the carbon isotope variation in individual compounds from four North Sea oils was due to differences in thermal maturity.</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Since the first report of an empiric relationship between hydrocarbon stable carbon isotopic composition and thermal maturity (Stahl, 1968), a variety of models to explain this phenomenon have been proposed and effectively applied to geological problems (Stahl, 1977; James, 1983; </w:t>
      </w:r>
      <w:proofErr w:type="spellStart"/>
      <w:r w:rsidRPr="00507520">
        <w:rPr>
          <w:rFonts w:ascii="Times New Roman" w:eastAsia="Times New Roman" w:hAnsi="Times New Roman" w:cs="Times New Roman"/>
          <w:sz w:val="24"/>
          <w:szCs w:val="24"/>
        </w:rPr>
        <w:t>Schoell</w:t>
      </w:r>
      <w:proofErr w:type="spellEnd"/>
      <w:r w:rsidRPr="00507520">
        <w:rPr>
          <w:rFonts w:ascii="Times New Roman" w:eastAsia="Times New Roman" w:hAnsi="Times New Roman" w:cs="Times New Roman"/>
          <w:sz w:val="24"/>
          <w:szCs w:val="24"/>
        </w:rPr>
        <w:t xml:space="preserve">, 1983; Faber, 1987; Chung et al., 1988; </w:t>
      </w:r>
      <w:proofErr w:type="spellStart"/>
      <w:r w:rsidRPr="00507520">
        <w:rPr>
          <w:rFonts w:ascii="Times New Roman" w:eastAsia="Times New Roman" w:hAnsi="Times New Roman" w:cs="Times New Roman"/>
          <w:sz w:val="24"/>
          <w:szCs w:val="24"/>
        </w:rPr>
        <w:t>Schoell</w:t>
      </w:r>
      <w:proofErr w:type="spellEnd"/>
      <w:r w:rsidRPr="00507520">
        <w:rPr>
          <w:rFonts w:ascii="Times New Roman" w:eastAsia="Times New Roman" w:hAnsi="Times New Roman" w:cs="Times New Roman"/>
          <w:sz w:val="24"/>
          <w:szCs w:val="24"/>
        </w:rPr>
        <w:t xml:space="preserve">, 1988). However, because these relationships are based on empiric observations rather than fundamental </w:t>
      </w:r>
      <w:proofErr w:type="spellStart"/>
      <w:r w:rsidRPr="00507520">
        <w:rPr>
          <w:rFonts w:ascii="Times New Roman" w:eastAsia="Times New Roman" w:hAnsi="Times New Roman" w:cs="Times New Roman"/>
          <w:sz w:val="24"/>
          <w:szCs w:val="24"/>
        </w:rPr>
        <w:t>principals</w:t>
      </w:r>
      <w:proofErr w:type="spellEnd"/>
      <w:r w:rsidRPr="00507520">
        <w:rPr>
          <w:rFonts w:ascii="Times New Roman" w:eastAsia="Times New Roman" w:hAnsi="Times New Roman" w:cs="Times New Roman"/>
          <w:sz w:val="24"/>
          <w:szCs w:val="24"/>
        </w:rPr>
        <w:t xml:space="preserve"> of isotopic fractionation, their application to diverse petroleum systems is limited. In fact, some discrepancies between experimental pyrolysis data and model predictions have been reported (Andresen et al., 1995), and even some of the model predictions contradict each other (</w:t>
      </w:r>
      <w:proofErr w:type="spellStart"/>
      <w:r w:rsidRPr="00507520">
        <w:rPr>
          <w:rFonts w:ascii="Times New Roman" w:eastAsia="Times New Roman" w:hAnsi="Times New Roman" w:cs="Times New Roman"/>
          <w:sz w:val="24"/>
          <w:szCs w:val="24"/>
        </w:rPr>
        <w:t>Jenden</w:t>
      </w:r>
      <w:proofErr w:type="spellEnd"/>
      <w:r w:rsidRPr="00507520">
        <w:rPr>
          <w:rFonts w:ascii="Times New Roman" w:eastAsia="Times New Roman" w:hAnsi="Times New Roman" w:cs="Times New Roman"/>
          <w:sz w:val="24"/>
          <w:szCs w:val="24"/>
        </w:rPr>
        <w:t xml:space="preserve"> et al., 1988; </w:t>
      </w:r>
      <w:proofErr w:type="spellStart"/>
      <w:r w:rsidRPr="00507520">
        <w:rPr>
          <w:rFonts w:ascii="Times New Roman" w:eastAsia="Times New Roman" w:hAnsi="Times New Roman" w:cs="Times New Roman"/>
          <w:sz w:val="24"/>
          <w:szCs w:val="24"/>
        </w:rPr>
        <w:t>Lorant</w:t>
      </w:r>
      <w:proofErr w:type="spellEnd"/>
      <w:r w:rsidRPr="00507520">
        <w:rPr>
          <w:rFonts w:ascii="Times New Roman" w:eastAsia="Times New Roman" w:hAnsi="Times New Roman" w:cs="Times New Roman"/>
          <w:sz w:val="24"/>
          <w:szCs w:val="24"/>
        </w:rPr>
        <w:t xml:space="preserve"> et al., 1998).</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More sophisticated mathematical models based on Rayleigh distillation theory have been proposed that address some of the shortcomings of earlier models (Clayton, 1991a; Berner et al., 1995; Rooney et al., 1995). Yet, these models still have their weaknesses. For example, the relative rate of generation of methane and higher molecular weight hydrocarbons is assumed to be constant and dependent only on the extent of reaction. However, it is well established that the ratio of C</w:t>
      </w:r>
      <w:r w:rsidRPr="00507520">
        <w:rPr>
          <w:rFonts w:ascii="Times New Roman" w:eastAsia="Times New Roman" w:hAnsi="Times New Roman" w:cs="Times New Roman"/>
          <w:sz w:val="24"/>
          <w:szCs w:val="24"/>
          <w:vertAlign w:val="subscript"/>
        </w:rPr>
        <w:t>2</w:t>
      </w:r>
      <w:r w:rsidRPr="00507520">
        <w:rPr>
          <w:rFonts w:ascii="Times New Roman" w:eastAsia="Times New Roman" w:hAnsi="Times New Roman" w:cs="Times New Roman"/>
          <w:sz w:val="24"/>
          <w:szCs w:val="24"/>
        </w:rPr>
        <w:t>+ hydrocarbons to methane is not constant during thermal maturation (Hill et al., 1996; Tang et al., 1996). Additionally, these models fail to account for complex changes in the kinetic isotopic fractionation factor (ε) that can occur during hydrocarbon gas generation (</w:t>
      </w:r>
      <w:proofErr w:type="spellStart"/>
      <w:r w:rsidRPr="00507520">
        <w:rPr>
          <w:rFonts w:ascii="Times New Roman" w:eastAsia="Times New Roman" w:hAnsi="Times New Roman" w:cs="Times New Roman"/>
          <w:sz w:val="24"/>
          <w:szCs w:val="24"/>
        </w:rPr>
        <w:t>Galimov</w:t>
      </w:r>
      <w:proofErr w:type="spellEnd"/>
      <w:r w:rsidRPr="00507520">
        <w:rPr>
          <w:rFonts w:ascii="Times New Roman" w:eastAsia="Times New Roman" w:hAnsi="Times New Roman" w:cs="Times New Roman"/>
          <w:sz w:val="24"/>
          <w:szCs w:val="24"/>
        </w:rPr>
        <w:t xml:space="preserve">, 1974; Hayes, 1993). More recently, new models have been proposed based on a reaction network of first-order kinetic reactions and calibrated to laboratory pyrolysis data (Tang and </w:t>
      </w:r>
      <w:proofErr w:type="spellStart"/>
      <w:r w:rsidRPr="00507520">
        <w:rPr>
          <w:rFonts w:ascii="Times New Roman" w:eastAsia="Times New Roman" w:hAnsi="Times New Roman" w:cs="Times New Roman"/>
          <w:sz w:val="24"/>
          <w:szCs w:val="24"/>
        </w:rPr>
        <w:t>Jenden</w:t>
      </w:r>
      <w:proofErr w:type="spellEnd"/>
      <w:r w:rsidRPr="00507520">
        <w:rPr>
          <w:rFonts w:ascii="Times New Roman" w:eastAsia="Times New Roman" w:hAnsi="Times New Roman" w:cs="Times New Roman"/>
          <w:sz w:val="24"/>
          <w:szCs w:val="24"/>
        </w:rPr>
        <w:t xml:space="preserve">, 1995; Cramer et al., 1998; </w:t>
      </w:r>
      <w:proofErr w:type="spellStart"/>
      <w:r w:rsidRPr="00507520">
        <w:rPr>
          <w:rFonts w:ascii="Times New Roman" w:eastAsia="Times New Roman" w:hAnsi="Times New Roman" w:cs="Times New Roman"/>
          <w:sz w:val="24"/>
          <w:szCs w:val="24"/>
        </w:rPr>
        <w:t>Lorant</w:t>
      </w:r>
      <w:proofErr w:type="spellEnd"/>
      <w:r w:rsidRPr="00507520">
        <w:rPr>
          <w:rFonts w:ascii="Times New Roman" w:eastAsia="Times New Roman" w:hAnsi="Times New Roman" w:cs="Times New Roman"/>
          <w:sz w:val="24"/>
          <w:szCs w:val="24"/>
        </w:rPr>
        <w:t xml:space="preserve"> et al., 1998; Tang et al., 2000; Cramer et al., 2001). While model parameters can be adjusted to give a highly accurate fit to experimental data, problems may arise when model results are extrapolated to field observations. Such extrapolations are complicated by secondary processes that significantly impact individual hydrocarbon stable carbon isotopic compositions. Potential complicating factors include phase separation associated with oil migration (</w:t>
      </w:r>
      <w:proofErr w:type="spellStart"/>
      <w:r w:rsidRPr="00507520">
        <w:rPr>
          <w:rFonts w:ascii="Times New Roman" w:eastAsia="Times New Roman" w:hAnsi="Times New Roman" w:cs="Times New Roman"/>
          <w:sz w:val="24"/>
          <w:szCs w:val="24"/>
        </w:rPr>
        <w:t>Dzou</w:t>
      </w:r>
      <w:proofErr w:type="spellEnd"/>
      <w:r w:rsidRPr="00507520">
        <w:rPr>
          <w:rFonts w:ascii="Times New Roman" w:eastAsia="Times New Roman" w:hAnsi="Times New Roman" w:cs="Times New Roman"/>
          <w:sz w:val="24"/>
          <w:szCs w:val="24"/>
        </w:rPr>
        <w:t xml:space="preserve"> and Hughes, 1993), biodegradation (Masterson et al., 2001), and carbon isotopic exchange between short-chain carboxylic acids and inorganic carbonate in water (Dias et al., 2002).</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In recent years, measurement of hydrogen isotopic compositions of individual organic compounds has become possible (Burgoyne and Hayes, 1998; </w:t>
      </w:r>
      <w:proofErr w:type="spellStart"/>
      <w:r w:rsidRPr="00507520">
        <w:rPr>
          <w:rFonts w:ascii="Times New Roman" w:eastAsia="Times New Roman" w:hAnsi="Times New Roman" w:cs="Times New Roman"/>
          <w:sz w:val="24"/>
          <w:szCs w:val="24"/>
        </w:rPr>
        <w:t>Hilkert</w:t>
      </w:r>
      <w:proofErr w:type="spellEnd"/>
      <w:r w:rsidRPr="00507520">
        <w:rPr>
          <w:rFonts w:ascii="Times New Roman" w:eastAsia="Times New Roman" w:hAnsi="Times New Roman" w:cs="Times New Roman"/>
          <w:sz w:val="24"/>
          <w:szCs w:val="24"/>
        </w:rPr>
        <w:t xml:space="preserve"> et al., 1999). Because deuterium (D) and hydrogen (H) have the largest relative mass difference of any stable isotope pair, hydrogen isotopes exhibit the greatest fractionation in natural systems (</w:t>
      </w:r>
      <w:proofErr w:type="spellStart"/>
      <w:r w:rsidRPr="00507520">
        <w:rPr>
          <w:rFonts w:ascii="Times New Roman" w:eastAsia="Times New Roman" w:hAnsi="Times New Roman" w:cs="Times New Roman"/>
          <w:sz w:val="24"/>
          <w:szCs w:val="24"/>
        </w:rPr>
        <w:t>Bigeleisen</w:t>
      </w:r>
      <w:proofErr w:type="spellEnd"/>
      <w:r w:rsidRPr="00507520">
        <w:rPr>
          <w:rFonts w:ascii="Times New Roman" w:eastAsia="Times New Roman" w:hAnsi="Times New Roman" w:cs="Times New Roman"/>
          <w:sz w:val="24"/>
          <w:szCs w:val="24"/>
        </w:rPr>
        <w:t xml:space="preserve">, 1965). Quantum chemistry calculations have shown that this property produces the substantially greater variation in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compared to δ</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 xml:space="preserve">C that is commonly observed in hydrocarbons (Tang and </w:t>
      </w:r>
      <w:proofErr w:type="spellStart"/>
      <w:r w:rsidRPr="00507520">
        <w:rPr>
          <w:rFonts w:ascii="Times New Roman" w:eastAsia="Times New Roman" w:hAnsi="Times New Roman" w:cs="Times New Roman"/>
          <w:sz w:val="24"/>
          <w:szCs w:val="24"/>
        </w:rPr>
        <w:t>Jenden</w:t>
      </w:r>
      <w:proofErr w:type="spellEnd"/>
      <w:r w:rsidRPr="00507520">
        <w:rPr>
          <w:rFonts w:ascii="Times New Roman" w:eastAsia="Times New Roman" w:hAnsi="Times New Roman" w:cs="Times New Roman"/>
          <w:sz w:val="24"/>
          <w:szCs w:val="24"/>
        </w:rPr>
        <w:t xml:space="preserve">, 1995). The greater range of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and distinct chemical reactivity of hydrogen make compound-specific hydrogen isotope data a valuable complement to δ</w:t>
      </w:r>
      <w:r w:rsidRPr="00507520">
        <w:rPr>
          <w:rFonts w:ascii="Times New Roman" w:eastAsia="Times New Roman" w:hAnsi="Times New Roman" w:cs="Times New Roman"/>
          <w:sz w:val="24"/>
          <w:szCs w:val="24"/>
          <w:vertAlign w:val="superscript"/>
        </w:rPr>
        <w:t>13</w:t>
      </w:r>
      <w:r w:rsidRPr="00507520">
        <w:rPr>
          <w:rFonts w:ascii="Times New Roman" w:eastAsia="Times New Roman" w:hAnsi="Times New Roman" w:cs="Times New Roman"/>
          <w:sz w:val="24"/>
          <w:szCs w:val="24"/>
        </w:rPr>
        <w:t>C values in petroleum systems (Li et al., 2001).</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Measured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in hydrocarbons in petroleum systems result from a combination of the isotopic composition of the source organic matter (</w:t>
      </w:r>
      <w:proofErr w:type="spellStart"/>
      <w:r w:rsidRPr="00507520">
        <w:rPr>
          <w:rFonts w:ascii="Times New Roman" w:eastAsia="Times New Roman" w:hAnsi="Times New Roman" w:cs="Times New Roman"/>
          <w:sz w:val="24"/>
          <w:szCs w:val="24"/>
        </w:rPr>
        <w:t>Hoefs</w:t>
      </w:r>
      <w:proofErr w:type="spellEnd"/>
      <w:r w:rsidRPr="00507520">
        <w:rPr>
          <w:rFonts w:ascii="Times New Roman" w:eastAsia="Times New Roman" w:hAnsi="Times New Roman" w:cs="Times New Roman"/>
          <w:sz w:val="24"/>
          <w:szCs w:val="24"/>
        </w:rPr>
        <w:t>, 1987), hydrogen exchange processes that involve D/H in water (Sessions et al., 2004) and/or clay minerals (Alexander et al., 1982), and thermal maturation processes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1999;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2001). Additionally, water </w:t>
      </w:r>
      <w:r w:rsidRPr="00507520">
        <w:rPr>
          <w:rFonts w:ascii="Times New Roman" w:eastAsia="Times New Roman" w:hAnsi="Times New Roman" w:cs="Times New Roman"/>
          <w:sz w:val="24"/>
          <w:szCs w:val="24"/>
        </w:rPr>
        <w:lastRenderedPageBreak/>
        <w:t xml:space="preserve">washing, biodegradation, and migration all have the potential to alter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however, the magnitude of these effects is not currently known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2005). Variability in climate and ecological assemblage associated with the deposition of coals and peat have been suggested as contributory factors to the observed range of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in biomarker compounds extracted from preserved organic matter (</w:t>
      </w:r>
      <w:proofErr w:type="spellStart"/>
      <w:r w:rsidRPr="00507520">
        <w:rPr>
          <w:rFonts w:ascii="Times New Roman" w:eastAsia="Times New Roman" w:hAnsi="Times New Roman" w:cs="Times New Roman"/>
          <w:sz w:val="24"/>
          <w:szCs w:val="24"/>
        </w:rPr>
        <w:t>Xie</w:t>
      </w:r>
      <w:proofErr w:type="spellEnd"/>
      <w:r w:rsidRPr="00507520">
        <w:rPr>
          <w:rFonts w:ascii="Times New Roman" w:eastAsia="Times New Roman" w:hAnsi="Times New Roman" w:cs="Times New Roman"/>
          <w:sz w:val="24"/>
          <w:szCs w:val="24"/>
        </w:rPr>
        <w:t xml:space="preserve"> et al., 2000; Dawson et al., 2004). Extensive exchange of hydrogen atoms between deuterated water and kerogen has been found during hydrous pyrolysis experiments (</w:t>
      </w:r>
      <w:proofErr w:type="spellStart"/>
      <w:r w:rsidRPr="00507520">
        <w:rPr>
          <w:rFonts w:ascii="Times New Roman" w:eastAsia="Times New Roman" w:hAnsi="Times New Roman" w:cs="Times New Roman"/>
          <w:sz w:val="24"/>
          <w:szCs w:val="24"/>
        </w:rPr>
        <w:t>Hoering</w:t>
      </w:r>
      <w:proofErr w:type="spellEnd"/>
      <w:r w:rsidRPr="00507520">
        <w:rPr>
          <w:rFonts w:ascii="Times New Roman" w:eastAsia="Times New Roman" w:hAnsi="Times New Roman" w:cs="Times New Roman"/>
          <w:sz w:val="24"/>
          <w:szCs w:val="24"/>
        </w:rPr>
        <w:t xml:space="preserve">, 1984). Subsequently,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(1999) used experimental results and isotopic mass-balance calculations to show that, with increasing temperature and time, the amount of carbon-bound hydrogen in hydrocarbons is increasingly derived from water. The authors also concluded that the magnitude of this effect is greatest for kerogen-water, followed by bitumen-water, and smallest for oil-water systems. There is additional experimental evidence to suggest that the water/rock ratio is an important control on water-hydrocarbon hydrogen exchange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2001). Exchange of carbon-bound hydrogen may also involve labile hydrogen associated with clay minerals, and experimental work on aromatic hydrocarbons and acidic clay surfaces found exchange reactions occurring extremely fast at temperatures as low as 23°C (Alexander et al., 1982). Despite the occurrence of hydrogen exchange between water and hydrocarbons, there still appears to be a strong correlation between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of oils and their source kerogens, and a recent study of 45 oils showed no correlation between formation water and whole oil </w:t>
      </w:r>
      <w:proofErr w:type="spellStart"/>
      <w:r w:rsidRPr="00507520">
        <w:rPr>
          <w:rFonts w:ascii="Times New Roman" w:eastAsia="Times New Roman" w:hAnsi="Times New Roman" w:cs="Times New Roman"/>
          <w:sz w:val="24"/>
          <w:szCs w:val="24"/>
        </w:rPr>
        <w:t>δD</w:t>
      </w:r>
      <w:proofErr w:type="spellEnd"/>
      <w:r w:rsidRPr="00507520">
        <w:rPr>
          <w:rFonts w:ascii="Times New Roman" w:eastAsia="Times New Roman" w:hAnsi="Times New Roman" w:cs="Times New Roman"/>
          <w:sz w:val="24"/>
          <w:szCs w:val="24"/>
        </w:rPr>
        <w:t xml:space="preserve"> values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2005). The precise magnitude and mechanisms for isotopic fractionation of D/H during thermal maturation of hydrocarbons are not known; however, the loss of D-depleted light hydrocarbons is undoubtedly a contributory factor (</w:t>
      </w:r>
      <w:proofErr w:type="spellStart"/>
      <w:r w:rsidRPr="00507520">
        <w:rPr>
          <w:rFonts w:ascii="Times New Roman" w:eastAsia="Times New Roman" w:hAnsi="Times New Roman" w:cs="Times New Roman"/>
          <w:sz w:val="24"/>
          <w:szCs w:val="24"/>
        </w:rPr>
        <w:t>Schoell</w:t>
      </w:r>
      <w:proofErr w:type="spellEnd"/>
      <w:r w:rsidRPr="00507520">
        <w:rPr>
          <w:rFonts w:ascii="Times New Roman" w:eastAsia="Times New Roman" w:hAnsi="Times New Roman" w:cs="Times New Roman"/>
          <w:sz w:val="24"/>
          <w:szCs w:val="24"/>
        </w:rPr>
        <w:t>, 1984).</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The interpretation of D/H values determined on petroleum hydrocarbons requires an understanding of the relative significance of the various factors that influence isotopic composition; however, it is difficult to quantitatively differentiate between hydrogen exchange reactions between carbon-bound hydrogen and water (and/or clay minerals) and fractionation associated purely with thermal alteration. To attempt to address this problem, an independent assessment of isotope effects due to thermal alteration on crude oil alone (i.e., in the absence of water or other minerals containing exchangeable hydrogen) should provide useful information. While all crude oils contain some small amount of water, this is significantly less than the amount generally added during hydrous pyrolysis experiments, and substantially less than the amount of formation water found in typical reservoir settings. Based on mass balance calculations, it has been shown that the small amount of water contained within a hydrophobic crude oil sample has a negligible effect on the overall observed hydrocarbon D/H ratios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et al., 1999).</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The main aim of the present study was to measure and model the effect of thermal maturation on both hydrogen and carbon isotopic fractionation for individual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in petroleum by performing a series of controlled laboratory heating experiments on a produced oil sample in the absence of additional water (the oil contains 0.04% water). Additional pyrolysis experiments were performed on pure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extracted from the same oil, to confirm the assertion that isotopic exchange between saturated hydrocarbons and water contained in the oil is insignificant and to remove all other potentially reactive species in the oil matrix (e.g., aromatics, asphaltenes). These laboratory results and additional quantum mechanical calculations were used to constrain a kinetic model of thermally induced hydrogen and carbon isotopic fractionation in individual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The results obtained from this work provide an initial estimate of the relative importance of the isotopic fractionations associated with thermal maturation of hydrocarbons. This will help to improve our level of understanding of the controls on isotopic variability in oils and </w:t>
      </w:r>
      <w:proofErr w:type="spellStart"/>
      <w:r w:rsidRPr="00507520">
        <w:rPr>
          <w:rFonts w:ascii="Times New Roman" w:eastAsia="Times New Roman" w:hAnsi="Times New Roman" w:cs="Times New Roman"/>
          <w:sz w:val="24"/>
          <w:szCs w:val="24"/>
        </w:rPr>
        <w:t>bitumens</w:t>
      </w:r>
      <w:proofErr w:type="spellEnd"/>
      <w:r w:rsidRPr="00507520">
        <w:rPr>
          <w:rFonts w:ascii="Times New Roman" w:eastAsia="Times New Roman" w:hAnsi="Times New Roman" w:cs="Times New Roman"/>
          <w:sz w:val="24"/>
          <w:szCs w:val="24"/>
        </w:rPr>
        <w:t xml:space="preserve">, which is an essential requirement for proper interpretation of carbon and hydrogen stable isotopic compositions </w:t>
      </w:r>
      <w:r w:rsidRPr="00507520">
        <w:rPr>
          <w:rFonts w:ascii="Times New Roman" w:eastAsia="Times New Roman" w:hAnsi="Times New Roman" w:cs="Times New Roman"/>
          <w:sz w:val="24"/>
          <w:szCs w:val="24"/>
        </w:rPr>
        <w:lastRenderedPageBreak/>
        <w:t>of petroleum hydrocarbons (e.g., oil-oil correlations and thermal history assessment of high-maturity oils).</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Section snippets</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Samples</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A produced oil sample from the North Sea was used for artificial thermal maturation experiments. Selected bulk chemistry, physical properties, and molecular data for this oil are presented in Table 1.</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Crude oil</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Oil pyrolysis experiments were performed under anhydrous, closed-system conditions using sealed gold reactor tubes. Details of the apparatus employed are published elsewhere (Tang and Behar, 1995). In this work, 60 mm x 3.5 mm i.d. gold tubes (wall thickness 0.35 mm) were heated to 650°C (30 min)</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i/>
          <w:iCs/>
          <w:sz w:val="36"/>
          <w:szCs w:val="36"/>
        </w:rPr>
        <w:t>n</w:t>
      </w:r>
      <w:r w:rsidRPr="00507520">
        <w:rPr>
          <w:rFonts w:ascii="Times New Roman" w:eastAsia="Times New Roman" w:hAnsi="Times New Roman" w:cs="Times New Roman"/>
          <w:b/>
          <w:bCs/>
          <w:sz w:val="36"/>
          <w:szCs w:val="36"/>
        </w:rPr>
        <w:t>-Alkane Concentrations in Oil Pyrolysis Experiments</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Gas chromatograms of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-hexane soluble fractions isolated from the original North Sea oil and </w:t>
      </w:r>
      <w:proofErr w:type="spellStart"/>
      <w:r w:rsidRPr="00507520">
        <w:rPr>
          <w:rFonts w:ascii="Times New Roman" w:eastAsia="Times New Roman" w:hAnsi="Times New Roman" w:cs="Times New Roman"/>
          <w:sz w:val="24"/>
          <w:szCs w:val="24"/>
        </w:rPr>
        <w:t>pyrolysates</w:t>
      </w:r>
      <w:proofErr w:type="spellEnd"/>
      <w:r w:rsidRPr="00507520">
        <w:rPr>
          <w:rFonts w:ascii="Times New Roman" w:eastAsia="Times New Roman" w:hAnsi="Times New Roman" w:cs="Times New Roman"/>
          <w:sz w:val="24"/>
          <w:szCs w:val="24"/>
        </w:rPr>
        <w:t xml:space="preserve"> obtained after heating subsamples to various temperatures over the range 390 to 460°C (at 10°C h</w:t>
      </w:r>
      <w:r w:rsidRPr="00507520">
        <w:rPr>
          <w:rFonts w:ascii="Times New Roman" w:eastAsia="Times New Roman" w:hAnsi="Times New Roman" w:cs="Times New Roman"/>
          <w:sz w:val="24"/>
          <w:szCs w:val="24"/>
          <w:vertAlign w:val="superscript"/>
        </w:rPr>
        <w:t>-1</w:t>
      </w:r>
      <w:r w:rsidRPr="00507520">
        <w:rPr>
          <w:rFonts w:ascii="Times New Roman" w:eastAsia="Times New Roman" w:hAnsi="Times New Roman" w:cs="Times New Roman"/>
          <w:sz w:val="24"/>
          <w:szCs w:val="24"/>
        </w:rPr>
        <w:t>) are presented in Figure 1, and the concentrations of the C</w:t>
      </w:r>
      <w:r w:rsidRPr="00507520">
        <w:rPr>
          <w:rFonts w:ascii="Times New Roman" w:eastAsia="Times New Roman" w:hAnsi="Times New Roman" w:cs="Times New Roman"/>
          <w:sz w:val="24"/>
          <w:szCs w:val="24"/>
          <w:vertAlign w:val="subscript"/>
        </w:rPr>
        <w:t>13</w:t>
      </w:r>
      <w:r w:rsidRPr="00507520">
        <w:rPr>
          <w:rFonts w:ascii="Times New Roman" w:eastAsia="Times New Roman" w:hAnsi="Times New Roman" w:cs="Times New Roman"/>
          <w:sz w:val="24"/>
          <w:szCs w:val="24"/>
        </w:rPr>
        <w:t xml:space="preserve"> to C</w:t>
      </w:r>
      <w:r w:rsidRPr="00507520">
        <w:rPr>
          <w:rFonts w:ascii="Times New Roman" w:eastAsia="Times New Roman" w:hAnsi="Times New Roman" w:cs="Times New Roman"/>
          <w:sz w:val="24"/>
          <w:szCs w:val="24"/>
          <w:vertAlign w:val="subscript"/>
        </w:rPr>
        <w:t>21</w:t>
      </w:r>
      <w:r w:rsidRPr="00507520">
        <w:rPr>
          <w:rFonts w:ascii="Times New Roman" w:eastAsia="Times New Roman" w:hAnsi="Times New Roman" w:cs="Times New Roman"/>
          <w:sz w:val="24"/>
          <w:szCs w:val="24"/>
        </w:rPr>
        <w:t xml:space="preserve">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-alkanes are included in Table 2. Distributions of C</w:t>
      </w:r>
      <w:r w:rsidRPr="00507520">
        <w:rPr>
          <w:rFonts w:ascii="Times New Roman" w:eastAsia="Times New Roman" w:hAnsi="Times New Roman" w:cs="Times New Roman"/>
          <w:sz w:val="24"/>
          <w:szCs w:val="24"/>
          <w:vertAlign w:val="subscript"/>
        </w:rPr>
        <w:t>11</w:t>
      </w:r>
      <w:r w:rsidRPr="00507520">
        <w:rPr>
          <w:rFonts w:ascii="Times New Roman" w:eastAsia="Times New Roman" w:hAnsi="Times New Roman" w:cs="Times New Roman"/>
          <w:sz w:val="24"/>
          <w:szCs w:val="24"/>
        </w:rPr>
        <w:t xml:space="preserve"> to C</w:t>
      </w:r>
      <w:r w:rsidRPr="00507520">
        <w:rPr>
          <w:rFonts w:ascii="Times New Roman" w:eastAsia="Times New Roman" w:hAnsi="Times New Roman" w:cs="Times New Roman"/>
          <w:sz w:val="24"/>
          <w:szCs w:val="24"/>
          <w:vertAlign w:val="subscript"/>
        </w:rPr>
        <w:t>35</w:t>
      </w:r>
      <w:r w:rsidRPr="00507520">
        <w:rPr>
          <w:rFonts w:ascii="Times New Roman" w:eastAsia="Times New Roman" w:hAnsi="Times New Roman" w:cs="Times New Roman"/>
          <w:sz w:val="24"/>
          <w:szCs w:val="24"/>
        </w:rPr>
        <w:t xml:space="preserve">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-alkanes, C</w:t>
      </w:r>
      <w:r w:rsidRPr="00507520">
        <w:rPr>
          <w:rFonts w:ascii="Times New Roman" w:eastAsia="Times New Roman" w:hAnsi="Times New Roman" w:cs="Times New Roman"/>
          <w:sz w:val="24"/>
          <w:szCs w:val="24"/>
          <w:vertAlign w:val="subscript"/>
        </w:rPr>
        <w:t>13</w:t>
      </w:r>
      <w:r w:rsidRPr="00507520">
        <w:rPr>
          <w:rFonts w:ascii="Times New Roman" w:eastAsia="Times New Roman" w:hAnsi="Times New Roman" w:cs="Times New Roman"/>
          <w:sz w:val="24"/>
          <w:szCs w:val="24"/>
        </w:rPr>
        <w:t xml:space="preserve"> to C</w:t>
      </w:r>
      <w:r w:rsidRPr="00507520">
        <w:rPr>
          <w:rFonts w:ascii="Times New Roman" w:eastAsia="Times New Roman" w:hAnsi="Times New Roman" w:cs="Times New Roman"/>
          <w:sz w:val="24"/>
          <w:szCs w:val="24"/>
          <w:vertAlign w:val="subscript"/>
        </w:rPr>
        <w:t>20</w:t>
      </w:r>
      <w:r w:rsidRPr="00507520">
        <w:rPr>
          <w:rFonts w:ascii="Times New Roman" w:eastAsia="Times New Roman" w:hAnsi="Times New Roman" w:cs="Times New Roman"/>
          <w:sz w:val="24"/>
          <w:szCs w:val="24"/>
        </w:rPr>
        <w:t xml:space="preserve"> acyclic isoprenoids (including pristane [C</w:t>
      </w:r>
      <w:r w:rsidRPr="00507520">
        <w:rPr>
          <w:rFonts w:ascii="Times New Roman" w:eastAsia="Times New Roman" w:hAnsi="Times New Roman" w:cs="Times New Roman"/>
          <w:sz w:val="24"/>
          <w:szCs w:val="24"/>
          <w:vertAlign w:val="subscript"/>
        </w:rPr>
        <w:t>19</w:t>
      </w:r>
      <w:r w:rsidRPr="00507520">
        <w:rPr>
          <w:rFonts w:ascii="Times New Roman" w:eastAsia="Times New Roman" w:hAnsi="Times New Roman" w:cs="Times New Roman"/>
          <w:sz w:val="24"/>
          <w:szCs w:val="24"/>
        </w:rPr>
        <w:t>] and phytane [C</w:t>
      </w:r>
      <w:r w:rsidRPr="00507520">
        <w:rPr>
          <w:rFonts w:ascii="Times New Roman" w:eastAsia="Times New Roman" w:hAnsi="Times New Roman" w:cs="Times New Roman"/>
          <w:sz w:val="24"/>
          <w:szCs w:val="24"/>
          <w:vertAlign w:val="subscript"/>
        </w:rPr>
        <w:t>20</w:t>
      </w:r>
      <w:r w:rsidRPr="00507520">
        <w:rPr>
          <w:rFonts w:ascii="Times New Roman" w:eastAsia="Times New Roman" w:hAnsi="Times New Roman" w:cs="Times New Roman"/>
          <w:sz w:val="24"/>
          <w:szCs w:val="24"/>
        </w:rPr>
        <w:t>]), and other less prominent, chromatographically resolvable species in the</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Extrapolation to Geological Heating Conditions</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Using the kinetic calculations derived above, we can extrapolate the fractionations of carbon and hydrogen isotopes of individual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-alkanes in the North Sea oil, observed under laboratory conditions, to typical geological heating rates. One important caveat to this type of extrapolation is that our empiric and theoretical results only account for isotopic effects associated with thermal maturation and do not address other sources of isotopic variation (e.g., isotopic exchange with formation</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Conclusions</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t xml:space="preserve">Thermally induced changes in the hydrogen and carbon isotopic compositions of individual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 xml:space="preserve">-alkanes during primary cracking of a produced crude oil from the North Sea have been modeled based on laboratory pyrolysis data (anhydrous, closed system) and theoretical chemical kinetics computations. Pyrolysis experiments were intentionally designed to exclude additional water so as to isolate the effect of hydrocarbon cracking. Subsequent pyrolysis experiments involving urea adducted </w:t>
      </w:r>
      <w:r w:rsidRPr="00507520">
        <w:rPr>
          <w:rFonts w:ascii="Times New Roman" w:eastAsia="Times New Roman" w:hAnsi="Times New Roman" w:cs="Times New Roman"/>
          <w:i/>
          <w:iCs/>
          <w:sz w:val="24"/>
          <w:szCs w:val="24"/>
        </w:rPr>
        <w:t>n</w:t>
      </w:r>
      <w:r w:rsidRPr="00507520">
        <w:rPr>
          <w:rFonts w:ascii="Times New Roman" w:eastAsia="Times New Roman" w:hAnsi="Times New Roman" w:cs="Times New Roman"/>
          <w:sz w:val="24"/>
          <w:szCs w:val="24"/>
        </w:rPr>
        <w:t>-alkanes</w:t>
      </w:r>
    </w:p>
    <w:p w:rsidR="00507520" w:rsidRPr="00507520" w:rsidRDefault="00507520" w:rsidP="00507520">
      <w:pPr>
        <w:spacing w:before="100" w:beforeAutospacing="1" w:after="100" w:afterAutospacing="1" w:line="240" w:lineRule="auto"/>
        <w:outlineLvl w:val="1"/>
        <w:rPr>
          <w:rFonts w:ascii="Times New Roman" w:eastAsia="Times New Roman" w:hAnsi="Times New Roman" w:cs="Times New Roman"/>
          <w:b/>
          <w:bCs/>
          <w:sz w:val="36"/>
          <w:szCs w:val="36"/>
        </w:rPr>
      </w:pPr>
      <w:r w:rsidRPr="00507520">
        <w:rPr>
          <w:rFonts w:ascii="Times New Roman" w:eastAsia="Times New Roman" w:hAnsi="Times New Roman" w:cs="Times New Roman"/>
          <w:b/>
          <w:bCs/>
          <w:sz w:val="36"/>
          <w:szCs w:val="36"/>
        </w:rPr>
        <w:t>Acknowledgments</w:t>
      </w:r>
    </w:p>
    <w:p w:rsidR="00507520" w:rsidRPr="00507520" w:rsidRDefault="00507520" w:rsidP="00507520">
      <w:pPr>
        <w:spacing w:before="100" w:beforeAutospacing="1" w:after="100" w:afterAutospacing="1" w:line="240" w:lineRule="auto"/>
        <w:rPr>
          <w:rFonts w:ascii="Times New Roman" w:eastAsia="Times New Roman" w:hAnsi="Times New Roman" w:cs="Times New Roman"/>
          <w:sz w:val="24"/>
          <w:szCs w:val="24"/>
        </w:rPr>
      </w:pPr>
      <w:r w:rsidRPr="00507520">
        <w:rPr>
          <w:rFonts w:ascii="Times New Roman" w:eastAsia="Times New Roman" w:hAnsi="Times New Roman" w:cs="Times New Roman"/>
          <w:sz w:val="24"/>
          <w:szCs w:val="24"/>
        </w:rPr>
        <w:lastRenderedPageBreak/>
        <w:t xml:space="preserve">Major funding for this project was provided by the U.S. Department of Energy for the Advanced Chemistry of Basin Modeling project at the California Institute of Technology. We would like to thank Peter </w:t>
      </w:r>
      <w:proofErr w:type="spellStart"/>
      <w:r w:rsidRPr="00507520">
        <w:rPr>
          <w:rFonts w:ascii="Times New Roman" w:eastAsia="Times New Roman" w:hAnsi="Times New Roman" w:cs="Times New Roman"/>
          <w:sz w:val="24"/>
          <w:szCs w:val="24"/>
        </w:rPr>
        <w:t>Jenden</w:t>
      </w:r>
      <w:proofErr w:type="spellEnd"/>
      <w:r w:rsidRPr="00507520">
        <w:rPr>
          <w:rFonts w:ascii="Times New Roman" w:eastAsia="Times New Roman" w:hAnsi="Times New Roman" w:cs="Times New Roman"/>
          <w:sz w:val="24"/>
          <w:szCs w:val="24"/>
        </w:rPr>
        <w:t xml:space="preserve"> and Jason Perry for their early contributions to isotope fractionation modeling and all positive discussions. The manuscript was greatly improved through the editorial assistance of Roger Summons and Jeffrey Seewald, and helpful reviews were provided by Arndt </w:t>
      </w:r>
      <w:proofErr w:type="spellStart"/>
      <w:r w:rsidRPr="00507520">
        <w:rPr>
          <w:rFonts w:ascii="Times New Roman" w:eastAsia="Times New Roman" w:hAnsi="Times New Roman" w:cs="Times New Roman"/>
          <w:sz w:val="24"/>
          <w:szCs w:val="24"/>
        </w:rPr>
        <w:t>Schimmelmann</w:t>
      </w:r>
      <w:proofErr w:type="spellEnd"/>
      <w:r w:rsidRPr="00507520">
        <w:rPr>
          <w:rFonts w:ascii="Times New Roman" w:eastAsia="Times New Roman" w:hAnsi="Times New Roman" w:cs="Times New Roman"/>
          <w:sz w:val="24"/>
          <w:szCs w:val="24"/>
        </w:rPr>
        <w:t xml:space="preserve">, </w:t>
      </w:r>
      <w:proofErr w:type="spellStart"/>
      <w:r w:rsidRPr="00507520">
        <w:rPr>
          <w:rFonts w:ascii="Times New Roman" w:eastAsia="Times New Roman" w:hAnsi="Times New Roman" w:cs="Times New Roman"/>
          <w:sz w:val="24"/>
          <w:szCs w:val="24"/>
        </w:rPr>
        <w:t>Kliti</w:t>
      </w:r>
      <w:proofErr w:type="spellEnd"/>
      <w:r w:rsidRPr="00507520">
        <w:rPr>
          <w:rFonts w:ascii="Times New Roman" w:eastAsia="Times New Roman" w:hAnsi="Times New Roman" w:cs="Times New Roman"/>
          <w:sz w:val="24"/>
          <w:szCs w:val="24"/>
        </w:rPr>
        <w:t xml:space="preserve"> Grice, and </w:t>
      </w:r>
    </w:p>
    <w:p w:rsidR="00CF6A21" w:rsidRDefault="00CF6A21"/>
    <w:sectPr w:rsidR="00CF6A2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20"/>
    <w:rsid w:val="00507520"/>
    <w:rsid w:val="00CF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2716"/>
  <w15:chartTrackingRefBased/>
  <w15:docId w15:val="{42D5E715-EECE-42CF-B14A-7113C3AF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387448">
      <w:bodyDiv w:val="1"/>
      <w:marLeft w:val="0"/>
      <w:marRight w:val="0"/>
      <w:marTop w:val="0"/>
      <w:marBottom w:val="0"/>
      <w:divBdr>
        <w:top w:val="none" w:sz="0" w:space="0" w:color="auto"/>
        <w:left w:val="none" w:sz="0" w:space="0" w:color="auto"/>
        <w:bottom w:val="none" w:sz="0" w:space="0" w:color="auto"/>
        <w:right w:val="none" w:sz="0" w:space="0" w:color="auto"/>
      </w:divBdr>
      <w:divsChild>
        <w:div w:id="120534179">
          <w:marLeft w:val="0"/>
          <w:marRight w:val="0"/>
          <w:marTop w:val="0"/>
          <w:marBottom w:val="0"/>
          <w:divBdr>
            <w:top w:val="none" w:sz="0" w:space="0" w:color="auto"/>
            <w:left w:val="none" w:sz="0" w:space="0" w:color="auto"/>
            <w:bottom w:val="none" w:sz="0" w:space="0" w:color="auto"/>
            <w:right w:val="none" w:sz="0" w:space="0" w:color="auto"/>
          </w:divBdr>
          <w:divsChild>
            <w:div w:id="1496996046">
              <w:marLeft w:val="0"/>
              <w:marRight w:val="0"/>
              <w:marTop w:val="0"/>
              <w:marBottom w:val="0"/>
              <w:divBdr>
                <w:top w:val="none" w:sz="0" w:space="0" w:color="auto"/>
                <w:left w:val="none" w:sz="0" w:space="0" w:color="auto"/>
                <w:bottom w:val="none" w:sz="0" w:space="0" w:color="auto"/>
                <w:right w:val="none" w:sz="0" w:space="0" w:color="auto"/>
              </w:divBdr>
              <w:divsChild>
                <w:div w:id="1745906871">
                  <w:marLeft w:val="0"/>
                  <w:marRight w:val="0"/>
                  <w:marTop w:val="0"/>
                  <w:marBottom w:val="0"/>
                  <w:divBdr>
                    <w:top w:val="none" w:sz="0" w:space="0" w:color="auto"/>
                    <w:left w:val="none" w:sz="0" w:space="0" w:color="auto"/>
                    <w:bottom w:val="none" w:sz="0" w:space="0" w:color="auto"/>
                    <w:right w:val="none" w:sz="0" w:space="0" w:color="auto"/>
                  </w:divBdr>
                  <w:divsChild>
                    <w:div w:id="9641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437151">
          <w:marLeft w:val="0"/>
          <w:marRight w:val="0"/>
          <w:marTop w:val="0"/>
          <w:marBottom w:val="0"/>
          <w:divBdr>
            <w:top w:val="none" w:sz="0" w:space="0" w:color="auto"/>
            <w:left w:val="none" w:sz="0" w:space="0" w:color="auto"/>
            <w:bottom w:val="none" w:sz="0" w:space="0" w:color="auto"/>
            <w:right w:val="none" w:sz="0" w:space="0" w:color="auto"/>
          </w:divBdr>
          <w:divsChild>
            <w:div w:id="915818038">
              <w:marLeft w:val="0"/>
              <w:marRight w:val="0"/>
              <w:marTop w:val="0"/>
              <w:marBottom w:val="0"/>
              <w:divBdr>
                <w:top w:val="none" w:sz="0" w:space="0" w:color="auto"/>
                <w:left w:val="none" w:sz="0" w:space="0" w:color="auto"/>
                <w:bottom w:val="none" w:sz="0" w:space="0" w:color="auto"/>
                <w:right w:val="none" w:sz="0" w:space="0" w:color="auto"/>
              </w:divBdr>
              <w:divsChild>
                <w:div w:id="1559973248">
                  <w:marLeft w:val="0"/>
                  <w:marRight w:val="0"/>
                  <w:marTop w:val="0"/>
                  <w:marBottom w:val="0"/>
                  <w:divBdr>
                    <w:top w:val="none" w:sz="0" w:space="0" w:color="auto"/>
                    <w:left w:val="none" w:sz="0" w:space="0" w:color="auto"/>
                    <w:bottom w:val="none" w:sz="0" w:space="0" w:color="auto"/>
                    <w:right w:val="none" w:sz="0" w:space="0" w:color="auto"/>
                  </w:divBdr>
                  <w:divsChild>
                    <w:div w:id="14646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41">
          <w:marLeft w:val="0"/>
          <w:marRight w:val="0"/>
          <w:marTop w:val="0"/>
          <w:marBottom w:val="0"/>
          <w:divBdr>
            <w:top w:val="none" w:sz="0" w:space="0" w:color="auto"/>
            <w:left w:val="none" w:sz="0" w:space="0" w:color="auto"/>
            <w:bottom w:val="none" w:sz="0" w:space="0" w:color="auto"/>
            <w:right w:val="none" w:sz="0" w:space="0" w:color="auto"/>
          </w:divBdr>
          <w:divsChild>
            <w:div w:id="1554079089">
              <w:marLeft w:val="0"/>
              <w:marRight w:val="0"/>
              <w:marTop w:val="0"/>
              <w:marBottom w:val="0"/>
              <w:divBdr>
                <w:top w:val="none" w:sz="0" w:space="0" w:color="auto"/>
                <w:left w:val="none" w:sz="0" w:space="0" w:color="auto"/>
                <w:bottom w:val="none" w:sz="0" w:space="0" w:color="auto"/>
                <w:right w:val="none" w:sz="0" w:space="0" w:color="auto"/>
              </w:divBdr>
            </w:div>
          </w:divsChild>
        </w:div>
        <w:div w:id="116527286">
          <w:marLeft w:val="0"/>
          <w:marRight w:val="0"/>
          <w:marTop w:val="0"/>
          <w:marBottom w:val="0"/>
          <w:divBdr>
            <w:top w:val="none" w:sz="0" w:space="0" w:color="auto"/>
            <w:left w:val="none" w:sz="0" w:space="0" w:color="auto"/>
            <w:bottom w:val="none" w:sz="0" w:space="0" w:color="auto"/>
            <w:right w:val="none" w:sz="0" w:space="0" w:color="auto"/>
          </w:divBdr>
          <w:divsChild>
            <w:div w:id="18202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leavag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isotopic-fraction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low-molecular-weight" TargetMode="External"/><Relationship Id="rId11" Type="http://schemas.openxmlformats.org/officeDocument/2006/relationships/fontTable" Target="fontTable.xml"/><Relationship Id="rId5" Type="http://schemas.openxmlformats.org/officeDocument/2006/relationships/hyperlink" Target="https://www.sciencedirect.com/topics/earth-and-planetary-sciences/vitrinite-reflectance" TargetMode="External"/><Relationship Id="rId10" Type="http://schemas.openxmlformats.org/officeDocument/2006/relationships/hyperlink" Target="https://www.sciencedirect.com/topics/earth-and-planetary-sciences/isotopic-composition" TargetMode="External"/><Relationship Id="rId4" Type="http://schemas.openxmlformats.org/officeDocument/2006/relationships/hyperlink" Target="https://doi.org/10.1016/j.gca.2004.12.026" TargetMode="External"/><Relationship Id="rId9" Type="http://schemas.openxmlformats.org/officeDocument/2006/relationships/hyperlink" Target="https://www.sciencedirect.com/topics/earth-and-planetary-sciences/thermal-alte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2382</Words>
  <Characters>13579</Characters>
  <Application>Microsoft Office Word</Application>
  <DocSecurity>0</DocSecurity>
  <Lines>113</Lines>
  <Paragraphs>31</Paragraphs>
  <ScaleCrop>false</ScaleCrop>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2023-11-18T02:56:00Z</dcterms:created>
  <dcterms:modified xsi:type="dcterms:W3CDTF">2023-11-18T02:56:00Z</dcterms:modified>
</cp:coreProperties>
</file>