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B7D90" w:rsidRPr="00EB7D90" w:rsidRDefault="00EB7D90" w:rsidP="00EB7D90">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EB7D90">
        <w:rPr>
          <w:rFonts w:ascii="Times New Roman" w:eastAsia="Times New Roman" w:hAnsi="Times New Roman" w:cs="Times New Roman"/>
          <w:b/>
          <w:bCs/>
          <w:kern w:val="36"/>
          <w:sz w:val="48"/>
          <w:szCs w:val="48"/>
          <w:lang w:val="en-US" w:eastAsia="ru-RU"/>
        </w:rPr>
        <w:t>Molybdenum and tungsten in volcanic rocks and in surface and &lt;100 °C ground waters in Iceland</w:t>
      </w:r>
    </w:p>
    <w:bookmarkStart w:id="0" w:name="baep-author-id11-profile"/>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eastAsia="ru-RU"/>
        </w:rPr>
        <w:fldChar w:fldCharType="begin"/>
      </w:r>
      <w:r w:rsidRPr="00EB7D90">
        <w:rPr>
          <w:rFonts w:ascii="Times New Roman" w:eastAsia="Times New Roman" w:hAnsi="Times New Roman" w:cs="Times New Roman"/>
          <w:sz w:val="24"/>
          <w:szCs w:val="24"/>
          <w:lang w:val="en-US" w:eastAsia="ru-RU"/>
        </w:rPr>
        <w:instrText xml:space="preserve"> HYPERLINK "https://www.sciencedirect.com/author/7004258028/stefan-a-arnorsson" </w:instrText>
      </w:r>
      <w:r w:rsidRPr="00EB7D90">
        <w:rPr>
          <w:rFonts w:ascii="Times New Roman" w:eastAsia="Times New Roman" w:hAnsi="Times New Roman" w:cs="Times New Roman"/>
          <w:sz w:val="24"/>
          <w:szCs w:val="24"/>
          <w:lang w:eastAsia="ru-RU"/>
        </w:rPr>
        <w:fldChar w:fldCharType="separate"/>
      </w:r>
      <w:proofErr w:type="spellStart"/>
      <w:r w:rsidRPr="00EB7D90">
        <w:rPr>
          <w:rFonts w:ascii="Times New Roman" w:eastAsia="Times New Roman" w:hAnsi="Times New Roman" w:cs="Times New Roman"/>
          <w:color w:val="0000FF"/>
          <w:sz w:val="24"/>
          <w:szCs w:val="24"/>
          <w:u w:val="single"/>
          <w:lang w:val="en-US" w:eastAsia="ru-RU"/>
        </w:rPr>
        <w:t>Stefán</w:t>
      </w:r>
      <w:proofErr w:type="spellEnd"/>
      <w:r w:rsidRPr="00EB7D90">
        <w:rPr>
          <w:rFonts w:ascii="Times New Roman" w:eastAsia="Times New Roman" w:hAnsi="Times New Roman" w:cs="Times New Roman"/>
          <w:color w:val="0000FF"/>
          <w:sz w:val="24"/>
          <w:szCs w:val="24"/>
          <w:u w:val="single"/>
          <w:lang w:val="en-US" w:eastAsia="ru-RU"/>
        </w:rPr>
        <w:t xml:space="preserve"> </w:t>
      </w:r>
      <w:proofErr w:type="spellStart"/>
      <w:r w:rsidRPr="00EB7D90">
        <w:rPr>
          <w:rFonts w:ascii="Times New Roman" w:eastAsia="Times New Roman" w:hAnsi="Times New Roman" w:cs="Times New Roman"/>
          <w:color w:val="0000FF"/>
          <w:sz w:val="24"/>
          <w:szCs w:val="24"/>
          <w:u w:val="single"/>
          <w:lang w:val="en-US" w:eastAsia="ru-RU"/>
        </w:rPr>
        <w:t>Arnórsson</w:t>
      </w:r>
      <w:proofErr w:type="spellEnd"/>
      <w:r w:rsidRPr="00EB7D90">
        <w:rPr>
          <w:rFonts w:ascii="Times New Roman" w:eastAsia="Times New Roman" w:hAnsi="Times New Roman" w:cs="Times New Roman"/>
          <w:sz w:val="24"/>
          <w:szCs w:val="24"/>
          <w:lang w:eastAsia="ru-RU"/>
        </w:rPr>
        <w:fldChar w:fldCharType="end"/>
      </w:r>
      <w:bookmarkStart w:id="1" w:name="_GoBack"/>
      <w:bookmarkEnd w:id="0"/>
      <w:bookmarkEnd w:id="1"/>
      <w:r w:rsidRPr="00EB7D90">
        <w:rPr>
          <w:rFonts w:ascii="Times New Roman" w:eastAsia="Times New Roman" w:hAnsi="Times New Roman" w:cs="Times New Roman"/>
          <w:sz w:val="24"/>
          <w:szCs w:val="24"/>
          <w:lang w:val="en-US" w:eastAsia="ru-RU"/>
        </w:rPr>
        <w:t xml:space="preserve">, </w:t>
      </w:r>
      <w:bookmarkStart w:id="2" w:name="baep-author-id12-profile"/>
      <w:r w:rsidRPr="00EB7D90">
        <w:rPr>
          <w:rFonts w:ascii="Times New Roman" w:eastAsia="Times New Roman" w:hAnsi="Times New Roman" w:cs="Times New Roman"/>
          <w:sz w:val="24"/>
          <w:szCs w:val="24"/>
          <w:lang w:eastAsia="ru-RU"/>
        </w:rPr>
        <w:fldChar w:fldCharType="begin"/>
      </w:r>
      <w:r w:rsidRPr="00EB7D90">
        <w:rPr>
          <w:rFonts w:ascii="Times New Roman" w:eastAsia="Times New Roman" w:hAnsi="Times New Roman" w:cs="Times New Roman"/>
          <w:sz w:val="24"/>
          <w:szCs w:val="24"/>
          <w:lang w:val="en-US" w:eastAsia="ru-RU"/>
        </w:rPr>
        <w:instrText xml:space="preserve"> HYPERLINK "https://www.sciencedirect.com/author/6603626843/niels-oskarsson" </w:instrText>
      </w:r>
      <w:r w:rsidRPr="00EB7D90">
        <w:rPr>
          <w:rFonts w:ascii="Times New Roman" w:eastAsia="Times New Roman" w:hAnsi="Times New Roman" w:cs="Times New Roman"/>
          <w:sz w:val="24"/>
          <w:szCs w:val="24"/>
          <w:lang w:eastAsia="ru-RU"/>
        </w:rPr>
        <w:fldChar w:fldCharType="separate"/>
      </w:r>
      <w:proofErr w:type="spellStart"/>
      <w:r w:rsidRPr="00EB7D90">
        <w:rPr>
          <w:rFonts w:ascii="Times New Roman" w:eastAsia="Times New Roman" w:hAnsi="Times New Roman" w:cs="Times New Roman"/>
          <w:color w:val="0000FF"/>
          <w:sz w:val="24"/>
          <w:szCs w:val="24"/>
          <w:u w:val="single"/>
          <w:lang w:val="en-US" w:eastAsia="ru-RU"/>
        </w:rPr>
        <w:t>Níels</w:t>
      </w:r>
      <w:proofErr w:type="spellEnd"/>
      <w:r w:rsidRPr="00EB7D90">
        <w:rPr>
          <w:rFonts w:ascii="Times New Roman" w:eastAsia="Times New Roman" w:hAnsi="Times New Roman" w:cs="Times New Roman"/>
          <w:color w:val="0000FF"/>
          <w:sz w:val="24"/>
          <w:szCs w:val="24"/>
          <w:u w:val="single"/>
          <w:lang w:val="en-US" w:eastAsia="ru-RU"/>
        </w:rPr>
        <w:t xml:space="preserve"> </w:t>
      </w:r>
      <w:proofErr w:type="spellStart"/>
      <w:r w:rsidRPr="00EB7D90">
        <w:rPr>
          <w:rFonts w:ascii="Times New Roman" w:eastAsia="Times New Roman" w:hAnsi="Times New Roman" w:cs="Times New Roman"/>
          <w:color w:val="0000FF"/>
          <w:sz w:val="24"/>
          <w:szCs w:val="24"/>
          <w:u w:val="single"/>
          <w:lang w:val="en-US" w:eastAsia="ru-RU"/>
        </w:rPr>
        <w:t>Óskarsson</w:t>
      </w:r>
      <w:proofErr w:type="spellEnd"/>
      <w:r w:rsidRPr="00EB7D90">
        <w:rPr>
          <w:rFonts w:ascii="Times New Roman" w:eastAsia="Times New Roman" w:hAnsi="Times New Roman" w:cs="Times New Roman"/>
          <w:sz w:val="24"/>
          <w:szCs w:val="24"/>
          <w:lang w:eastAsia="ru-RU"/>
        </w:rPr>
        <w:fldChar w:fldCharType="end"/>
      </w:r>
      <w:bookmarkEnd w:id="2"/>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 w:eastAsia="ru-RU"/>
        </w:rPr>
      </w:pPr>
      <w:r w:rsidRPr="00EB7D90">
        <w:rPr>
          <w:rFonts w:ascii="Times New Roman" w:eastAsia="Times New Roman" w:hAnsi="Times New Roman" w:cs="Times New Roman"/>
          <w:b/>
          <w:bCs/>
          <w:sz w:val="36"/>
          <w:szCs w:val="36"/>
          <w:lang w:val="en" w:eastAsia="ru-RU"/>
        </w:rPr>
        <w:t>Abstract</w:t>
      </w:r>
    </w:p>
    <w:p w:rsidR="00EB7D90" w:rsidRPr="00EB7D90" w:rsidRDefault="00EB7D90" w:rsidP="00EB7D90">
      <w:pPr>
        <w:spacing w:after="0" w:line="240" w:lineRule="auto"/>
        <w:rPr>
          <w:rFonts w:ascii="Times New Roman" w:eastAsia="Times New Roman" w:hAnsi="Times New Roman" w:cs="Times New Roman"/>
          <w:sz w:val="24"/>
          <w:szCs w:val="24"/>
          <w:lang w:val="en" w:eastAsia="ru-RU"/>
        </w:rPr>
      </w:pPr>
      <w:r w:rsidRPr="00EB7D90">
        <w:rPr>
          <w:rFonts w:ascii="Times New Roman" w:eastAsia="Times New Roman" w:hAnsi="Times New Roman" w:cs="Times New Roman"/>
          <w:sz w:val="24"/>
          <w:szCs w:val="24"/>
          <w:lang w:val="en" w:eastAsia="ru-RU"/>
        </w:rPr>
        <w:t xml:space="preserve">The concentrations of Mo and W in </w:t>
      </w:r>
      <w:hyperlink r:id="rId4" w:history="1">
        <w:r w:rsidRPr="00EB7D90">
          <w:rPr>
            <w:rFonts w:ascii="Times New Roman" w:eastAsia="Times New Roman" w:hAnsi="Times New Roman" w:cs="Times New Roman"/>
            <w:color w:val="0000FF"/>
            <w:sz w:val="24"/>
            <w:szCs w:val="24"/>
            <w:u w:val="single"/>
            <w:lang w:val="en" w:eastAsia="ru-RU"/>
          </w:rPr>
          <w:t>tholeiite</w:t>
        </w:r>
      </w:hyperlink>
      <w:r w:rsidRPr="00EB7D90">
        <w:rPr>
          <w:rFonts w:ascii="Times New Roman" w:eastAsia="Times New Roman" w:hAnsi="Times New Roman" w:cs="Times New Roman"/>
          <w:sz w:val="24"/>
          <w:szCs w:val="24"/>
          <w:lang w:val="en" w:eastAsia="ru-RU"/>
        </w:rPr>
        <w:t xml:space="preserve"> series basaltic to silicic </w:t>
      </w:r>
      <w:proofErr w:type="spellStart"/>
      <w:r w:rsidRPr="00EB7D90">
        <w:rPr>
          <w:rFonts w:ascii="Times New Roman" w:eastAsia="Times New Roman" w:hAnsi="Times New Roman" w:cs="Times New Roman"/>
          <w:sz w:val="24"/>
          <w:szCs w:val="24"/>
          <w:lang w:val="en" w:eastAsia="ru-RU"/>
        </w:rPr>
        <w:t>volcanics</w:t>
      </w:r>
      <w:proofErr w:type="spellEnd"/>
      <w:r w:rsidRPr="00EB7D90">
        <w:rPr>
          <w:rFonts w:ascii="Times New Roman" w:eastAsia="Times New Roman" w:hAnsi="Times New Roman" w:cs="Times New Roman"/>
          <w:sz w:val="24"/>
          <w:szCs w:val="24"/>
          <w:lang w:val="en" w:eastAsia="ru-RU"/>
        </w:rPr>
        <w:t xml:space="preserve"> in Iceland increase with the concentrations of incompatible magmatic elements. In normal </w:t>
      </w:r>
      <w:hyperlink r:id="rId5" w:history="1">
        <w:r w:rsidRPr="00EB7D90">
          <w:rPr>
            <w:rFonts w:ascii="Times New Roman" w:eastAsia="Times New Roman" w:hAnsi="Times New Roman" w:cs="Times New Roman"/>
            <w:color w:val="0000FF"/>
            <w:sz w:val="24"/>
            <w:szCs w:val="24"/>
            <w:u w:val="single"/>
            <w:lang w:val="en" w:eastAsia="ru-RU"/>
          </w:rPr>
          <w:t>Mid Ocean Ridge Basalt</w:t>
        </w:r>
      </w:hyperlink>
      <w:r w:rsidRPr="00EB7D90">
        <w:rPr>
          <w:rFonts w:ascii="Times New Roman" w:eastAsia="Times New Roman" w:hAnsi="Times New Roman" w:cs="Times New Roman"/>
          <w:sz w:val="24"/>
          <w:szCs w:val="24"/>
          <w:lang w:val="en" w:eastAsia="ru-RU"/>
        </w:rPr>
        <w:t xml:space="preserve"> (MORB), Mo and W levels are as low as 0.03 and 0.01 ppm but in </w:t>
      </w:r>
      <w:hyperlink r:id="rId6" w:history="1">
        <w:r w:rsidRPr="00EB7D90">
          <w:rPr>
            <w:rFonts w:ascii="Times New Roman" w:eastAsia="Times New Roman" w:hAnsi="Times New Roman" w:cs="Times New Roman"/>
            <w:color w:val="0000FF"/>
            <w:sz w:val="24"/>
            <w:szCs w:val="24"/>
            <w:u w:val="single"/>
            <w:lang w:val="en" w:eastAsia="ru-RU"/>
          </w:rPr>
          <w:t>rhyolites</w:t>
        </w:r>
      </w:hyperlink>
      <w:r w:rsidRPr="00EB7D90">
        <w:rPr>
          <w:rFonts w:ascii="Times New Roman" w:eastAsia="Times New Roman" w:hAnsi="Times New Roman" w:cs="Times New Roman"/>
          <w:sz w:val="24"/>
          <w:szCs w:val="24"/>
          <w:lang w:val="en" w:eastAsia="ru-RU"/>
        </w:rPr>
        <w:t xml:space="preserve"> they are up to 4 and 1.3 ppm, respectively. In the slightly evolved Tertiary tholeiites of the main study area of </w:t>
      </w:r>
      <w:proofErr w:type="spellStart"/>
      <w:r w:rsidRPr="00EB7D90">
        <w:rPr>
          <w:rFonts w:ascii="Times New Roman" w:eastAsia="Times New Roman" w:hAnsi="Times New Roman" w:cs="Times New Roman"/>
          <w:sz w:val="24"/>
          <w:szCs w:val="24"/>
          <w:lang w:val="en" w:eastAsia="ru-RU"/>
        </w:rPr>
        <w:t>Skagafjördur</w:t>
      </w:r>
      <w:proofErr w:type="spellEnd"/>
      <w:r w:rsidRPr="00EB7D90">
        <w:rPr>
          <w:rFonts w:ascii="Times New Roman" w:eastAsia="Times New Roman" w:hAnsi="Times New Roman" w:cs="Times New Roman"/>
          <w:sz w:val="24"/>
          <w:szCs w:val="24"/>
          <w:lang w:val="en" w:eastAsia="ru-RU"/>
        </w:rPr>
        <w:t xml:space="preserve">, northern Iceland, Mo and W concentrations are 1.01 and 0.32 ppm, respectively, on average. Surface waters in this area typically contain &lt;0.5 ppb Mo and &lt;0.1 ppb W. Concentrations are higher in ground waters and, on the whole, they increase with increasing temperature and increasing age of these waters, being as high as </w:t>
      </w:r>
      <w:r w:rsidRPr="00EB7D90">
        <w:rPr>
          <w:rFonts w:ascii="Cambria Math" w:eastAsia="Times New Roman" w:hAnsi="Cambria Math" w:cs="Cambria Math"/>
          <w:sz w:val="24"/>
          <w:szCs w:val="24"/>
          <w:lang w:val="en" w:eastAsia="ru-RU"/>
        </w:rPr>
        <w:t>∼</w:t>
      </w:r>
      <w:r w:rsidRPr="00EB7D90">
        <w:rPr>
          <w:rFonts w:ascii="Times New Roman" w:eastAsia="Times New Roman" w:hAnsi="Times New Roman" w:cs="Times New Roman"/>
          <w:sz w:val="24"/>
          <w:szCs w:val="24"/>
          <w:lang w:val="en" w:eastAsia="ru-RU"/>
        </w:rPr>
        <w:t xml:space="preserve">100 ppb for Mo and </w:t>
      </w:r>
      <w:r w:rsidRPr="00EB7D90">
        <w:rPr>
          <w:rFonts w:ascii="Cambria Math" w:eastAsia="Times New Roman" w:hAnsi="Cambria Math" w:cs="Cambria Math"/>
          <w:sz w:val="24"/>
          <w:szCs w:val="24"/>
          <w:lang w:val="en" w:eastAsia="ru-RU"/>
        </w:rPr>
        <w:t>∼</w:t>
      </w:r>
      <w:r w:rsidRPr="00EB7D90">
        <w:rPr>
          <w:rFonts w:ascii="Times New Roman" w:eastAsia="Times New Roman" w:hAnsi="Times New Roman" w:cs="Times New Roman"/>
          <w:sz w:val="24"/>
          <w:szCs w:val="24"/>
          <w:lang w:val="en" w:eastAsia="ru-RU"/>
        </w:rPr>
        <w:t>10 ppb for W in the hottest (</w:t>
      </w:r>
      <w:r w:rsidRPr="00EB7D90">
        <w:rPr>
          <w:rFonts w:ascii="Cambria Math" w:eastAsia="Times New Roman" w:hAnsi="Cambria Math" w:cs="Cambria Math"/>
          <w:sz w:val="24"/>
          <w:szCs w:val="24"/>
          <w:lang w:val="en" w:eastAsia="ru-RU"/>
        </w:rPr>
        <w:t>∼</w:t>
      </w:r>
      <w:r w:rsidRPr="00EB7D90">
        <w:rPr>
          <w:rFonts w:ascii="Times New Roman" w:eastAsia="Times New Roman" w:hAnsi="Times New Roman" w:cs="Times New Roman"/>
          <w:sz w:val="24"/>
          <w:szCs w:val="24"/>
          <w:lang w:val="en" w:eastAsia="ru-RU"/>
        </w:rPr>
        <w:t xml:space="preserve">90 °C) and oldest (&gt;10,000 years) waters. In river and ground waters, the average Mo/W ratio is the same as that of the </w:t>
      </w:r>
      <w:hyperlink r:id="rId7" w:history="1">
        <w:r w:rsidRPr="00EB7D90">
          <w:rPr>
            <w:rFonts w:ascii="Times New Roman" w:eastAsia="Times New Roman" w:hAnsi="Times New Roman" w:cs="Times New Roman"/>
            <w:color w:val="0000FF"/>
            <w:sz w:val="24"/>
            <w:szCs w:val="24"/>
            <w:u w:val="single"/>
            <w:lang w:val="en" w:eastAsia="ru-RU"/>
          </w:rPr>
          <w:t>basalt</w:t>
        </w:r>
      </w:hyperlink>
      <w:r w:rsidRPr="00EB7D90">
        <w:rPr>
          <w:rFonts w:ascii="Times New Roman" w:eastAsia="Times New Roman" w:hAnsi="Times New Roman" w:cs="Times New Roman"/>
          <w:sz w:val="24"/>
          <w:szCs w:val="24"/>
          <w:lang w:val="en" w:eastAsia="ru-RU"/>
        </w:rPr>
        <w:t xml:space="preserve"> host rock. On the other hand, in </w:t>
      </w:r>
      <w:hyperlink r:id="rId8" w:history="1">
        <w:r w:rsidRPr="00EB7D90">
          <w:rPr>
            <w:rFonts w:ascii="Times New Roman" w:eastAsia="Times New Roman" w:hAnsi="Times New Roman" w:cs="Times New Roman"/>
            <w:color w:val="0000FF"/>
            <w:sz w:val="24"/>
            <w:szCs w:val="24"/>
            <w:u w:val="single"/>
            <w:lang w:val="en" w:eastAsia="ru-RU"/>
          </w:rPr>
          <w:t>peat soil</w:t>
        </w:r>
      </w:hyperlink>
      <w:r w:rsidRPr="00EB7D90">
        <w:rPr>
          <w:rFonts w:ascii="Times New Roman" w:eastAsia="Times New Roman" w:hAnsi="Times New Roman" w:cs="Times New Roman"/>
          <w:sz w:val="24"/>
          <w:szCs w:val="24"/>
          <w:lang w:val="en" w:eastAsia="ru-RU"/>
        </w:rPr>
        <w:t xml:space="preserve"> waters, the average Mo/W ratio is higher due to adsorption processes involving W. In river and ground waters, both Mo and W display conservative behavior. Progressive water–rock interaction leads to successively lower aquatic B/Mo and B/W ratios. However, the B/Mo and B/W ratios of the most reacted waters are considerably higher than those of the basalt due to non-stoichiometric rock dissolution: B is dissolved preferentially to both Mo and W because B is largely present in a soluble form, but Mo and W are concentrated in the Fe–</w:t>
      </w:r>
      <w:proofErr w:type="spellStart"/>
      <w:r w:rsidRPr="00EB7D90">
        <w:rPr>
          <w:rFonts w:ascii="Times New Roman" w:eastAsia="Times New Roman" w:hAnsi="Times New Roman" w:cs="Times New Roman"/>
          <w:sz w:val="24"/>
          <w:szCs w:val="24"/>
          <w:lang w:val="en" w:eastAsia="ru-RU"/>
        </w:rPr>
        <w:t>Ti</w:t>
      </w:r>
      <w:proofErr w:type="spellEnd"/>
      <w:r w:rsidRPr="00EB7D90">
        <w:rPr>
          <w:rFonts w:ascii="Times New Roman" w:eastAsia="Times New Roman" w:hAnsi="Times New Roman" w:cs="Times New Roman"/>
          <w:sz w:val="24"/>
          <w:szCs w:val="24"/>
          <w:lang w:val="en" w:eastAsia="ru-RU"/>
        </w:rPr>
        <w:t xml:space="preserve">-oxides. These minerals are stable, under both surface and sub-surface conditions, i.e. the waters are over-saturated with respect to these minerals. The main supply of Mo and W to surface waters is from dissolution of plagioclase and </w:t>
      </w:r>
      <w:hyperlink r:id="rId9" w:history="1">
        <w:r w:rsidRPr="00EB7D90">
          <w:rPr>
            <w:rFonts w:ascii="Times New Roman" w:eastAsia="Times New Roman" w:hAnsi="Times New Roman" w:cs="Times New Roman"/>
            <w:color w:val="0000FF"/>
            <w:sz w:val="24"/>
            <w:szCs w:val="24"/>
            <w:u w:val="single"/>
            <w:lang w:val="en" w:eastAsia="ru-RU"/>
          </w:rPr>
          <w:t>pyroxene</w:t>
        </w:r>
      </w:hyperlink>
      <w:r w:rsidRPr="00EB7D90">
        <w:rPr>
          <w:rFonts w:ascii="Times New Roman" w:eastAsia="Times New Roman" w:hAnsi="Times New Roman" w:cs="Times New Roman"/>
          <w:sz w:val="24"/>
          <w:szCs w:val="24"/>
          <w:lang w:val="en" w:eastAsia="ru-RU"/>
        </w:rPr>
        <w:t xml:space="preserve">, as well as </w:t>
      </w:r>
      <w:hyperlink r:id="rId10" w:history="1">
        <w:r w:rsidRPr="00EB7D90">
          <w:rPr>
            <w:rFonts w:ascii="Times New Roman" w:eastAsia="Times New Roman" w:hAnsi="Times New Roman" w:cs="Times New Roman"/>
            <w:color w:val="0000FF"/>
            <w:sz w:val="24"/>
            <w:szCs w:val="24"/>
            <w:u w:val="single"/>
            <w:lang w:val="en" w:eastAsia="ru-RU"/>
          </w:rPr>
          <w:t>volcanic glass</w:t>
        </w:r>
      </w:hyperlink>
      <w:r w:rsidRPr="00EB7D90">
        <w:rPr>
          <w:rFonts w:ascii="Times New Roman" w:eastAsia="Times New Roman" w:hAnsi="Times New Roman" w:cs="Times New Roman"/>
          <w:sz w:val="24"/>
          <w:szCs w:val="24"/>
          <w:lang w:val="en" w:eastAsia="ru-RU"/>
        </w:rPr>
        <w:t>. Olivine is not an important source due to its scarcity in the basalts. In &lt;30 °C ground waters, the dominant supply of Mo and W is plagioclase. At higher temperatures pyroxene also contributes, with its contribution increasing with increasing temperature, as deduced from its decreasing stability at higher temperature. Dissolution of basaltic glass produces lower B/Mo and B/W aqueous ratios than dissolution of crystalline basalt.</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Introduction</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Knowledge of the aquatic geochemistry of trace elements is of importance because they may affect water quality and improve understanding of water–rock interaction processes. Further, their role in biology is important. Some trace elements may be used as tracers for hydrological studies and some are toxic to biota. Depending on their chemical properties and the extent of water–rock–soil interaction, the concentrations of trace elements in natural waters may be controlled by precipitation reactions or they may be conservative, i.e. their aqueous concentrations are determined by their availability to the water (e.g. Ellis and Sewell, 1963, </w:t>
      </w:r>
      <w:proofErr w:type="spellStart"/>
      <w:r w:rsidRPr="00EB7D90">
        <w:rPr>
          <w:rFonts w:ascii="Times New Roman" w:eastAsia="Times New Roman" w:hAnsi="Times New Roman" w:cs="Times New Roman"/>
          <w:sz w:val="24"/>
          <w:szCs w:val="24"/>
          <w:lang w:val="en-US" w:eastAsia="ru-RU"/>
        </w:rPr>
        <w:t>Giggenbach</w:t>
      </w:r>
      <w:proofErr w:type="spellEnd"/>
      <w:r w:rsidRPr="00EB7D90">
        <w:rPr>
          <w:rFonts w:ascii="Times New Roman" w:eastAsia="Times New Roman" w:hAnsi="Times New Roman" w:cs="Times New Roman"/>
          <w:sz w:val="24"/>
          <w:szCs w:val="24"/>
          <w:lang w:val="en-US" w:eastAsia="ru-RU"/>
        </w:rPr>
        <w:t xml:space="preserve">, 1991, </w:t>
      </w:r>
      <w:proofErr w:type="spellStart"/>
      <w:r w:rsidRPr="00EB7D90">
        <w:rPr>
          <w:rFonts w:ascii="Times New Roman" w:eastAsia="Times New Roman" w:hAnsi="Times New Roman" w:cs="Times New Roman"/>
          <w:sz w:val="24"/>
          <w:szCs w:val="24"/>
          <w:lang w:val="en-US" w:eastAsia="ru-RU"/>
        </w:rPr>
        <w:t>Arnórsson</w:t>
      </w:r>
      <w:proofErr w:type="spellEnd"/>
      <w:r w:rsidRPr="00EB7D90">
        <w:rPr>
          <w:rFonts w:ascii="Times New Roman" w:eastAsia="Times New Roman" w:hAnsi="Times New Roman" w:cs="Times New Roman"/>
          <w:sz w:val="24"/>
          <w:szCs w:val="24"/>
          <w:lang w:val="en-US" w:eastAsia="ru-RU"/>
        </w:rPr>
        <w:t xml:space="preserve"> and </w:t>
      </w:r>
      <w:proofErr w:type="spellStart"/>
      <w:r w:rsidRPr="00EB7D90">
        <w:rPr>
          <w:rFonts w:ascii="Times New Roman" w:eastAsia="Times New Roman" w:hAnsi="Times New Roman" w:cs="Times New Roman"/>
          <w:sz w:val="24"/>
          <w:szCs w:val="24"/>
          <w:lang w:val="en-US" w:eastAsia="ru-RU"/>
        </w:rPr>
        <w:t>Andrésdóttir</w:t>
      </w:r>
      <w:proofErr w:type="spellEnd"/>
      <w:r w:rsidRPr="00EB7D90">
        <w:rPr>
          <w:rFonts w:ascii="Times New Roman" w:eastAsia="Times New Roman" w:hAnsi="Times New Roman" w:cs="Times New Roman"/>
          <w:sz w:val="24"/>
          <w:szCs w:val="24"/>
          <w:lang w:val="en-US" w:eastAsia="ru-RU"/>
        </w:rPr>
        <w:t xml:space="preserve">, 1995, Smedley and </w:t>
      </w:r>
      <w:proofErr w:type="spellStart"/>
      <w:r w:rsidRPr="00EB7D90">
        <w:rPr>
          <w:rFonts w:ascii="Times New Roman" w:eastAsia="Times New Roman" w:hAnsi="Times New Roman" w:cs="Times New Roman"/>
          <w:sz w:val="24"/>
          <w:szCs w:val="24"/>
          <w:lang w:val="en-US" w:eastAsia="ru-RU"/>
        </w:rPr>
        <w:t>Kinniburgh</w:t>
      </w:r>
      <w:proofErr w:type="spellEnd"/>
      <w:r w:rsidRPr="00EB7D90">
        <w:rPr>
          <w:rFonts w:ascii="Times New Roman" w:eastAsia="Times New Roman" w:hAnsi="Times New Roman" w:cs="Times New Roman"/>
          <w:sz w:val="24"/>
          <w:szCs w:val="24"/>
          <w:lang w:val="en-US" w:eastAsia="ru-RU"/>
        </w:rPr>
        <w:t xml:space="preserve">, 2002). Data on trace elements in river waters provide information on their fluxes to the ocean and on denudation rates (e.g. Edmond et al., 1995, </w:t>
      </w:r>
      <w:proofErr w:type="spellStart"/>
      <w:r w:rsidRPr="00EB7D90">
        <w:rPr>
          <w:rFonts w:ascii="Times New Roman" w:eastAsia="Times New Roman" w:hAnsi="Times New Roman" w:cs="Times New Roman"/>
          <w:sz w:val="24"/>
          <w:szCs w:val="24"/>
          <w:lang w:val="en-US" w:eastAsia="ru-RU"/>
        </w:rPr>
        <w:t>Allegre</w:t>
      </w:r>
      <w:proofErr w:type="spellEnd"/>
      <w:r w:rsidRPr="00EB7D90">
        <w:rPr>
          <w:rFonts w:ascii="Times New Roman" w:eastAsia="Times New Roman" w:hAnsi="Times New Roman" w:cs="Times New Roman"/>
          <w:sz w:val="24"/>
          <w:szCs w:val="24"/>
          <w:lang w:val="en-US" w:eastAsia="ru-RU"/>
        </w:rPr>
        <w:t xml:space="preserve"> et al., 1996, </w:t>
      </w:r>
      <w:proofErr w:type="spellStart"/>
      <w:r w:rsidRPr="00EB7D90">
        <w:rPr>
          <w:rFonts w:ascii="Times New Roman" w:eastAsia="Times New Roman" w:hAnsi="Times New Roman" w:cs="Times New Roman"/>
          <w:sz w:val="24"/>
          <w:szCs w:val="24"/>
          <w:lang w:val="en-US" w:eastAsia="ru-RU"/>
        </w:rPr>
        <w:t>Gíslason</w:t>
      </w:r>
      <w:proofErr w:type="spellEnd"/>
      <w:r w:rsidRPr="00EB7D90">
        <w:rPr>
          <w:rFonts w:ascii="Times New Roman" w:eastAsia="Times New Roman" w:hAnsi="Times New Roman" w:cs="Times New Roman"/>
          <w:sz w:val="24"/>
          <w:szCs w:val="24"/>
          <w:lang w:val="en-US" w:eastAsia="ru-RU"/>
        </w:rPr>
        <w:t xml:space="preserve"> et al., 1996, </w:t>
      </w:r>
      <w:proofErr w:type="spellStart"/>
      <w:r w:rsidRPr="00EB7D90">
        <w:rPr>
          <w:rFonts w:ascii="Times New Roman" w:eastAsia="Times New Roman" w:hAnsi="Times New Roman" w:cs="Times New Roman"/>
          <w:sz w:val="24"/>
          <w:szCs w:val="24"/>
          <w:lang w:val="en-US" w:eastAsia="ru-RU"/>
        </w:rPr>
        <w:t>Gaillardet</w:t>
      </w:r>
      <w:proofErr w:type="spellEnd"/>
      <w:r w:rsidRPr="00EB7D90">
        <w:rPr>
          <w:rFonts w:ascii="Times New Roman" w:eastAsia="Times New Roman" w:hAnsi="Times New Roman" w:cs="Times New Roman"/>
          <w:sz w:val="24"/>
          <w:szCs w:val="24"/>
          <w:lang w:val="en-US" w:eastAsia="ru-RU"/>
        </w:rPr>
        <w:t xml:space="preserve"> et al., 1997). The essential role of Mo in biology has been known for a long time but only recently it has been established for W (</w:t>
      </w:r>
      <w:proofErr w:type="spellStart"/>
      <w:r w:rsidRPr="00EB7D90">
        <w:rPr>
          <w:rFonts w:ascii="Times New Roman" w:eastAsia="Times New Roman" w:hAnsi="Times New Roman" w:cs="Times New Roman"/>
          <w:sz w:val="24"/>
          <w:szCs w:val="24"/>
          <w:lang w:val="en-US" w:eastAsia="ru-RU"/>
        </w:rPr>
        <w:t>Kletzin</w:t>
      </w:r>
      <w:proofErr w:type="spellEnd"/>
      <w:r w:rsidRPr="00EB7D90">
        <w:rPr>
          <w:rFonts w:ascii="Times New Roman" w:eastAsia="Times New Roman" w:hAnsi="Times New Roman" w:cs="Times New Roman"/>
          <w:sz w:val="24"/>
          <w:szCs w:val="24"/>
          <w:lang w:val="en-US" w:eastAsia="ru-RU"/>
        </w:rPr>
        <w:t xml:space="preserve"> and Adams, 1996). The present study focuses on two trace elements, </w:t>
      </w:r>
      <w:r w:rsidRPr="00EB7D90">
        <w:rPr>
          <w:rFonts w:ascii="Times New Roman" w:eastAsia="Times New Roman" w:hAnsi="Times New Roman" w:cs="Times New Roman"/>
          <w:sz w:val="24"/>
          <w:szCs w:val="24"/>
          <w:lang w:val="en-US" w:eastAsia="ru-RU"/>
        </w:rPr>
        <w:lastRenderedPageBreak/>
        <w:t>Mo and W, its objective being to quantify the processes which control their concentrations in surface- and &lt;100 °C ground waters in a basaltic environment in Iceland.</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Molybdenum and W are transition metals belonging to Group VI of the Periodic Table. They have almost identical atomic radii (Shannon, 1976) and consequently very similar chemical behavior. In surface waters, Mo and W occur dominantly as hexavalent oxy-anions, molybdate and tungstate (</w:t>
      </w:r>
      <w:proofErr w:type="spellStart"/>
      <w:r w:rsidRPr="00EB7D90">
        <w:rPr>
          <w:rFonts w:ascii="Times New Roman" w:eastAsia="Times New Roman" w:hAnsi="Times New Roman" w:cs="Times New Roman"/>
          <w:sz w:val="24"/>
          <w:szCs w:val="24"/>
          <w:lang w:val="en-US" w:eastAsia="ru-RU"/>
        </w:rPr>
        <w:t>Johannesson</w:t>
      </w:r>
      <w:proofErr w:type="spellEnd"/>
      <w:r w:rsidRPr="00EB7D90">
        <w:rPr>
          <w:rFonts w:ascii="Times New Roman" w:eastAsia="Times New Roman" w:hAnsi="Times New Roman" w:cs="Times New Roman"/>
          <w:sz w:val="24"/>
          <w:szCs w:val="24"/>
          <w:lang w:val="en-US" w:eastAsia="ru-RU"/>
        </w:rPr>
        <w:t xml:space="preserve"> et al., 2000). In reducing, H</w:t>
      </w:r>
      <w:r w:rsidRPr="00EB7D90">
        <w:rPr>
          <w:rFonts w:ascii="Times New Roman" w:eastAsia="Times New Roman" w:hAnsi="Times New Roman" w:cs="Times New Roman"/>
          <w:sz w:val="24"/>
          <w:szCs w:val="24"/>
          <w:vertAlign w:val="subscript"/>
          <w:lang w:val="en-US" w:eastAsia="ru-RU"/>
        </w:rPr>
        <w:t>2</w:t>
      </w:r>
      <w:r w:rsidRPr="00EB7D90">
        <w:rPr>
          <w:rFonts w:ascii="Times New Roman" w:eastAsia="Times New Roman" w:hAnsi="Times New Roman" w:cs="Times New Roman"/>
          <w:sz w:val="24"/>
          <w:szCs w:val="24"/>
          <w:lang w:val="en-US" w:eastAsia="ru-RU"/>
        </w:rPr>
        <w:t xml:space="preserve">S-bearing solutions, the oxygen of the molybdate ion is successively replaced by </w:t>
      </w:r>
      <w:proofErr w:type="spellStart"/>
      <w:r w:rsidRPr="00EB7D90">
        <w:rPr>
          <w:rFonts w:ascii="Times New Roman" w:eastAsia="Times New Roman" w:hAnsi="Times New Roman" w:cs="Times New Roman"/>
          <w:sz w:val="24"/>
          <w:szCs w:val="24"/>
          <w:lang w:val="en-US" w:eastAsia="ru-RU"/>
        </w:rPr>
        <w:t>sulphur</w:t>
      </w:r>
      <w:proofErr w:type="spellEnd"/>
      <w:r w:rsidRPr="00EB7D90">
        <w:rPr>
          <w:rFonts w:ascii="Times New Roman" w:eastAsia="Times New Roman" w:hAnsi="Times New Roman" w:cs="Times New Roman"/>
          <w:sz w:val="24"/>
          <w:szCs w:val="24"/>
          <w:lang w:val="en-US" w:eastAsia="ru-RU"/>
        </w:rPr>
        <w:t xml:space="preserve"> to form thiomolybdates (Erickson and </w:t>
      </w:r>
      <w:proofErr w:type="spellStart"/>
      <w:r w:rsidRPr="00EB7D90">
        <w:rPr>
          <w:rFonts w:ascii="Times New Roman" w:eastAsia="Times New Roman" w:hAnsi="Times New Roman" w:cs="Times New Roman"/>
          <w:sz w:val="24"/>
          <w:szCs w:val="24"/>
          <w:lang w:val="en-US" w:eastAsia="ru-RU"/>
        </w:rPr>
        <w:t>Helz</w:t>
      </w:r>
      <w:proofErr w:type="spellEnd"/>
      <w:r w:rsidRPr="00EB7D90">
        <w:rPr>
          <w:rFonts w:ascii="Times New Roman" w:eastAsia="Times New Roman" w:hAnsi="Times New Roman" w:cs="Times New Roman"/>
          <w:sz w:val="24"/>
          <w:szCs w:val="24"/>
          <w:lang w:val="en-US" w:eastAsia="ru-RU"/>
        </w:rPr>
        <w:t>, 2000).</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Reported Mo and W concentrations in surface waters are generally below 1 and 0.1 ppb, respectively, but may be as high as 30 and 6 ppb (</w:t>
      </w:r>
      <w:proofErr w:type="spellStart"/>
      <w:r w:rsidRPr="00EB7D90">
        <w:rPr>
          <w:rFonts w:ascii="Times New Roman" w:eastAsia="Times New Roman" w:hAnsi="Times New Roman" w:cs="Times New Roman"/>
          <w:sz w:val="24"/>
          <w:szCs w:val="24"/>
          <w:lang w:val="en-US" w:eastAsia="ru-RU"/>
        </w:rPr>
        <w:t>Krauskopf</w:t>
      </w:r>
      <w:proofErr w:type="spellEnd"/>
      <w:r w:rsidRPr="00EB7D90">
        <w:rPr>
          <w:rFonts w:ascii="Times New Roman" w:eastAsia="Times New Roman" w:hAnsi="Times New Roman" w:cs="Times New Roman"/>
          <w:sz w:val="24"/>
          <w:szCs w:val="24"/>
          <w:lang w:val="en-US" w:eastAsia="ru-RU"/>
        </w:rPr>
        <w:t xml:space="preserve">, 1974, Manheim and </w:t>
      </w:r>
      <w:proofErr w:type="spellStart"/>
      <w:r w:rsidRPr="00EB7D90">
        <w:rPr>
          <w:rFonts w:ascii="Times New Roman" w:eastAsia="Times New Roman" w:hAnsi="Times New Roman" w:cs="Times New Roman"/>
          <w:sz w:val="24"/>
          <w:szCs w:val="24"/>
          <w:lang w:val="en-US" w:eastAsia="ru-RU"/>
        </w:rPr>
        <w:t>Landergren</w:t>
      </w:r>
      <w:proofErr w:type="spellEnd"/>
      <w:r w:rsidRPr="00EB7D90">
        <w:rPr>
          <w:rFonts w:ascii="Times New Roman" w:eastAsia="Times New Roman" w:hAnsi="Times New Roman" w:cs="Times New Roman"/>
          <w:sz w:val="24"/>
          <w:szCs w:val="24"/>
          <w:lang w:val="en-US" w:eastAsia="ru-RU"/>
        </w:rPr>
        <w:t xml:space="preserve">, 1974, </w:t>
      </w:r>
      <w:proofErr w:type="spellStart"/>
      <w:r w:rsidRPr="00EB7D90">
        <w:rPr>
          <w:rFonts w:ascii="Times New Roman" w:eastAsia="Times New Roman" w:hAnsi="Times New Roman" w:cs="Times New Roman"/>
          <w:sz w:val="24"/>
          <w:szCs w:val="24"/>
          <w:lang w:val="en-US" w:eastAsia="ru-RU"/>
        </w:rPr>
        <w:t>Kaback</w:t>
      </w:r>
      <w:proofErr w:type="spellEnd"/>
      <w:r w:rsidRPr="00EB7D90">
        <w:rPr>
          <w:rFonts w:ascii="Times New Roman" w:eastAsia="Times New Roman" w:hAnsi="Times New Roman" w:cs="Times New Roman"/>
          <w:sz w:val="24"/>
          <w:szCs w:val="24"/>
          <w:lang w:val="en-US" w:eastAsia="ru-RU"/>
        </w:rPr>
        <w:t xml:space="preserve"> and Runnells, 1980, Van der </w:t>
      </w:r>
      <w:proofErr w:type="spellStart"/>
      <w:r w:rsidRPr="00EB7D90">
        <w:rPr>
          <w:rFonts w:ascii="Times New Roman" w:eastAsia="Times New Roman" w:hAnsi="Times New Roman" w:cs="Times New Roman"/>
          <w:sz w:val="24"/>
          <w:szCs w:val="24"/>
          <w:lang w:val="en-US" w:eastAsia="ru-RU"/>
        </w:rPr>
        <w:t>Sloot</w:t>
      </w:r>
      <w:proofErr w:type="spellEnd"/>
      <w:r w:rsidRPr="00EB7D90">
        <w:rPr>
          <w:rFonts w:ascii="Times New Roman" w:eastAsia="Times New Roman" w:hAnsi="Times New Roman" w:cs="Times New Roman"/>
          <w:sz w:val="24"/>
          <w:szCs w:val="24"/>
          <w:lang w:val="en-US" w:eastAsia="ru-RU"/>
        </w:rPr>
        <w:t xml:space="preserve"> et al., 1985, </w:t>
      </w:r>
      <w:proofErr w:type="spellStart"/>
      <w:r w:rsidRPr="00EB7D90">
        <w:rPr>
          <w:rFonts w:ascii="Times New Roman" w:eastAsia="Times New Roman" w:hAnsi="Times New Roman" w:cs="Times New Roman"/>
          <w:sz w:val="24"/>
          <w:szCs w:val="24"/>
          <w:lang w:val="en-US" w:eastAsia="ru-RU"/>
        </w:rPr>
        <w:t>Konhauser</w:t>
      </w:r>
      <w:proofErr w:type="spellEnd"/>
      <w:r w:rsidRPr="00EB7D90">
        <w:rPr>
          <w:rFonts w:ascii="Times New Roman" w:eastAsia="Times New Roman" w:hAnsi="Times New Roman" w:cs="Times New Roman"/>
          <w:sz w:val="24"/>
          <w:szCs w:val="24"/>
          <w:lang w:val="en-US" w:eastAsia="ru-RU"/>
        </w:rPr>
        <w:t xml:space="preserve"> et al., 1997, </w:t>
      </w:r>
      <w:proofErr w:type="spellStart"/>
      <w:r w:rsidRPr="00EB7D90">
        <w:rPr>
          <w:rFonts w:ascii="Times New Roman" w:eastAsia="Times New Roman" w:hAnsi="Times New Roman" w:cs="Times New Roman"/>
          <w:sz w:val="24"/>
          <w:szCs w:val="24"/>
          <w:lang w:val="en-US" w:eastAsia="ru-RU"/>
        </w:rPr>
        <w:t>Johannesson</w:t>
      </w:r>
      <w:proofErr w:type="spellEnd"/>
      <w:r w:rsidRPr="00EB7D90">
        <w:rPr>
          <w:rFonts w:ascii="Times New Roman" w:eastAsia="Times New Roman" w:hAnsi="Times New Roman" w:cs="Times New Roman"/>
          <w:sz w:val="24"/>
          <w:szCs w:val="24"/>
          <w:lang w:val="en-US" w:eastAsia="ru-RU"/>
        </w:rPr>
        <w:t xml:space="preserve"> et al., 2000). Geothermal waters and surface and ground waters in areas of Mo and W deposits are typically higher in both elements, as high as 70 ppb for Mo (e.g. Koga, 1967, </w:t>
      </w:r>
      <w:proofErr w:type="spellStart"/>
      <w:r w:rsidRPr="00EB7D90">
        <w:rPr>
          <w:rFonts w:ascii="Times New Roman" w:eastAsia="Times New Roman" w:hAnsi="Times New Roman" w:cs="Times New Roman"/>
          <w:sz w:val="24"/>
          <w:szCs w:val="24"/>
          <w:lang w:val="en-US" w:eastAsia="ru-RU"/>
        </w:rPr>
        <w:t>Arnórsson</w:t>
      </w:r>
      <w:proofErr w:type="spellEnd"/>
      <w:r w:rsidRPr="00EB7D90">
        <w:rPr>
          <w:rFonts w:ascii="Times New Roman" w:eastAsia="Times New Roman" w:hAnsi="Times New Roman" w:cs="Times New Roman"/>
          <w:sz w:val="24"/>
          <w:szCs w:val="24"/>
          <w:lang w:val="en-US" w:eastAsia="ru-RU"/>
        </w:rPr>
        <w:t xml:space="preserve"> and </w:t>
      </w:r>
      <w:proofErr w:type="spellStart"/>
      <w:r w:rsidRPr="00EB7D90">
        <w:rPr>
          <w:rFonts w:ascii="Times New Roman" w:eastAsia="Times New Roman" w:hAnsi="Times New Roman" w:cs="Times New Roman"/>
          <w:sz w:val="24"/>
          <w:szCs w:val="24"/>
          <w:lang w:val="en-US" w:eastAsia="ru-RU"/>
        </w:rPr>
        <w:t>Ívarsson</w:t>
      </w:r>
      <w:proofErr w:type="spellEnd"/>
      <w:r w:rsidRPr="00EB7D90">
        <w:rPr>
          <w:rFonts w:ascii="Times New Roman" w:eastAsia="Times New Roman" w:hAnsi="Times New Roman" w:cs="Times New Roman"/>
          <w:sz w:val="24"/>
          <w:szCs w:val="24"/>
          <w:lang w:val="en-US" w:eastAsia="ru-RU"/>
        </w:rPr>
        <w:t xml:space="preserve">, 1985, Hall et al., 1988) and 700 ppb for W (e.g. </w:t>
      </w:r>
      <w:proofErr w:type="spellStart"/>
      <w:r w:rsidRPr="00EB7D90">
        <w:rPr>
          <w:rFonts w:ascii="Times New Roman" w:eastAsia="Times New Roman" w:hAnsi="Times New Roman" w:cs="Times New Roman"/>
          <w:sz w:val="24"/>
          <w:szCs w:val="24"/>
          <w:lang w:val="en-US" w:eastAsia="ru-RU"/>
        </w:rPr>
        <w:t>Krainov</w:t>
      </w:r>
      <w:proofErr w:type="spellEnd"/>
      <w:r w:rsidRPr="00EB7D90">
        <w:rPr>
          <w:rFonts w:ascii="Times New Roman" w:eastAsia="Times New Roman" w:hAnsi="Times New Roman" w:cs="Times New Roman"/>
          <w:sz w:val="24"/>
          <w:szCs w:val="24"/>
          <w:lang w:val="en-US" w:eastAsia="ru-RU"/>
        </w:rPr>
        <w:t xml:space="preserve">, 1965, Seiler et al., 2005, </w:t>
      </w:r>
      <w:proofErr w:type="spellStart"/>
      <w:r w:rsidRPr="00EB7D90">
        <w:rPr>
          <w:rFonts w:ascii="Times New Roman" w:eastAsia="Times New Roman" w:hAnsi="Times New Roman" w:cs="Times New Roman"/>
          <w:sz w:val="24"/>
          <w:szCs w:val="24"/>
          <w:lang w:val="en-US" w:eastAsia="ru-RU"/>
        </w:rPr>
        <w:t>Koutsospyros</w:t>
      </w:r>
      <w:proofErr w:type="spellEnd"/>
      <w:r w:rsidRPr="00EB7D90">
        <w:rPr>
          <w:rFonts w:ascii="Times New Roman" w:eastAsia="Times New Roman" w:hAnsi="Times New Roman" w:cs="Times New Roman"/>
          <w:sz w:val="24"/>
          <w:szCs w:val="24"/>
          <w:lang w:val="en-US" w:eastAsia="ru-RU"/>
        </w:rPr>
        <w:t xml:space="preserve"> et al., 2006). Kishida et al. (2004) observed values as high as 12 and 23 ppb for Mo and W, respectively, in submarine hydrothermal fluids. High-temperature waters (&gt;200 °C) rich in H</w:t>
      </w:r>
      <w:r w:rsidRPr="00EB7D90">
        <w:rPr>
          <w:rFonts w:ascii="Times New Roman" w:eastAsia="Times New Roman" w:hAnsi="Times New Roman" w:cs="Times New Roman"/>
          <w:sz w:val="24"/>
          <w:szCs w:val="24"/>
          <w:vertAlign w:val="subscript"/>
          <w:lang w:val="en-US" w:eastAsia="ru-RU"/>
        </w:rPr>
        <w:t>2</w:t>
      </w:r>
      <w:r w:rsidRPr="00EB7D90">
        <w:rPr>
          <w:rFonts w:ascii="Times New Roman" w:eastAsia="Times New Roman" w:hAnsi="Times New Roman" w:cs="Times New Roman"/>
          <w:sz w:val="24"/>
          <w:szCs w:val="24"/>
          <w:lang w:val="en-US" w:eastAsia="ru-RU"/>
        </w:rPr>
        <w:t>S contain low concentrations of Mo (</w:t>
      </w:r>
      <w:proofErr w:type="spellStart"/>
      <w:r w:rsidRPr="00EB7D90">
        <w:rPr>
          <w:rFonts w:ascii="Times New Roman" w:eastAsia="Times New Roman" w:hAnsi="Times New Roman" w:cs="Times New Roman"/>
          <w:sz w:val="24"/>
          <w:szCs w:val="24"/>
          <w:lang w:val="en-US" w:eastAsia="ru-RU"/>
        </w:rPr>
        <w:t>Arnórsson</w:t>
      </w:r>
      <w:proofErr w:type="spellEnd"/>
      <w:r w:rsidRPr="00EB7D90">
        <w:rPr>
          <w:rFonts w:ascii="Times New Roman" w:eastAsia="Times New Roman" w:hAnsi="Times New Roman" w:cs="Times New Roman"/>
          <w:sz w:val="24"/>
          <w:szCs w:val="24"/>
          <w:lang w:val="en-US" w:eastAsia="ru-RU"/>
        </w:rPr>
        <w:t xml:space="preserve"> and </w:t>
      </w:r>
      <w:proofErr w:type="spellStart"/>
      <w:r w:rsidRPr="00EB7D90">
        <w:rPr>
          <w:rFonts w:ascii="Times New Roman" w:eastAsia="Times New Roman" w:hAnsi="Times New Roman" w:cs="Times New Roman"/>
          <w:sz w:val="24"/>
          <w:szCs w:val="24"/>
          <w:lang w:val="en-US" w:eastAsia="ru-RU"/>
        </w:rPr>
        <w:t>Ívarsson</w:t>
      </w:r>
      <w:proofErr w:type="spellEnd"/>
      <w:r w:rsidRPr="00EB7D90">
        <w:rPr>
          <w:rFonts w:ascii="Times New Roman" w:eastAsia="Times New Roman" w:hAnsi="Times New Roman" w:cs="Times New Roman"/>
          <w:sz w:val="24"/>
          <w:szCs w:val="24"/>
          <w:lang w:val="en-US" w:eastAsia="ru-RU"/>
        </w:rPr>
        <w:t>, 1985).</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Seawater contains 10 and about 0.01 ppb Mo and W, respectively (</w:t>
      </w:r>
      <w:proofErr w:type="spellStart"/>
      <w:r w:rsidRPr="00EB7D90">
        <w:rPr>
          <w:rFonts w:ascii="Times New Roman" w:eastAsia="Times New Roman" w:hAnsi="Times New Roman" w:cs="Times New Roman"/>
          <w:sz w:val="24"/>
          <w:szCs w:val="24"/>
          <w:lang w:val="en-US" w:eastAsia="ru-RU"/>
        </w:rPr>
        <w:t>Sohrin</w:t>
      </w:r>
      <w:proofErr w:type="spellEnd"/>
      <w:r w:rsidRPr="00EB7D90">
        <w:rPr>
          <w:rFonts w:ascii="Times New Roman" w:eastAsia="Times New Roman" w:hAnsi="Times New Roman" w:cs="Times New Roman"/>
          <w:sz w:val="24"/>
          <w:szCs w:val="24"/>
          <w:lang w:val="en-US" w:eastAsia="ru-RU"/>
        </w:rPr>
        <w:t xml:space="preserve"> et al., 1987, </w:t>
      </w:r>
      <w:proofErr w:type="spellStart"/>
      <w:r w:rsidRPr="00EB7D90">
        <w:rPr>
          <w:rFonts w:ascii="Times New Roman" w:eastAsia="Times New Roman" w:hAnsi="Times New Roman" w:cs="Times New Roman"/>
          <w:sz w:val="24"/>
          <w:szCs w:val="24"/>
          <w:lang w:val="en-US" w:eastAsia="ru-RU"/>
        </w:rPr>
        <w:t>Sohrin</w:t>
      </w:r>
      <w:proofErr w:type="spellEnd"/>
      <w:r w:rsidRPr="00EB7D90">
        <w:rPr>
          <w:rFonts w:ascii="Times New Roman" w:eastAsia="Times New Roman" w:hAnsi="Times New Roman" w:cs="Times New Roman"/>
          <w:sz w:val="24"/>
          <w:szCs w:val="24"/>
          <w:lang w:val="en-US" w:eastAsia="ru-RU"/>
        </w:rPr>
        <w:t xml:space="preserve"> et al., 1999, Sun et al., 2000). Reported values for </w:t>
      </w:r>
      <w:proofErr w:type="spellStart"/>
      <w:r w:rsidRPr="00EB7D90">
        <w:rPr>
          <w:rFonts w:ascii="Times New Roman" w:eastAsia="Times New Roman" w:hAnsi="Times New Roman" w:cs="Times New Roman"/>
          <w:sz w:val="24"/>
          <w:szCs w:val="24"/>
          <w:lang w:val="en-US" w:eastAsia="ru-RU"/>
        </w:rPr>
        <w:t>W are</w:t>
      </w:r>
      <w:proofErr w:type="spellEnd"/>
      <w:r w:rsidRPr="00EB7D90">
        <w:rPr>
          <w:rFonts w:ascii="Times New Roman" w:eastAsia="Times New Roman" w:hAnsi="Times New Roman" w:cs="Times New Roman"/>
          <w:sz w:val="24"/>
          <w:szCs w:val="24"/>
          <w:lang w:val="en-US" w:eastAsia="ru-RU"/>
        </w:rPr>
        <w:t xml:space="preserve">, however, highly variable. According to Hartung (1991) they are 0.1 and 0.008 ppb for the Atlantic and Pacific Oceans, respectively. </w:t>
      </w:r>
      <w:proofErr w:type="spellStart"/>
      <w:r w:rsidRPr="00EB7D90">
        <w:rPr>
          <w:rFonts w:ascii="Times New Roman" w:eastAsia="Times New Roman" w:hAnsi="Times New Roman" w:cs="Times New Roman"/>
          <w:sz w:val="24"/>
          <w:szCs w:val="24"/>
          <w:lang w:val="en-US" w:eastAsia="ru-RU"/>
        </w:rPr>
        <w:t>Turekian</w:t>
      </w:r>
      <w:proofErr w:type="spellEnd"/>
      <w:r w:rsidRPr="00EB7D90">
        <w:rPr>
          <w:rFonts w:ascii="Times New Roman" w:eastAsia="Times New Roman" w:hAnsi="Times New Roman" w:cs="Times New Roman"/>
          <w:sz w:val="24"/>
          <w:szCs w:val="24"/>
          <w:lang w:val="en-US" w:eastAsia="ru-RU"/>
        </w:rPr>
        <w:t xml:space="preserve"> (1968) selects a value of 1 ppb for seawater. </w:t>
      </w:r>
      <w:proofErr w:type="spellStart"/>
      <w:r w:rsidRPr="00EB7D90">
        <w:rPr>
          <w:rFonts w:ascii="Times New Roman" w:eastAsia="Times New Roman" w:hAnsi="Times New Roman" w:cs="Times New Roman"/>
          <w:sz w:val="24"/>
          <w:szCs w:val="24"/>
          <w:lang w:val="en-US" w:eastAsia="ru-RU"/>
        </w:rPr>
        <w:t>Kunzendorf</w:t>
      </w:r>
      <w:proofErr w:type="spellEnd"/>
      <w:r w:rsidRPr="00EB7D90">
        <w:rPr>
          <w:rFonts w:ascii="Times New Roman" w:eastAsia="Times New Roman" w:hAnsi="Times New Roman" w:cs="Times New Roman"/>
          <w:sz w:val="24"/>
          <w:szCs w:val="24"/>
          <w:lang w:val="en-US" w:eastAsia="ru-RU"/>
        </w:rPr>
        <w:t xml:space="preserve"> and Glasby (1992) report lower values, or 0.0002 ppb. The W/Mo ratio of seawater is much lower than that of common rock types due to uptake of W by ferric-hydroxide, manganese oxide, and clay minerals (</w:t>
      </w:r>
      <w:proofErr w:type="spellStart"/>
      <w:r w:rsidRPr="00EB7D90">
        <w:rPr>
          <w:rFonts w:ascii="Times New Roman" w:eastAsia="Times New Roman" w:hAnsi="Times New Roman" w:cs="Times New Roman"/>
          <w:sz w:val="24"/>
          <w:szCs w:val="24"/>
          <w:lang w:val="en-US" w:eastAsia="ru-RU"/>
        </w:rPr>
        <w:t>Sohrin</w:t>
      </w:r>
      <w:proofErr w:type="spellEnd"/>
      <w:r w:rsidRPr="00EB7D90">
        <w:rPr>
          <w:rFonts w:ascii="Times New Roman" w:eastAsia="Times New Roman" w:hAnsi="Times New Roman" w:cs="Times New Roman"/>
          <w:sz w:val="24"/>
          <w:szCs w:val="24"/>
          <w:lang w:val="en-US" w:eastAsia="ru-RU"/>
        </w:rPr>
        <w:t xml:space="preserve"> et al., 1987). The concentration of Mo in precipitation is 0.02–0.11 ppb, largely derived from atmospheric dust (Sugawara, 1967). Kist (1994) reports a value of 0.00076 ppb W in rainwater.</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Data presented by </w:t>
      </w:r>
      <w:proofErr w:type="spellStart"/>
      <w:r w:rsidRPr="00EB7D90">
        <w:rPr>
          <w:rFonts w:ascii="Times New Roman" w:eastAsia="Times New Roman" w:hAnsi="Times New Roman" w:cs="Times New Roman"/>
          <w:sz w:val="24"/>
          <w:szCs w:val="24"/>
          <w:lang w:val="en-US" w:eastAsia="ru-RU"/>
        </w:rPr>
        <w:t>Krauskopf</w:t>
      </w:r>
      <w:proofErr w:type="spellEnd"/>
      <w:r w:rsidRPr="00EB7D90">
        <w:rPr>
          <w:rFonts w:ascii="Times New Roman" w:eastAsia="Times New Roman" w:hAnsi="Times New Roman" w:cs="Times New Roman"/>
          <w:sz w:val="24"/>
          <w:szCs w:val="24"/>
          <w:lang w:val="en-US" w:eastAsia="ru-RU"/>
        </w:rPr>
        <w:t xml:space="preserve"> (1974) indicated that the great majority of granites have Mo concentrations comparable to those of mafic rocks, 1–2 ppm. Kuroda and </w:t>
      </w:r>
      <w:proofErr w:type="spellStart"/>
      <w:r w:rsidRPr="00EB7D90">
        <w:rPr>
          <w:rFonts w:ascii="Times New Roman" w:eastAsia="Times New Roman" w:hAnsi="Times New Roman" w:cs="Times New Roman"/>
          <w:sz w:val="24"/>
          <w:szCs w:val="24"/>
          <w:lang w:val="en-US" w:eastAsia="ru-RU"/>
        </w:rPr>
        <w:t>Sandell</w:t>
      </w:r>
      <w:proofErr w:type="spellEnd"/>
      <w:r w:rsidRPr="00EB7D90">
        <w:rPr>
          <w:rFonts w:ascii="Times New Roman" w:eastAsia="Times New Roman" w:hAnsi="Times New Roman" w:cs="Times New Roman"/>
          <w:sz w:val="24"/>
          <w:szCs w:val="24"/>
          <w:lang w:val="en-US" w:eastAsia="ru-RU"/>
        </w:rPr>
        <w:t xml:space="preserve"> (1954) reported a Mo concentration range of 0.2–3.1 ppm for basalts. </w:t>
      </w:r>
      <w:proofErr w:type="spellStart"/>
      <w:r w:rsidRPr="00EB7D90">
        <w:rPr>
          <w:rFonts w:ascii="Times New Roman" w:eastAsia="Times New Roman" w:hAnsi="Times New Roman" w:cs="Times New Roman"/>
          <w:sz w:val="24"/>
          <w:szCs w:val="24"/>
          <w:lang w:val="en-US" w:eastAsia="ru-RU"/>
        </w:rPr>
        <w:t>Arnórsson</w:t>
      </w:r>
      <w:proofErr w:type="spellEnd"/>
      <w:r w:rsidRPr="00EB7D90">
        <w:rPr>
          <w:rFonts w:ascii="Times New Roman" w:eastAsia="Times New Roman" w:hAnsi="Times New Roman" w:cs="Times New Roman"/>
          <w:sz w:val="24"/>
          <w:szCs w:val="24"/>
          <w:lang w:val="en-US" w:eastAsia="ru-RU"/>
        </w:rPr>
        <w:t xml:space="preserve"> (1969) reported an average value of 1.5 ppm in 22 Icelandic basalts and basaltic hyaloclastites, the range being 0.5–2.0 ppm. Carmichael and McDonald (1961) give an average of 2.6 ppm Mo for 16 samples of acid </w:t>
      </w:r>
      <w:proofErr w:type="spellStart"/>
      <w:r w:rsidRPr="00EB7D90">
        <w:rPr>
          <w:rFonts w:ascii="Times New Roman" w:eastAsia="Times New Roman" w:hAnsi="Times New Roman" w:cs="Times New Roman"/>
          <w:sz w:val="24"/>
          <w:szCs w:val="24"/>
          <w:lang w:val="en-US" w:eastAsia="ru-RU"/>
        </w:rPr>
        <w:t>volcanics</w:t>
      </w:r>
      <w:proofErr w:type="spellEnd"/>
      <w:r w:rsidRPr="00EB7D90">
        <w:rPr>
          <w:rFonts w:ascii="Times New Roman" w:eastAsia="Times New Roman" w:hAnsi="Times New Roman" w:cs="Times New Roman"/>
          <w:sz w:val="24"/>
          <w:szCs w:val="24"/>
          <w:lang w:val="en-US" w:eastAsia="ru-RU"/>
        </w:rPr>
        <w:t xml:space="preserve"> from eastern Iceland (range 1.3–3.4 ppm). </w:t>
      </w:r>
      <w:proofErr w:type="spellStart"/>
      <w:r w:rsidRPr="00EB7D90">
        <w:rPr>
          <w:rFonts w:ascii="Times New Roman" w:eastAsia="Times New Roman" w:hAnsi="Times New Roman" w:cs="Times New Roman"/>
          <w:sz w:val="24"/>
          <w:szCs w:val="24"/>
          <w:lang w:val="en-US" w:eastAsia="ru-RU"/>
        </w:rPr>
        <w:t>Krauskopf</w:t>
      </w:r>
      <w:proofErr w:type="spellEnd"/>
      <w:r w:rsidRPr="00EB7D90">
        <w:rPr>
          <w:rFonts w:ascii="Times New Roman" w:eastAsia="Times New Roman" w:hAnsi="Times New Roman" w:cs="Times New Roman"/>
          <w:sz w:val="24"/>
          <w:szCs w:val="24"/>
          <w:lang w:val="en-US" w:eastAsia="ru-RU"/>
        </w:rPr>
        <w:t xml:space="preserve"> (1974) concludes that W concentrations for granitic rocks are on average about 1.5 ppm but somewhat less for mafic rocks, 0.5–1 ppm. Smith (1994) reports the average W concentration for the Earth’s crust as 1.3 ppm, which is in good agreement with the value (1.4 ppm) reported by </w:t>
      </w:r>
      <w:proofErr w:type="spellStart"/>
      <w:r w:rsidRPr="00EB7D90">
        <w:rPr>
          <w:rFonts w:ascii="Times New Roman" w:eastAsia="Times New Roman" w:hAnsi="Times New Roman" w:cs="Times New Roman"/>
          <w:sz w:val="24"/>
          <w:szCs w:val="24"/>
          <w:lang w:val="en-US" w:eastAsia="ru-RU"/>
        </w:rPr>
        <w:t>Wedepohl</w:t>
      </w:r>
      <w:proofErr w:type="spellEnd"/>
      <w:r w:rsidRPr="00EB7D90">
        <w:rPr>
          <w:rFonts w:ascii="Times New Roman" w:eastAsia="Times New Roman" w:hAnsi="Times New Roman" w:cs="Times New Roman"/>
          <w:sz w:val="24"/>
          <w:szCs w:val="24"/>
          <w:lang w:val="en-US" w:eastAsia="ru-RU"/>
        </w:rPr>
        <w:t xml:space="preserve"> (1995) for the upper crust.</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Molybdenum is preferentially accumulated in minerals containing Ti</w:t>
      </w:r>
      <w:r w:rsidRPr="00EB7D90">
        <w:rPr>
          <w:rFonts w:ascii="Times New Roman" w:eastAsia="Times New Roman" w:hAnsi="Times New Roman" w:cs="Times New Roman"/>
          <w:sz w:val="24"/>
          <w:szCs w:val="24"/>
          <w:vertAlign w:val="superscript"/>
          <w:lang w:val="en-US" w:eastAsia="ru-RU"/>
        </w:rPr>
        <w:t>+4</w:t>
      </w:r>
      <w:r w:rsidRPr="00EB7D90">
        <w:rPr>
          <w:rFonts w:ascii="Times New Roman" w:eastAsia="Times New Roman" w:hAnsi="Times New Roman" w:cs="Times New Roman"/>
          <w:sz w:val="24"/>
          <w:szCs w:val="24"/>
          <w:lang w:val="en-US" w:eastAsia="ru-RU"/>
        </w:rPr>
        <w:t xml:space="preserve"> and Fe</w:t>
      </w:r>
      <w:r w:rsidRPr="00EB7D90">
        <w:rPr>
          <w:rFonts w:ascii="Times New Roman" w:eastAsia="Times New Roman" w:hAnsi="Times New Roman" w:cs="Times New Roman"/>
          <w:sz w:val="24"/>
          <w:szCs w:val="24"/>
          <w:vertAlign w:val="superscript"/>
          <w:lang w:val="en-US" w:eastAsia="ru-RU"/>
        </w:rPr>
        <w:t>+3</w:t>
      </w:r>
      <w:r w:rsidRPr="00EB7D90">
        <w:rPr>
          <w:rFonts w:ascii="Times New Roman" w:eastAsia="Times New Roman" w:hAnsi="Times New Roman" w:cs="Times New Roman"/>
          <w:sz w:val="24"/>
          <w:szCs w:val="24"/>
          <w:lang w:val="en-US" w:eastAsia="ru-RU"/>
        </w:rPr>
        <w:t xml:space="preserve">, i.e. in ilmenite, titano-magnetite and </w:t>
      </w:r>
      <w:proofErr w:type="spellStart"/>
      <w:r w:rsidRPr="00EB7D90">
        <w:rPr>
          <w:rFonts w:ascii="Times New Roman" w:eastAsia="Times New Roman" w:hAnsi="Times New Roman" w:cs="Times New Roman"/>
          <w:sz w:val="24"/>
          <w:szCs w:val="24"/>
          <w:lang w:val="en-US" w:eastAsia="ru-RU"/>
        </w:rPr>
        <w:t>sphene</w:t>
      </w:r>
      <w:proofErr w:type="spellEnd"/>
      <w:r w:rsidRPr="00EB7D90">
        <w:rPr>
          <w:rFonts w:ascii="Times New Roman" w:eastAsia="Times New Roman" w:hAnsi="Times New Roman" w:cs="Times New Roman"/>
          <w:sz w:val="24"/>
          <w:szCs w:val="24"/>
          <w:lang w:val="en-US" w:eastAsia="ru-RU"/>
        </w:rPr>
        <w:t xml:space="preserve"> of basaltic and silicic igneous rocks (e.g. </w:t>
      </w:r>
      <w:proofErr w:type="spellStart"/>
      <w:r w:rsidRPr="00EB7D90">
        <w:rPr>
          <w:rFonts w:ascii="Times New Roman" w:eastAsia="Times New Roman" w:hAnsi="Times New Roman" w:cs="Times New Roman"/>
          <w:sz w:val="24"/>
          <w:szCs w:val="24"/>
          <w:lang w:val="en-US" w:eastAsia="ru-RU"/>
        </w:rPr>
        <w:t>Rabinovich</w:t>
      </w:r>
      <w:proofErr w:type="spellEnd"/>
      <w:r w:rsidRPr="00EB7D90">
        <w:rPr>
          <w:rFonts w:ascii="Times New Roman" w:eastAsia="Times New Roman" w:hAnsi="Times New Roman" w:cs="Times New Roman"/>
          <w:sz w:val="24"/>
          <w:szCs w:val="24"/>
          <w:lang w:val="en-US" w:eastAsia="ru-RU"/>
        </w:rPr>
        <w:t xml:space="preserve"> et al., 1958, </w:t>
      </w:r>
      <w:proofErr w:type="spellStart"/>
      <w:r w:rsidRPr="00EB7D90">
        <w:rPr>
          <w:rFonts w:ascii="Times New Roman" w:eastAsia="Times New Roman" w:hAnsi="Times New Roman" w:cs="Times New Roman"/>
          <w:sz w:val="24"/>
          <w:szCs w:val="24"/>
          <w:lang w:val="en-US" w:eastAsia="ru-RU"/>
        </w:rPr>
        <w:t>Annersten</w:t>
      </w:r>
      <w:proofErr w:type="spellEnd"/>
      <w:r w:rsidRPr="00EB7D90">
        <w:rPr>
          <w:rFonts w:ascii="Times New Roman" w:eastAsia="Times New Roman" w:hAnsi="Times New Roman" w:cs="Times New Roman"/>
          <w:sz w:val="24"/>
          <w:szCs w:val="24"/>
          <w:lang w:val="en-US" w:eastAsia="ru-RU"/>
        </w:rPr>
        <w:t xml:space="preserve"> and </w:t>
      </w:r>
      <w:proofErr w:type="spellStart"/>
      <w:r w:rsidRPr="00EB7D90">
        <w:rPr>
          <w:rFonts w:ascii="Times New Roman" w:eastAsia="Times New Roman" w:hAnsi="Times New Roman" w:cs="Times New Roman"/>
          <w:sz w:val="24"/>
          <w:szCs w:val="24"/>
          <w:lang w:val="en-US" w:eastAsia="ru-RU"/>
        </w:rPr>
        <w:t>Ekström</w:t>
      </w:r>
      <w:proofErr w:type="spellEnd"/>
      <w:r w:rsidRPr="00EB7D90">
        <w:rPr>
          <w:rFonts w:ascii="Times New Roman" w:eastAsia="Times New Roman" w:hAnsi="Times New Roman" w:cs="Times New Roman"/>
          <w:sz w:val="24"/>
          <w:szCs w:val="24"/>
          <w:lang w:val="en-US" w:eastAsia="ru-RU"/>
        </w:rPr>
        <w:t xml:space="preserve">, 1971, Manheim and </w:t>
      </w:r>
      <w:proofErr w:type="spellStart"/>
      <w:r w:rsidRPr="00EB7D90">
        <w:rPr>
          <w:rFonts w:ascii="Times New Roman" w:eastAsia="Times New Roman" w:hAnsi="Times New Roman" w:cs="Times New Roman"/>
          <w:sz w:val="24"/>
          <w:szCs w:val="24"/>
          <w:lang w:val="en-US" w:eastAsia="ru-RU"/>
        </w:rPr>
        <w:t>Landergren</w:t>
      </w:r>
      <w:proofErr w:type="spellEnd"/>
      <w:r w:rsidRPr="00EB7D90">
        <w:rPr>
          <w:rFonts w:ascii="Times New Roman" w:eastAsia="Times New Roman" w:hAnsi="Times New Roman" w:cs="Times New Roman"/>
          <w:sz w:val="24"/>
          <w:szCs w:val="24"/>
          <w:lang w:val="en-US" w:eastAsia="ru-RU"/>
        </w:rPr>
        <w:t xml:space="preserve">, 1974). However, relatively high Mo concentrations also occur in olivine but are lower in pyroxene and especially plagioclase (Wager and Mitchell, 1951, Kuroda and </w:t>
      </w:r>
      <w:proofErr w:type="spellStart"/>
      <w:r w:rsidRPr="00EB7D90">
        <w:rPr>
          <w:rFonts w:ascii="Times New Roman" w:eastAsia="Times New Roman" w:hAnsi="Times New Roman" w:cs="Times New Roman"/>
          <w:sz w:val="24"/>
          <w:szCs w:val="24"/>
          <w:lang w:val="en-US" w:eastAsia="ru-RU"/>
        </w:rPr>
        <w:t>Sandell</w:t>
      </w:r>
      <w:proofErr w:type="spellEnd"/>
      <w:r w:rsidRPr="00EB7D90">
        <w:rPr>
          <w:rFonts w:ascii="Times New Roman" w:eastAsia="Times New Roman" w:hAnsi="Times New Roman" w:cs="Times New Roman"/>
          <w:sz w:val="24"/>
          <w:szCs w:val="24"/>
          <w:lang w:val="en-US" w:eastAsia="ru-RU"/>
        </w:rPr>
        <w:t xml:space="preserve">, 1954, Ivanova and </w:t>
      </w:r>
      <w:proofErr w:type="spellStart"/>
      <w:r w:rsidRPr="00EB7D90">
        <w:rPr>
          <w:rFonts w:ascii="Times New Roman" w:eastAsia="Times New Roman" w:hAnsi="Times New Roman" w:cs="Times New Roman"/>
          <w:sz w:val="24"/>
          <w:szCs w:val="24"/>
          <w:lang w:val="en-US" w:eastAsia="ru-RU"/>
        </w:rPr>
        <w:t>Butuzova</w:t>
      </w:r>
      <w:proofErr w:type="spellEnd"/>
      <w:r w:rsidRPr="00EB7D90">
        <w:rPr>
          <w:rFonts w:ascii="Times New Roman" w:eastAsia="Times New Roman" w:hAnsi="Times New Roman" w:cs="Times New Roman"/>
          <w:sz w:val="24"/>
          <w:szCs w:val="24"/>
          <w:lang w:val="en-US" w:eastAsia="ru-RU"/>
        </w:rPr>
        <w:t xml:space="preserve">, 1968, </w:t>
      </w:r>
      <w:proofErr w:type="spellStart"/>
      <w:r w:rsidRPr="00EB7D90">
        <w:rPr>
          <w:rFonts w:ascii="Times New Roman" w:eastAsia="Times New Roman" w:hAnsi="Times New Roman" w:cs="Times New Roman"/>
          <w:sz w:val="24"/>
          <w:szCs w:val="24"/>
          <w:lang w:val="en-US" w:eastAsia="ru-RU"/>
        </w:rPr>
        <w:t>Rekharskii</w:t>
      </w:r>
      <w:proofErr w:type="spellEnd"/>
      <w:r w:rsidRPr="00EB7D90">
        <w:rPr>
          <w:rFonts w:ascii="Times New Roman" w:eastAsia="Times New Roman" w:hAnsi="Times New Roman" w:cs="Times New Roman"/>
          <w:sz w:val="24"/>
          <w:szCs w:val="24"/>
          <w:lang w:val="en-US" w:eastAsia="ru-RU"/>
        </w:rPr>
        <w:t xml:space="preserve">, 1970, </w:t>
      </w:r>
      <w:proofErr w:type="spellStart"/>
      <w:r w:rsidRPr="00EB7D90">
        <w:rPr>
          <w:rFonts w:ascii="Times New Roman" w:eastAsia="Times New Roman" w:hAnsi="Times New Roman" w:cs="Times New Roman"/>
          <w:sz w:val="24"/>
          <w:szCs w:val="24"/>
          <w:lang w:val="en-US" w:eastAsia="ru-RU"/>
        </w:rPr>
        <w:t>Tauson</w:t>
      </w:r>
      <w:proofErr w:type="spellEnd"/>
      <w:r w:rsidRPr="00EB7D90">
        <w:rPr>
          <w:rFonts w:ascii="Times New Roman" w:eastAsia="Times New Roman" w:hAnsi="Times New Roman" w:cs="Times New Roman"/>
          <w:sz w:val="24"/>
          <w:szCs w:val="24"/>
          <w:lang w:val="en-US" w:eastAsia="ru-RU"/>
        </w:rPr>
        <w:t xml:space="preserve"> et al., 1970, </w:t>
      </w:r>
      <w:proofErr w:type="spellStart"/>
      <w:r w:rsidRPr="00EB7D90">
        <w:rPr>
          <w:rFonts w:ascii="Times New Roman" w:eastAsia="Times New Roman" w:hAnsi="Times New Roman" w:cs="Times New Roman"/>
          <w:sz w:val="24"/>
          <w:szCs w:val="24"/>
          <w:lang w:val="en-US" w:eastAsia="ru-RU"/>
        </w:rPr>
        <w:t>Annersten</w:t>
      </w:r>
      <w:proofErr w:type="spellEnd"/>
      <w:r w:rsidRPr="00EB7D90">
        <w:rPr>
          <w:rFonts w:ascii="Times New Roman" w:eastAsia="Times New Roman" w:hAnsi="Times New Roman" w:cs="Times New Roman"/>
          <w:sz w:val="24"/>
          <w:szCs w:val="24"/>
          <w:lang w:val="en-US" w:eastAsia="ru-RU"/>
        </w:rPr>
        <w:t xml:space="preserve"> and </w:t>
      </w:r>
      <w:proofErr w:type="spellStart"/>
      <w:r w:rsidRPr="00EB7D90">
        <w:rPr>
          <w:rFonts w:ascii="Times New Roman" w:eastAsia="Times New Roman" w:hAnsi="Times New Roman" w:cs="Times New Roman"/>
          <w:sz w:val="24"/>
          <w:szCs w:val="24"/>
          <w:lang w:val="en-US" w:eastAsia="ru-RU"/>
        </w:rPr>
        <w:t>Ekström</w:t>
      </w:r>
      <w:proofErr w:type="spellEnd"/>
      <w:r w:rsidRPr="00EB7D90">
        <w:rPr>
          <w:rFonts w:ascii="Times New Roman" w:eastAsia="Times New Roman" w:hAnsi="Times New Roman" w:cs="Times New Roman"/>
          <w:sz w:val="24"/>
          <w:szCs w:val="24"/>
          <w:lang w:val="en-US" w:eastAsia="ru-RU"/>
        </w:rPr>
        <w:t xml:space="preserve">, 1971). Molybdenum is considered to replace Fe in the mafic minerals (Kuroda and </w:t>
      </w:r>
      <w:proofErr w:type="spellStart"/>
      <w:r w:rsidRPr="00EB7D90">
        <w:rPr>
          <w:rFonts w:ascii="Times New Roman" w:eastAsia="Times New Roman" w:hAnsi="Times New Roman" w:cs="Times New Roman"/>
          <w:sz w:val="24"/>
          <w:szCs w:val="24"/>
          <w:lang w:val="en-US" w:eastAsia="ru-RU"/>
        </w:rPr>
        <w:t>Sandell</w:t>
      </w:r>
      <w:proofErr w:type="spellEnd"/>
      <w:r w:rsidRPr="00EB7D90">
        <w:rPr>
          <w:rFonts w:ascii="Times New Roman" w:eastAsia="Times New Roman" w:hAnsi="Times New Roman" w:cs="Times New Roman"/>
          <w:sz w:val="24"/>
          <w:szCs w:val="24"/>
          <w:lang w:val="en-US" w:eastAsia="ru-RU"/>
        </w:rPr>
        <w:t>, 1954) but limited Si–Mo substitution also has been proposed (Wager and Mitchell, 1948). Like Mo, W is concentrated in Fe–</w:t>
      </w:r>
      <w:proofErr w:type="spellStart"/>
      <w:r w:rsidRPr="00EB7D90">
        <w:rPr>
          <w:rFonts w:ascii="Times New Roman" w:eastAsia="Times New Roman" w:hAnsi="Times New Roman" w:cs="Times New Roman"/>
          <w:sz w:val="24"/>
          <w:szCs w:val="24"/>
          <w:lang w:val="en-US" w:eastAsia="ru-RU"/>
        </w:rPr>
        <w:t>Ti</w:t>
      </w:r>
      <w:proofErr w:type="spellEnd"/>
      <w:r w:rsidRPr="00EB7D90">
        <w:rPr>
          <w:rFonts w:ascii="Times New Roman" w:eastAsia="Times New Roman" w:hAnsi="Times New Roman" w:cs="Times New Roman"/>
          <w:sz w:val="24"/>
          <w:szCs w:val="24"/>
          <w:lang w:val="en-US" w:eastAsia="ru-RU"/>
        </w:rPr>
        <w:t>-oxides. Tungsten seems to follow Mo in silicates (</w:t>
      </w:r>
      <w:proofErr w:type="spellStart"/>
      <w:r w:rsidRPr="00EB7D90">
        <w:rPr>
          <w:rFonts w:ascii="Times New Roman" w:eastAsia="Times New Roman" w:hAnsi="Times New Roman" w:cs="Times New Roman"/>
          <w:sz w:val="24"/>
          <w:szCs w:val="24"/>
          <w:lang w:val="en-US" w:eastAsia="ru-RU"/>
        </w:rPr>
        <w:t>Krauskopf</w:t>
      </w:r>
      <w:proofErr w:type="spellEnd"/>
      <w:r w:rsidRPr="00EB7D90">
        <w:rPr>
          <w:rFonts w:ascii="Times New Roman" w:eastAsia="Times New Roman" w:hAnsi="Times New Roman" w:cs="Times New Roman"/>
          <w:sz w:val="24"/>
          <w:szCs w:val="24"/>
          <w:lang w:val="en-US" w:eastAsia="ru-RU"/>
        </w:rPr>
        <w:t xml:space="preserve">, 1974), yet data on W in pyroxenes and </w:t>
      </w:r>
      <w:proofErr w:type="spellStart"/>
      <w:r w:rsidRPr="00EB7D90">
        <w:rPr>
          <w:rFonts w:ascii="Times New Roman" w:eastAsia="Times New Roman" w:hAnsi="Times New Roman" w:cs="Times New Roman"/>
          <w:sz w:val="24"/>
          <w:szCs w:val="24"/>
          <w:lang w:val="en-US" w:eastAsia="ru-RU"/>
        </w:rPr>
        <w:t>olivines</w:t>
      </w:r>
      <w:proofErr w:type="spellEnd"/>
      <w:r w:rsidRPr="00EB7D90">
        <w:rPr>
          <w:rFonts w:ascii="Times New Roman" w:eastAsia="Times New Roman" w:hAnsi="Times New Roman" w:cs="Times New Roman"/>
          <w:sz w:val="24"/>
          <w:szCs w:val="24"/>
          <w:lang w:val="en-US" w:eastAsia="ru-RU"/>
        </w:rPr>
        <w:t xml:space="preserve"> do not seem to be available. Molybdenum is known to be concentrated in </w:t>
      </w:r>
      <w:proofErr w:type="spellStart"/>
      <w:r w:rsidRPr="00EB7D90">
        <w:rPr>
          <w:rFonts w:ascii="Times New Roman" w:eastAsia="Times New Roman" w:hAnsi="Times New Roman" w:cs="Times New Roman"/>
          <w:sz w:val="24"/>
          <w:szCs w:val="24"/>
          <w:lang w:val="en-US" w:eastAsia="ru-RU"/>
        </w:rPr>
        <w:t>sulphides</w:t>
      </w:r>
      <w:proofErr w:type="spellEnd"/>
      <w:r w:rsidRPr="00EB7D90">
        <w:rPr>
          <w:rFonts w:ascii="Times New Roman" w:eastAsia="Times New Roman" w:hAnsi="Times New Roman" w:cs="Times New Roman"/>
          <w:sz w:val="24"/>
          <w:szCs w:val="24"/>
          <w:lang w:val="en-US" w:eastAsia="ru-RU"/>
        </w:rPr>
        <w:t xml:space="preserve"> and is removed from H</w:t>
      </w:r>
      <w:r w:rsidRPr="00EB7D90">
        <w:rPr>
          <w:rFonts w:ascii="Times New Roman" w:eastAsia="Times New Roman" w:hAnsi="Times New Roman" w:cs="Times New Roman"/>
          <w:sz w:val="24"/>
          <w:szCs w:val="24"/>
          <w:vertAlign w:val="subscript"/>
          <w:lang w:val="en-US" w:eastAsia="ru-RU"/>
        </w:rPr>
        <w:t>2</w:t>
      </w:r>
      <w:r w:rsidRPr="00EB7D90">
        <w:rPr>
          <w:rFonts w:ascii="Times New Roman" w:eastAsia="Times New Roman" w:hAnsi="Times New Roman" w:cs="Times New Roman"/>
          <w:sz w:val="24"/>
          <w:szCs w:val="24"/>
          <w:lang w:val="en-US" w:eastAsia="ru-RU"/>
        </w:rPr>
        <w:t>S rich geothermal waters by their precipitation (</w:t>
      </w:r>
      <w:proofErr w:type="spellStart"/>
      <w:r w:rsidRPr="00EB7D90">
        <w:rPr>
          <w:rFonts w:ascii="Times New Roman" w:eastAsia="Times New Roman" w:hAnsi="Times New Roman" w:cs="Times New Roman"/>
          <w:sz w:val="24"/>
          <w:szCs w:val="24"/>
          <w:lang w:val="en-US" w:eastAsia="ru-RU"/>
        </w:rPr>
        <w:t>Arnórsson</w:t>
      </w:r>
      <w:proofErr w:type="spellEnd"/>
      <w:r w:rsidRPr="00EB7D90">
        <w:rPr>
          <w:rFonts w:ascii="Times New Roman" w:eastAsia="Times New Roman" w:hAnsi="Times New Roman" w:cs="Times New Roman"/>
          <w:sz w:val="24"/>
          <w:szCs w:val="24"/>
          <w:lang w:val="en-US" w:eastAsia="ru-RU"/>
        </w:rPr>
        <w:t xml:space="preserve"> and </w:t>
      </w:r>
      <w:proofErr w:type="spellStart"/>
      <w:r w:rsidRPr="00EB7D90">
        <w:rPr>
          <w:rFonts w:ascii="Times New Roman" w:eastAsia="Times New Roman" w:hAnsi="Times New Roman" w:cs="Times New Roman"/>
          <w:sz w:val="24"/>
          <w:szCs w:val="24"/>
          <w:lang w:val="en-US" w:eastAsia="ru-RU"/>
        </w:rPr>
        <w:t>Ívarsson</w:t>
      </w:r>
      <w:proofErr w:type="spellEnd"/>
      <w:r w:rsidRPr="00EB7D90">
        <w:rPr>
          <w:rFonts w:ascii="Times New Roman" w:eastAsia="Times New Roman" w:hAnsi="Times New Roman" w:cs="Times New Roman"/>
          <w:sz w:val="24"/>
          <w:szCs w:val="24"/>
          <w:lang w:val="en-US" w:eastAsia="ru-RU"/>
        </w:rPr>
        <w:t>, 1985).</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Molybdenum is considered to behave conservatively in oxygenated alkaline river and lake waters, in non-thermal ground waters, during mixing in estuaries and during evaporation (Shiller and Boyle, 1991, Levy et al., 1994, Hodge et al., 1996, Paulsen and List, 1997, </w:t>
      </w:r>
      <w:proofErr w:type="spellStart"/>
      <w:r w:rsidRPr="00EB7D90">
        <w:rPr>
          <w:rFonts w:ascii="Times New Roman" w:eastAsia="Times New Roman" w:hAnsi="Times New Roman" w:cs="Times New Roman"/>
          <w:sz w:val="24"/>
          <w:szCs w:val="24"/>
          <w:lang w:val="en-US" w:eastAsia="ru-RU"/>
        </w:rPr>
        <w:t>Johannesson</w:t>
      </w:r>
      <w:proofErr w:type="spellEnd"/>
      <w:r w:rsidRPr="00EB7D90">
        <w:rPr>
          <w:rFonts w:ascii="Times New Roman" w:eastAsia="Times New Roman" w:hAnsi="Times New Roman" w:cs="Times New Roman"/>
          <w:sz w:val="24"/>
          <w:szCs w:val="24"/>
          <w:lang w:val="en-US" w:eastAsia="ru-RU"/>
        </w:rPr>
        <w:t xml:space="preserve"> et al., 2000, Neal et al., 2000, Dalai et al., 2005). It is, however, known that both Mo and W can be removed from solution by adsorption (co-precipitation) onto iron and manganese oxides depending on the solution pH (</w:t>
      </w:r>
      <w:proofErr w:type="spellStart"/>
      <w:r w:rsidRPr="00EB7D90">
        <w:rPr>
          <w:rFonts w:ascii="Times New Roman" w:eastAsia="Times New Roman" w:hAnsi="Times New Roman" w:cs="Times New Roman"/>
          <w:sz w:val="24"/>
          <w:szCs w:val="24"/>
          <w:lang w:val="en-US" w:eastAsia="ru-RU"/>
        </w:rPr>
        <w:t>Krainov</w:t>
      </w:r>
      <w:proofErr w:type="spellEnd"/>
      <w:r w:rsidRPr="00EB7D90">
        <w:rPr>
          <w:rFonts w:ascii="Times New Roman" w:eastAsia="Times New Roman" w:hAnsi="Times New Roman" w:cs="Times New Roman"/>
          <w:sz w:val="24"/>
          <w:szCs w:val="24"/>
          <w:lang w:val="en-US" w:eastAsia="ru-RU"/>
        </w:rPr>
        <w:t xml:space="preserve">, 1965, </w:t>
      </w:r>
      <w:proofErr w:type="spellStart"/>
      <w:r w:rsidRPr="00EB7D90">
        <w:rPr>
          <w:rFonts w:ascii="Times New Roman" w:eastAsia="Times New Roman" w:hAnsi="Times New Roman" w:cs="Times New Roman"/>
          <w:sz w:val="24"/>
          <w:szCs w:val="24"/>
          <w:lang w:val="en-US" w:eastAsia="ru-RU"/>
        </w:rPr>
        <w:t>Krauskopf</w:t>
      </w:r>
      <w:proofErr w:type="spellEnd"/>
      <w:r w:rsidRPr="00EB7D90">
        <w:rPr>
          <w:rFonts w:ascii="Times New Roman" w:eastAsia="Times New Roman" w:hAnsi="Times New Roman" w:cs="Times New Roman"/>
          <w:sz w:val="24"/>
          <w:szCs w:val="24"/>
          <w:lang w:val="en-US" w:eastAsia="ru-RU"/>
        </w:rPr>
        <w:t xml:space="preserve">, 1974, Manheim and </w:t>
      </w:r>
      <w:proofErr w:type="spellStart"/>
      <w:r w:rsidRPr="00EB7D90">
        <w:rPr>
          <w:rFonts w:ascii="Times New Roman" w:eastAsia="Times New Roman" w:hAnsi="Times New Roman" w:cs="Times New Roman"/>
          <w:sz w:val="24"/>
          <w:szCs w:val="24"/>
          <w:lang w:val="en-US" w:eastAsia="ru-RU"/>
        </w:rPr>
        <w:t>Landergren</w:t>
      </w:r>
      <w:proofErr w:type="spellEnd"/>
      <w:r w:rsidRPr="00EB7D90">
        <w:rPr>
          <w:rFonts w:ascii="Times New Roman" w:eastAsia="Times New Roman" w:hAnsi="Times New Roman" w:cs="Times New Roman"/>
          <w:sz w:val="24"/>
          <w:szCs w:val="24"/>
          <w:lang w:val="en-US" w:eastAsia="ru-RU"/>
        </w:rPr>
        <w:t xml:space="preserve">, </w:t>
      </w:r>
      <w:r w:rsidRPr="00EB7D90">
        <w:rPr>
          <w:rFonts w:ascii="Times New Roman" w:eastAsia="Times New Roman" w:hAnsi="Times New Roman" w:cs="Times New Roman"/>
          <w:sz w:val="24"/>
          <w:szCs w:val="24"/>
          <w:lang w:val="en-US" w:eastAsia="ru-RU"/>
        </w:rPr>
        <w:lastRenderedPageBreak/>
        <w:t xml:space="preserve">1974, Smedley and </w:t>
      </w:r>
      <w:proofErr w:type="spellStart"/>
      <w:r w:rsidRPr="00EB7D90">
        <w:rPr>
          <w:rFonts w:ascii="Times New Roman" w:eastAsia="Times New Roman" w:hAnsi="Times New Roman" w:cs="Times New Roman"/>
          <w:sz w:val="24"/>
          <w:szCs w:val="24"/>
          <w:lang w:val="en-US" w:eastAsia="ru-RU"/>
        </w:rPr>
        <w:t>Kinniburgh</w:t>
      </w:r>
      <w:proofErr w:type="spellEnd"/>
      <w:r w:rsidRPr="00EB7D90">
        <w:rPr>
          <w:rFonts w:ascii="Times New Roman" w:eastAsia="Times New Roman" w:hAnsi="Times New Roman" w:cs="Times New Roman"/>
          <w:sz w:val="24"/>
          <w:szCs w:val="24"/>
          <w:lang w:val="en-US" w:eastAsia="ru-RU"/>
        </w:rPr>
        <w:t>, 2002). Under reducing conditions in both fresh water and seawater, authigenic Mo forms via removal with H</w:t>
      </w:r>
      <w:r w:rsidRPr="00EB7D90">
        <w:rPr>
          <w:rFonts w:ascii="Times New Roman" w:eastAsia="Times New Roman" w:hAnsi="Times New Roman" w:cs="Times New Roman"/>
          <w:sz w:val="24"/>
          <w:szCs w:val="24"/>
          <w:vertAlign w:val="subscript"/>
          <w:lang w:val="en-US" w:eastAsia="ru-RU"/>
        </w:rPr>
        <w:t>2</w:t>
      </w:r>
      <w:r w:rsidRPr="00EB7D90">
        <w:rPr>
          <w:rFonts w:ascii="Times New Roman" w:eastAsia="Times New Roman" w:hAnsi="Times New Roman" w:cs="Times New Roman"/>
          <w:sz w:val="24"/>
          <w:szCs w:val="24"/>
          <w:lang w:val="en-US" w:eastAsia="ru-RU"/>
        </w:rPr>
        <w:t>S into Fe-</w:t>
      </w:r>
      <w:proofErr w:type="spellStart"/>
      <w:r w:rsidRPr="00EB7D90">
        <w:rPr>
          <w:rFonts w:ascii="Times New Roman" w:eastAsia="Times New Roman" w:hAnsi="Times New Roman" w:cs="Times New Roman"/>
          <w:sz w:val="24"/>
          <w:szCs w:val="24"/>
          <w:lang w:val="en-US" w:eastAsia="ru-RU"/>
        </w:rPr>
        <w:t>sulphides</w:t>
      </w:r>
      <w:proofErr w:type="spellEnd"/>
      <w:r w:rsidRPr="00EB7D90">
        <w:rPr>
          <w:rFonts w:ascii="Times New Roman" w:eastAsia="Times New Roman" w:hAnsi="Times New Roman" w:cs="Times New Roman"/>
          <w:sz w:val="24"/>
          <w:szCs w:val="24"/>
          <w:lang w:val="en-US" w:eastAsia="ru-RU"/>
        </w:rPr>
        <w:t xml:space="preserve"> (Shaw et al., 1990, Zheng et al., 2000, Adelson et al., 2001). At Lake </w:t>
      </w:r>
      <w:proofErr w:type="spellStart"/>
      <w:r w:rsidRPr="00EB7D90">
        <w:rPr>
          <w:rFonts w:ascii="Times New Roman" w:eastAsia="Times New Roman" w:hAnsi="Times New Roman" w:cs="Times New Roman"/>
          <w:sz w:val="24"/>
          <w:szCs w:val="24"/>
          <w:lang w:val="en-US" w:eastAsia="ru-RU"/>
        </w:rPr>
        <w:t>Palvin</w:t>
      </w:r>
      <w:proofErr w:type="spellEnd"/>
      <w:r w:rsidRPr="00EB7D90">
        <w:rPr>
          <w:rFonts w:ascii="Times New Roman" w:eastAsia="Times New Roman" w:hAnsi="Times New Roman" w:cs="Times New Roman"/>
          <w:sz w:val="24"/>
          <w:szCs w:val="24"/>
          <w:lang w:val="en-US" w:eastAsia="ru-RU"/>
        </w:rPr>
        <w:t xml:space="preserve">, France, </w:t>
      </w:r>
      <w:proofErr w:type="spellStart"/>
      <w:r w:rsidRPr="00EB7D90">
        <w:rPr>
          <w:rFonts w:ascii="Times New Roman" w:eastAsia="Times New Roman" w:hAnsi="Times New Roman" w:cs="Times New Roman"/>
          <w:sz w:val="24"/>
          <w:szCs w:val="24"/>
          <w:lang w:val="en-US" w:eastAsia="ru-RU"/>
        </w:rPr>
        <w:t>Viollier</w:t>
      </w:r>
      <w:proofErr w:type="spellEnd"/>
      <w:r w:rsidRPr="00EB7D90">
        <w:rPr>
          <w:rFonts w:ascii="Times New Roman" w:eastAsia="Times New Roman" w:hAnsi="Times New Roman" w:cs="Times New Roman"/>
          <w:sz w:val="24"/>
          <w:szCs w:val="24"/>
          <w:lang w:val="en-US" w:eastAsia="ru-RU"/>
        </w:rPr>
        <w:t xml:space="preserve"> et al. (1997) observed that particulate Mo concentrations increased dramatically below the </w:t>
      </w:r>
      <w:proofErr w:type="spellStart"/>
      <w:r w:rsidRPr="00EB7D90">
        <w:rPr>
          <w:rFonts w:ascii="Times New Roman" w:eastAsia="Times New Roman" w:hAnsi="Times New Roman" w:cs="Times New Roman"/>
          <w:sz w:val="24"/>
          <w:szCs w:val="24"/>
          <w:lang w:val="en-US" w:eastAsia="ru-RU"/>
        </w:rPr>
        <w:t>oxic</w:t>
      </w:r>
      <w:proofErr w:type="spellEnd"/>
      <w:r w:rsidRPr="00EB7D90">
        <w:rPr>
          <w:rFonts w:ascii="Times New Roman" w:eastAsia="Times New Roman" w:hAnsi="Times New Roman" w:cs="Times New Roman"/>
          <w:sz w:val="24"/>
          <w:szCs w:val="24"/>
          <w:lang w:val="en-US" w:eastAsia="ru-RU"/>
        </w:rPr>
        <w:t xml:space="preserve">–anoxic boundary. Reductive dissolution of iron oxides and desorption processes may release Mo into solution (Bennett and </w:t>
      </w:r>
      <w:proofErr w:type="spellStart"/>
      <w:r w:rsidRPr="00EB7D90">
        <w:rPr>
          <w:rFonts w:ascii="Times New Roman" w:eastAsia="Times New Roman" w:hAnsi="Times New Roman" w:cs="Times New Roman"/>
          <w:sz w:val="24"/>
          <w:szCs w:val="24"/>
          <w:lang w:val="en-US" w:eastAsia="ru-RU"/>
        </w:rPr>
        <w:t>Dudmas</w:t>
      </w:r>
      <w:proofErr w:type="spellEnd"/>
      <w:r w:rsidRPr="00EB7D90">
        <w:rPr>
          <w:rFonts w:ascii="Times New Roman" w:eastAsia="Times New Roman" w:hAnsi="Times New Roman" w:cs="Times New Roman"/>
          <w:sz w:val="24"/>
          <w:szCs w:val="24"/>
          <w:lang w:val="en-US" w:eastAsia="ru-RU"/>
        </w:rPr>
        <w:t>, 2003, Dalai et al., 2005). Tungsten concentrations in natural waters are known to display a positive correlation with the concentrations of the conservative element Cl and also with highly mobile elements, such as B and As. This suggests relatively high mobility for W (Seiler et al., 2005).</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The present study is based on ICP-MS determinations of Mo and W in 253 samples of surface- and &lt;100 °C ground waters and in 32 samples of basalts from the Mid-Tertiary tholeiite-basalt province of </w:t>
      </w:r>
      <w:proofErr w:type="spellStart"/>
      <w:r w:rsidRPr="00EB7D90">
        <w:rPr>
          <w:rFonts w:ascii="Times New Roman" w:eastAsia="Times New Roman" w:hAnsi="Times New Roman" w:cs="Times New Roman"/>
          <w:sz w:val="24"/>
          <w:szCs w:val="24"/>
          <w:lang w:val="en-US" w:eastAsia="ru-RU"/>
        </w:rPr>
        <w:t>Skagafjördur</w:t>
      </w:r>
      <w:proofErr w:type="spellEnd"/>
      <w:r w:rsidRPr="00EB7D90">
        <w:rPr>
          <w:rFonts w:ascii="Times New Roman" w:eastAsia="Times New Roman" w:hAnsi="Times New Roman" w:cs="Times New Roman"/>
          <w:sz w:val="24"/>
          <w:szCs w:val="24"/>
          <w:lang w:val="en-US" w:eastAsia="ru-RU"/>
        </w:rPr>
        <w:t xml:space="preserve">, northern Iceland. These data are supplemented by data on these elements in 35 samples of basaltic to silicic </w:t>
      </w:r>
      <w:proofErr w:type="spellStart"/>
      <w:r w:rsidRPr="00EB7D90">
        <w:rPr>
          <w:rFonts w:ascii="Times New Roman" w:eastAsia="Times New Roman" w:hAnsi="Times New Roman" w:cs="Times New Roman"/>
          <w:sz w:val="24"/>
          <w:szCs w:val="24"/>
          <w:lang w:val="en-US" w:eastAsia="ru-RU"/>
        </w:rPr>
        <w:t>volcanics</w:t>
      </w:r>
      <w:proofErr w:type="spellEnd"/>
      <w:r w:rsidRPr="00EB7D90">
        <w:rPr>
          <w:rFonts w:ascii="Times New Roman" w:eastAsia="Times New Roman" w:hAnsi="Times New Roman" w:cs="Times New Roman"/>
          <w:sz w:val="24"/>
          <w:szCs w:val="24"/>
          <w:lang w:val="en-US" w:eastAsia="ru-RU"/>
        </w:rPr>
        <w:t xml:space="preserve"> from the active volcanic belt in northeastern Iceland.</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Geological and hydrological features</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The main study area is the watershed of the </w:t>
      </w:r>
      <w:proofErr w:type="spellStart"/>
      <w:r w:rsidRPr="00EB7D90">
        <w:rPr>
          <w:rFonts w:ascii="Times New Roman" w:eastAsia="Times New Roman" w:hAnsi="Times New Roman" w:cs="Times New Roman"/>
          <w:sz w:val="24"/>
          <w:szCs w:val="24"/>
          <w:lang w:val="en-US" w:eastAsia="ru-RU"/>
        </w:rPr>
        <w:t>Héradsvötn</w:t>
      </w:r>
      <w:proofErr w:type="spellEnd"/>
      <w:r w:rsidRPr="00EB7D90">
        <w:rPr>
          <w:rFonts w:ascii="Times New Roman" w:eastAsia="Times New Roman" w:hAnsi="Times New Roman" w:cs="Times New Roman"/>
          <w:sz w:val="24"/>
          <w:szCs w:val="24"/>
          <w:lang w:val="en-US" w:eastAsia="ru-RU"/>
        </w:rPr>
        <w:t xml:space="preserve">-river in the Valley of </w:t>
      </w:r>
      <w:proofErr w:type="spellStart"/>
      <w:r w:rsidRPr="00EB7D90">
        <w:rPr>
          <w:rFonts w:ascii="Times New Roman" w:eastAsia="Times New Roman" w:hAnsi="Times New Roman" w:cs="Times New Roman"/>
          <w:sz w:val="24"/>
          <w:szCs w:val="24"/>
          <w:lang w:val="en-US" w:eastAsia="ru-RU"/>
        </w:rPr>
        <w:t>Skagafjördur</w:t>
      </w:r>
      <w:proofErr w:type="spellEnd"/>
      <w:r w:rsidRPr="00EB7D90">
        <w:rPr>
          <w:rFonts w:ascii="Times New Roman" w:eastAsia="Times New Roman" w:hAnsi="Times New Roman" w:cs="Times New Roman"/>
          <w:sz w:val="24"/>
          <w:szCs w:val="24"/>
          <w:lang w:val="en-US" w:eastAsia="ru-RU"/>
        </w:rPr>
        <w:t xml:space="preserve"> in North-Iceland. It extends from the ice-cap of </w:t>
      </w:r>
      <w:proofErr w:type="spellStart"/>
      <w:r w:rsidRPr="00EB7D90">
        <w:rPr>
          <w:rFonts w:ascii="Times New Roman" w:eastAsia="Times New Roman" w:hAnsi="Times New Roman" w:cs="Times New Roman"/>
          <w:sz w:val="24"/>
          <w:szCs w:val="24"/>
          <w:lang w:val="en-US" w:eastAsia="ru-RU"/>
        </w:rPr>
        <w:t>Hofsjökull</w:t>
      </w:r>
      <w:proofErr w:type="spellEnd"/>
      <w:r w:rsidRPr="00EB7D90">
        <w:rPr>
          <w:rFonts w:ascii="Times New Roman" w:eastAsia="Times New Roman" w:hAnsi="Times New Roman" w:cs="Times New Roman"/>
          <w:sz w:val="24"/>
          <w:szCs w:val="24"/>
          <w:lang w:val="en-US" w:eastAsia="ru-RU"/>
        </w:rPr>
        <w:t xml:space="preserve"> in central Iceland to the north coast (Fig. 1).</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Topographically the area is characterized by glacial erosion. The flat mountain tops in the area are probably close to the original lava plateau surface (</w:t>
      </w:r>
      <w:proofErr w:type="spellStart"/>
      <w:r w:rsidRPr="00EB7D90">
        <w:rPr>
          <w:rFonts w:ascii="Times New Roman" w:eastAsia="Times New Roman" w:hAnsi="Times New Roman" w:cs="Times New Roman"/>
          <w:sz w:val="24"/>
          <w:szCs w:val="24"/>
          <w:lang w:val="en-US" w:eastAsia="ru-RU"/>
        </w:rPr>
        <w:t>Jóhannesson</w:t>
      </w:r>
      <w:proofErr w:type="spellEnd"/>
      <w:r w:rsidRPr="00EB7D90">
        <w:rPr>
          <w:rFonts w:ascii="Times New Roman" w:eastAsia="Times New Roman" w:hAnsi="Times New Roman" w:cs="Times New Roman"/>
          <w:sz w:val="24"/>
          <w:szCs w:val="24"/>
          <w:lang w:val="en-US" w:eastAsia="ru-RU"/>
        </w:rPr>
        <w:t xml:space="preserve">, 1991). The most deeply eroded parts of the lava succession extend into the </w:t>
      </w:r>
      <w:proofErr w:type="spellStart"/>
      <w:r w:rsidRPr="00EB7D90">
        <w:rPr>
          <w:rFonts w:ascii="Times New Roman" w:eastAsia="Times New Roman" w:hAnsi="Times New Roman" w:cs="Times New Roman"/>
          <w:sz w:val="24"/>
          <w:szCs w:val="24"/>
          <w:lang w:val="en-US" w:eastAsia="ru-RU"/>
        </w:rPr>
        <w:t>scolecite</w:t>
      </w:r>
      <w:proofErr w:type="spellEnd"/>
      <w:r w:rsidRPr="00EB7D90">
        <w:rPr>
          <w:rFonts w:ascii="Times New Roman" w:eastAsia="Times New Roman" w:hAnsi="Times New Roman" w:cs="Times New Roman"/>
          <w:sz w:val="24"/>
          <w:szCs w:val="24"/>
          <w:lang w:val="en-US" w:eastAsia="ru-RU"/>
        </w:rPr>
        <w:t>–</w:t>
      </w:r>
      <w:proofErr w:type="spellStart"/>
      <w:r w:rsidRPr="00EB7D90">
        <w:rPr>
          <w:rFonts w:ascii="Times New Roman" w:eastAsia="Times New Roman" w:hAnsi="Times New Roman" w:cs="Times New Roman"/>
          <w:sz w:val="24"/>
          <w:szCs w:val="24"/>
          <w:lang w:val="en-US" w:eastAsia="ru-RU"/>
        </w:rPr>
        <w:t>mesolite</w:t>
      </w:r>
      <w:proofErr w:type="spellEnd"/>
      <w:r w:rsidRPr="00EB7D90">
        <w:rPr>
          <w:rFonts w:ascii="Times New Roman" w:eastAsia="Times New Roman" w:hAnsi="Times New Roman" w:cs="Times New Roman"/>
          <w:sz w:val="24"/>
          <w:szCs w:val="24"/>
          <w:lang w:val="en-US" w:eastAsia="ru-RU"/>
        </w:rPr>
        <w:t xml:space="preserve"> zone of zeolites (see Walker, 1960, </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Sampling and analytical methods</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proofErr w:type="spellStart"/>
      <w:r w:rsidRPr="00EB7D90">
        <w:rPr>
          <w:rFonts w:ascii="Times New Roman" w:eastAsia="Times New Roman" w:hAnsi="Times New Roman" w:cs="Times New Roman"/>
          <w:sz w:val="24"/>
          <w:szCs w:val="24"/>
          <w:lang w:val="en-US" w:eastAsia="ru-RU"/>
        </w:rPr>
        <w:t>Arnórsson</w:t>
      </w:r>
      <w:proofErr w:type="spellEnd"/>
      <w:r w:rsidRPr="00EB7D90">
        <w:rPr>
          <w:rFonts w:ascii="Times New Roman" w:eastAsia="Times New Roman" w:hAnsi="Times New Roman" w:cs="Times New Roman"/>
          <w:sz w:val="24"/>
          <w:szCs w:val="24"/>
          <w:lang w:val="en-US" w:eastAsia="ru-RU"/>
        </w:rPr>
        <w:t xml:space="preserve"> et al. (2002) give details of the methods used to collect and treat water samples. Specifically, for the trace element analysis, including Mo and W, the samples were filtered on site through 0.2 </w:t>
      </w:r>
      <w:r w:rsidRPr="00EB7D90">
        <w:rPr>
          <w:rFonts w:ascii="Times New Roman" w:eastAsia="Times New Roman" w:hAnsi="Times New Roman" w:cs="Times New Roman"/>
          <w:sz w:val="24"/>
          <w:szCs w:val="24"/>
          <w:lang w:eastAsia="ru-RU"/>
        </w:rPr>
        <w:t>μ</w:t>
      </w:r>
      <w:r w:rsidRPr="00EB7D90">
        <w:rPr>
          <w:rFonts w:ascii="Times New Roman" w:eastAsia="Times New Roman" w:hAnsi="Times New Roman" w:cs="Times New Roman"/>
          <w:sz w:val="24"/>
          <w:szCs w:val="24"/>
          <w:lang w:val="en-US" w:eastAsia="ru-RU"/>
        </w:rPr>
        <w:t xml:space="preserve">m acetate cellulose membrane followed by acidification by 1 ml </w:t>
      </w:r>
      <w:proofErr w:type="spellStart"/>
      <w:r w:rsidRPr="00EB7D90">
        <w:rPr>
          <w:rFonts w:ascii="Times New Roman" w:eastAsia="Times New Roman" w:hAnsi="Times New Roman" w:cs="Times New Roman"/>
          <w:sz w:val="24"/>
          <w:szCs w:val="24"/>
          <w:lang w:val="en-US" w:eastAsia="ru-RU"/>
        </w:rPr>
        <w:t>Suprapure</w:t>
      </w:r>
      <w:proofErr w:type="spellEnd"/>
      <w:r w:rsidRPr="00EB7D90">
        <w:rPr>
          <w:rFonts w:ascii="Times New Roman" w:eastAsia="Times New Roman" w:hAnsi="Times New Roman" w:cs="Times New Roman"/>
          <w:sz w:val="24"/>
          <w:szCs w:val="24"/>
          <w:lang w:val="en-US" w:eastAsia="ru-RU"/>
        </w:rPr>
        <w:t xml:space="preserve"> nitric acid (E. Merck 100441) to 100 ml sample.</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Molybdenum and W were determined in a total of 253 water samples by high resolution ICP mass spectrometry at Washington University, St. Louis (Table 2). Analytical precision is </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 xml:space="preserve">Distributions of Mo and W in basaltic to silicic </w:t>
      </w:r>
      <w:proofErr w:type="spellStart"/>
      <w:r w:rsidRPr="00EB7D90">
        <w:rPr>
          <w:rFonts w:ascii="Times New Roman" w:eastAsia="Times New Roman" w:hAnsi="Times New Roman" w:cs="Times New Roman"/>
          <w:b/>
          <w:bCs/>
          <w:sz w:val="36"/>
          <w:szCs w:val="36"/>
          <w:lang w:val="en-US" w:eastAsia="ru-RU"/>
        </w:rPr>
        <w:t>volcanics</w:t>
      </w:r>
      <w:proofErr w:type="spellEnd"/>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The concentrations of Mo and W range from 0.03 and 0.01 ppm in normal MORB to 4 and 1.3 ppm in rhyolites. The average Mo and W contents of the slightly evolved basalts in the </w:t>
      </w:r>
      <w:proofErr w:type="spellStart"/>
      <w:r w:rsidRPr="00EB7D90">
        <w:rPr>
          <w:rFonts w:ascii="Times New Roman" w:eastAsia="Times New Roman" w:hAnsi="Times New Roman" w:cs="Times New Roman"/>
          <w:sz w:val="24"/>
          <w:szCs w:val="24"/>
          <w:lang w:val="en-US" w:eastAsia="ru-RU"/>
        </w:rPr>
        <w:t>Skagafjördur</w:t>
      </w:r>
      <w:proofErr w:type="spellEnd"/>
      <w:r w:rsidRPr="00EB7D90">
        <w:rPr>
          <w:rFonts w:ascii="Times New Roman" w:eastAsia="Times New Roman" w:hAnsi="Times New Roman" w:cs="Times New Roman"/>
          <w:sz w:val="24"/>
          <w:szCs w:val="24"/>
          <w:lang w:val="en-US" w:eastAsia="ru-RU"/>
        </w:rPr>
        <w:t xml:space="preserve"> area are 1.01 and 0.32 ppm, respectively. The Mo/W ratio is quite similar in all rock types (Fig. 2A), reflecting the similarity in the chemical behavior of the two elements. The average Mo/W atomic ratio for all the samples is 7.2 but 6.4 for the </w:t>
      </w:r>
      <w:proofErr w:type="spellStart"/>
      <w:r w:rsidRPr="00EB7D90">
        <w:rPr>
          <w:rFonts w:ascii="Times New Roman" w:eastAsia="Times New Roman" w:hAnsi="Times New Roman" w:cs="Times New Roman"/>
          <w:sz w:val="24"/>
          <w:szCs w:val="24"/>
          <w:lang w:val="en-US" w:eastAsia="ru-RU"/>
        </w:rPr>
        <w:t>Skagafjördur</w:t>
      </w:r>
      <w:proofErr w:type="spellEnd"/>
      <w:r w:rsidRPr="00EB7D90">
        <w:rPr>
          <w:rFonts w:ascii="Times New Roman" w:eastAsia="Times New Roman" w:hAnsi="Times New Roman" w:cs="Times New Roman"/>
          <w:sz w:val="24"/>
          <w:szCs w:val="24"/>
          <w:lang w:val="en-US" w:eastAsia="ru-RU"/>
        </w:rPr>
        <w:t xml:space="preserve"> basalts. Most of the samples (90%) have Mo/W ratios</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Mo and W in primary basalt minerals</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No data are available on the Mo and W content of the primary minerals of Icelandic basalts. Data on the Mo content of the primary minerals of gabbroic rocks are, however, available (Wager and Mitchell, 1951, Kuroda and </w:t>
      </w:r>
      <w:proofErr w:type="spellStart"/>
      <w:r w:rsidRPr="00EB7D90">
        <w:rPr>
          <w:rFonts w:ascii="Times New Roman" w:eastAsia="Times New Roman" w:hAnsi="Times New Roman" w:cs="Times New Roman"/>
          <w:sz w:val="24"/>
          <w:szCs w:val="24"/>
          <w:lang w:val="en-US" w:eastAsia="ru-RU"/>
        </w:rPr>
        <w:t>Sandell</w:t>
      </w:r>
      <w:proofErr w:type="spellEnd"/>
      <w:r w:rsidRPr="00EB7D90">
        <w:rPr>
          <w:rFonts w:ascii="Times New Roman" w:eastAsia="Times New Roman" w:hAnsi="Times New Roman" w:cs="Times New Roman"/>
          <w:sz w:val="24"/>
          <w:szCs w:val="24"/>
          <w:lang w:val="en-US" w:eastAsia="ru-RU"/>
        </w:rPr>
        <w:t xml:space="preserve">, 1954, Sen et al., 1959, </w:t>
      </w:r>
      <w:proofErr w:type="spellStart"/>
      <w:r w:rsidRPr="00EB7D90">
        <w:rPr>
          <w:rFonts w:ascii="Times New Roman" w:eastAsia="Times New Roman" w:hAnsi="Times New Roman" w:cs="Times New Roman"/>
          <w:sz w:val="24"/>
          <w:szCs w:val="24"/>
          <w:lang w:val="en-US" w:eastAsia="ru-RU"/>
        </w:rPr>
        <w:t>Krauskopf</w:t>
      </w:r>
      <w:proofErr w:type="spellEnd"/>
      <w:r w:rsidRPr="00EB7D90">
        <w:rPr>
          <w:rFonts w:ascii="Times New Roman" w:eastAsia="Times New Roman" w:hAnsi="Times New Roman" w:cs="Times New Roman"/>
          <w:sz w:val="24"/>
          <w:szCs w:val="24"/>
          <w:lang w:val="en-US" w:eastAsia="ru-RU"/>
        </w:rPr>
        <w:t xml:space="preserve">, 1974, Manheim and </w:t>
      </w:r>
      <w:proofErr w:type="spellStart"/>
      <w:r w:rsidRPr="00EB7D90">
        <w:rPr>
          <w:rFonts w:ascii="Times New Roman" w:eastAsia="Times New Roman" w:hAnsi="Times New Roman" w:cs="Times New Roman"/>
          <w:sz w:val="24"/>
          <w:szCs w:val="24"/>
          <w:lang w:val="en-US" w:eastAsia="ru-RU"/>
        </w:rPr>
        <w:t>Landergren</w:t>
      </w:r>
      <w:proofErr w:type="spellEnd"/>
      <w:r w:rsidRPr="00EB7D90">
        <w:rPr>
          <w:rFonts w:ascii="Times New Roman" w:eastAsia="Times New Roman" w:hAnsi="Times New Roman" w:cs="Times New Roman"/>
          <w:sz w:val="24"/>
          <w:szCs w:val="24"/>
          <w:lang w:val="en-US" w:eastAsia="ru-RU"/>
        </w:rPr>
        <w:t xml:space="preserve">, 1974) and these data are considered to give a good idea of the Mo and W </w:t>
      </w:r>
      <w:r w:rsidRPr="00EB7D90">
        <w:rPr>
          <w:rFonts w:ascii="Times New Roman" w:eastAsia="Times New Roman" w:hAnsi="Times New Roman" w:cs="Times New Roman"/>
          <w:sz w:val="24"/>
          <w:szCs w:val="24"/>
          <w:lang w:val="en-US" w:eastAsia="ru-RU"/>
        </w:rPr>
        <w:lastRenderedPageBreak/>
        <w:t xml:space="preserve">concentrations in primary basalt minerals. The data from the </w:t>
      </w:r>
      <w:proofErr w:type="spellStart"/>
      <w:r w:rsidRPr="00EB7D90">
        <w:rPr>
          <w:rFonts w:ascii="Times New Roman" w:eastAsia="Times New Roman" w:hAnsi="Times New Roman" w:cs="Times New Roman"/>
          <w:sz w:val="24"/>
          <w:szCs w:val="24"/>
          <w:lang w:val="en-US" w:eastAsia="ru-RU"/>
        </w:rPr>
        <w:t>gabbros</w:t>
      </w:r>
      <w:proofErr w:type="spellEnd"/>
      <w:r w:rsidRPr="00EB7D90">
        <w:rPr>
          <w:rFonts w:ascii="Times New Roman" w:eastAsia="Times New Roman" w:hAnsi="Times New Roman" w:cs="Times New Roman"/>
          <w:sz w:val="24"/>
          <w:szCs w:val="24"/>
          <w:lang w:val="en-US" w:eastAsia="ru-RU"/>
        </w:rPr>
        <w:t xml:space="preserve"> show considerable range for each mineral (Kuroda and </w:t>
      </w:r>
      <w:proofErr w:type="spellStart"/>
      <w:r w:rsidRPr="00EB7D90">
        <w:rPr>
          <w:rFonts w:ascii="Times New Roman" w:eastAsia="Times New Roman" w:hAnsi="Times New Roman" w:cs="Times New Roman"/>
          <w:sz w:val="24"/>
          <w:szCs w:val="24"/>
          <w:lang w:val="en-US" w:eastAsia="ru-RU"/>
        </w:rPr>
        <w:t>Sandell</w:t>
      </w:r>
      <w:proofErr w:type="spellEnd"/>
      <w:r w:rsidRPr="00EB7D90">
        <w:rPr>
          <w:rFonts w:ascii="Times New Roman" w:eastAsia="Times New Roman" w:hAnsi="Times New Roman" w:cs="Times New Roman"/>
          <w:sz w:val="24"/>
          <w:szCs w:val="24"/>
          <w:lang w:val="en-US" w:eastAsia="ru-RU"/>
        </w:rPr>
        <w:t>, 1954</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Distributions and speciation of Mo and W in waters</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The waters sampled from the </w:t>
      </w:r>
      <w:proofErr w:type="spellStart"/>
      <w:r w:rsidRPr="00EB7D90">
        <w:rPr>
          <w:rFonts w:ascii="Times New Roman" w:eastAsia="Times New Roman" w:hAnsi="Times New Roman" w:cs="Times New Roman"/>
          <w:sz w:val="24"/>
          <w:szCs w:val="24"/>
          <w:lang w:val="en-US" w:eastAsia="ru-RU"/>
        </w:rPr>
        <w:t>Skagafjördur</w:t>
      </w:r>
      <w:proofErr w:type="spellEnd"/>
      <w:r w:rsidRPr="00EB7D90">
        <w:rPr>
          <w:rFonts w:ascii="Times New Roman" w:eastAsia="Times New Roman" w:hAnsi="Times New Roman" w:cs="Times New Roman"/>
          <w:sz w:val="24"/>
          <w:szCs w:val="24"/>
          <w:lang w:val="en-US" w:eastAsia="ru-RU"/>
        </w:rPr>
        <w:t xml:space="preserve"> area have been divided into five groups, as follows: (1) ground waters in lowland areas, (2) ground waters in highland areas, (3) rivers and streams, (4) lakes and (5) peat soil waters (</w:t>
      </w:r>
      <w:proofErr w:type="spellStart"/>
      <w:r w:rsidRPr="00EB7D90">
        <w:rPr>
          <w:rFonts w:ascii="Times New Roman" w:eastAsia="Times New Roman" w:hAnsi="Times New Roman" w:cs="Times New Roman"/>
          <w:sz w:val="24"/>
          <w:szCs w:val="24"/>
          <w:lang w:val="en-US" w:eastAsia="ru-RU"/>
        </w:rPr>
        <w:t>Arnórsson</w:t>
      </w:r>
      <w:proofErr w:type="spellEnd"/>
      <w:r w:rsidRPr="00EB7D90">
        <w:rPr>
          <w:rFonts w:ascii="Times New Roman" w:eastAsia="Times New Roman" w:hAnsi="Times New Roman" w:cs="Times New Roman"/>
          <w:sz w:val="24"/>
          <w:szCs w:val="24"/>
          <w:lang w:val="en-US" w:eastAsia="ru-RU"/>
        </w:rPr>
        <w:t xml:space="preserve"> et al., 2002). Further, the ground waters in the lowland areas have been divided into four geographic subgroups (see Fig. 3, Fig. 6). As pointed out above, aquifers in rocks on high ground have higher permeability than those on low ground. The residence time of</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Sources of Mo and W to the waters</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The sources of Mo and W to all water types in </w:t>
      </w:r>
      <w:proofErr w:type="spellStart"/>
      <w:r w:rsidRPr="00EB7D90">
        <w:rPr>
          <w:rFonts w:ascii="Times New Roman" w:eastAsia="Times New Roman" w:hAnsi="Times New Roman" w:cs="Times New Roman"/>
          <w:sz w:val="24"/>
          <w:szCs w:val="24"/>
          <w:lang w:val="en-US" w:eastAsia="ru-RU"/>
        </w:rPr>
        <w:t>Skagafjördur</w:t>
      </w:r>
      <w:proofErr w:type="spellEnd"/>
      <w:r w:rsidRPr="00EB7D90">
        <w:rPr>
          <w:rFonts w:ascii="Times New Roman" w:eastAsia="Times New Roman" w:hAnsi="Times New Roman" w:cs="Times New Roman"/>
          <w:sz w:val="24"/>
          <w:szCs w:val="24"/>
          <w:lang w:val="en-US" w:eastAsia="ru-RU"/>
        </w:rPr>
        <w:t xml:space="preserve"> are the primary basalt minerals, volcanic glass, and any residual interstitial glass in otherwise crystalline basalt. Residual glass is most likely not an important source and will not be considered further. According to </w:t>
      </w:r>
      <w:proofErr w:type="spellStart"/>
      <w:r w:rsidRPr="00EB7D90">
        <w:rPr>
          <w:rFonts w:ascii="Times New Roman" w:eastAsia="Times New Roman" w:hAnsi="Times New Roman" w:cs="Times New Roman"/>
          <w:sz w:val="24"/>
          <w:szCs w:val="24"/>
          <w:lang w:val="en-US" w:eastAsia="ru-RU"/>
        </w:rPr>
        <w:t>Arnórsson</w:t>
      </w:r>
      <w:proofErr w:type="spellEnd"/>
      <w:r w:rsidRPr="00EB7D90">
        <w:rPr>
          <w:rFonts w:ascii="Times New Roman" w:eastAsia="Times New Roman" w:hAnsi="Times New Roman" w:cs="Times New Roman"/>
          <w:sz w:val="24"/>
          <w:szCs w:val="24"/>
          <w:lang w:val="en-US" w:eastAsia="ru-RU"/>
        </w:rPr>
        <w:t xml:space="preserve"> et al. (2002), all water types in the </w:t>
      </w:r>
      <w:proofErr w:type="spellStart"/>
      <w:r w:rsidRPr="00EB7D90">
        <w:rPr>
          <w:rFonts w:ascii="Times New Roman" w:eastAsia="Times New Roman" w:hAnsi="Times New Roman" w:cs="Times New Roman"/>
          <w:sz w:val="24"/>
          <w:szCs w:val="24"/>
          <w:lang w:val="en-US" w:eastAsia="ru-RU"/>
        </w:rPr>
        <w:t>Skagafjördur</w:t>
      </w:r>
      <w:proofErr w:type="spellEnd"/>
      <w:r w:rsidRPr="00EB7D90">
        <w:rPr>
          <w:rFonts w:ascii="Times New Roman" w:eastAsia="Times New Roman" w:hAnsi="Times New Roman" w:cs="Times New Roman"/>
          <w:sz w:val="24"/>
          <w:szCs w:val="24"/>
          <w:lang w:val="en-US" w:eastAsia="ru-RU"/>
        </w:rPr>
        <w:t xml:space="preserve"> area are plagioclase and olivine under-saturated. Also, surface waters and the relatively young non-thermal ground waters in the interior highlands are</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Processes controlling aqueous Mo and W concentrations</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The concentrations of rock-derived Mo and W in the waters from </w:t>
      </w:r>
      <w:proofErr w:type="spellStart"/>
      <w:r w:rsidRPr="00EB7D90">
        <w:rPr>
          <w:rFonts w:ascii="Times New Roman" w:eastAsia="Times New Roman" w:hAnsi="Times New Roman" w:cs="Times New Roman"/>
          <w:sz w:val="24"/>
          <w:szCs w:val="24"/>
          <w:lang w:val="en-US" w:eastAsia="ru-RU"/>
        </w:rPr>
        <w:t>Skagafjördur</w:t>
      </w:r>
      <w:proofErr w:type="spellEnd"/>
      <w:r w:rsidRPr="00EB7D90">
        <w:rPr>
          <w:rFonts w:ascii="Times New Roman" w:eastAsia="Times New Roman" w:hAnsi="Times New Roman" w:cs="Times New Roman"/>
          <w:sz w:val="24"/>
          <w:szCs w:val="24"/>
          <w:lang w:val="en-US" w:eastAsia="ru-RU"/>
        </w:rPr>
        <w:t xml:space="preserve"> display a positive relationship with that of B (Fig. 7). </w:t>
      </w:r>
      <w:proofErr w:type="spellStart"/>
      <w:r w:rsidRPr="00EB7D90">
        <w:rPr>
          <w:rFonts w:ascii="Times New Roman" w:eastAsia="Times New Roman" w:hAnsi="Times New Roman" w:cs="Times New Roman"/>
          <w:sz w:val="24"/>
          <w:szCs w:val="24"/>
          <w:lang w:val="en-US" w:eastAsia="ru-RU"/>
        </w:rPr>
        <w:t>Arnórsson</w:t>
      </w:r>
      <w:proofErr w:type="spellEnd"/>
      <w:r w:rsidRPr="00EB7D90">
        <w:rPr>
          <w:rFonts w:ascii="Times New Roman" w:eastAsia="Times New Roman" w:hAnsi="Times New Roman" w:cs="Times New Roman"/>
          <w:sz w:val="24"/>
          <w:szCs w:val="24"/>
          <w:lang w:val="en-US" w:eastAsia="ru-RU"/>
        </w:rPr>
        <w:t xml:space="preserve"> and </w:t>
      </w:r>
      <w:proofErr w:type="spellStart"/>
      <w:r w:rsidRPr="00EB7D90">
        <w:rPr>
          <w:rFonts w:ascii="Times New Roman" w:eastAsia="Times New Roman" w:hAnsi="Times New Roman" w:cs="Times New Roman"/>
          <w:sz w:val="24"/>
          <w:szCs w:val="24"/>
          <w:lang w:val="en-US" w:eastAsia="ru-RU"/>
        </w:rPr>
        <w:t>Andrésdóttir</w:t>
      </w:r>
      <w:proofErr w:type="spellEnd"/>
      <w:r w:rsidRPr="00EB7D90">
        <w:rPr>
          <w:rFonts w:ascii="Times New Roman" w:eastAsia="Times New Roman" w:hAnsi="Times New Roman" w:cs="Times New Roman"/>
          <w:sz w:val="24"/>
          <w:szCs w:val="24"/>
          <w:lang w:val="en-US" w:eastAsia="ru-RU"/>
        </w:rPr>
        <w:t xml:space="preserve"> (1995) demonstrated that B is highly mobile in the basalt–water environment in Iceland, with only an insignificant fraction of the B dissolved from the rock incorporated into secondary minerals. The relationships shown in Fig. 7 indicate that Mo and </w:t>
      </w:r>
      <w:proofErr w:type="spellStart"/>
      <w:r w:rsidRPr="00EB7D90">
        <w:rPr>
          <w:rFonts w:ascii="Times New Roman" w:eastAsia="Times New Roman" w:hAnsi="Times New Roman" w:cs="Times New Roman"/>
          <w:sz w:val="24"/>
          <w:szCs w:val="24"/>
          <w:lang w:val="en-US" w:eastAsia="ru-RU"/>
        </w:rPr>
        <w:t>W are</w:t>
      </w:r>
      <w:proofErr w:type="spellEnd"/>
      <w:r w:rsidRPr="00EB7D90">
        <w:rPr>
          <w:rFonts w:ascii="Times New Roman" w:eastAsia="Times New Roman" w:hAnsi="Times New Roman" w:cs="Times New Roman"/>
          <w:sz w:val="24"/>
          <w:szCs w:val="24"/>
          <w:lang w:val="en-US" w:eastAsia="ru-RU"/>
        </w:rPr>
        <w:t>, like B, highly mobile except for W in the peat soil waters, as already discussed.</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Discussion</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Rock dissolution experiments indicate that B is largely present in basalt in a very soluble compound (Ellis and Mahon, 1964, Ellis and Mahon, 1967). Most of the B can be dissolved without observable alteration of the basalt minerals. These results indicate that B is mostly present on the surfaces of basalt mineral grains. The soluble B compounds likely form by sublimation of gaseous B compounds from the magma. Available information on the behavior of Mo and W in </w:t>
      </w:r>
      <w:proofErr w:type="spellStart"/>
      <w:r w:rsidRPr="00EB7D90">
        <w:rPr>
          <w:rFonts w:ascii="Times New Roman" w:eastAsia="Times New Roman" w:hAnsi="Times New Roman" w:cs="Times New Roman"/>
          <w:sz w:val="24"/>
          <w:szCs w:val="24"/>
          <w:lang w:val="en-US" w:eastAsia="ru-RU"/>
        </w:rPr>
        <w:t>magmatogenic</w:t>
      </w:r>
      <w:proofErr w:type="spellEnd"/>
      <w:r w:rsidRPr="00EB7D90">
        <w:rPr>
          <w:rFonts w:ascii="Times New Roman" w:eastAsia="Times New Roman" w:hAnsi="Times New Roman" w:cs="Times New Roman"/>
          <w:sz w:val="24"/>
          <w:szCs w:val="24"/>
          <w:lang w:val="en-US" w:eastAsia="ru-RU"/>
        </w:rPr>
        <w:t xml:space="preserve"> processes suggests</w:t>
      </w:r>
    </w:p>
    <w:p w:rsidR="00EB7D90" w:rsidRPr="00EB7D90" w:rsidRDefault="00EB7D90" w:rsidP="00EB7D9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B7D90">
        <w:rPr>
          <w:rFonts w:ascii="Times New Roman" w:eastAsia="Times New Roman" w:hAnsi="Times New Roman" w:cs="Times New Roman"/>
          <w:b/>
          <w:bCs/>
          <w:sz w:val="36"/>
          <w:szCs w:val="36"/>
          <w:lang w:val="en-US" w:eastAsia="ru-RU"/>
        </w:rPr>
        <w:t>Summary and conclusions</w:t>
      </w:r>
    </w:p>
    <w:p w:rsidR="00EB7D90" w:rsidRPr="00EB7D90" w:rsidRDefault="00EB7D90" w:rsidP="00EB7D90">
      <w:pPr>
        <w:spacing w:after="0" w:line="240" w:lineRule="auto"/>
        <w:rPr>
          <w:rFonts w:ascii="Times New Roman" w:eastAsia="Times New Roman" w:hAnsi="Times New Roman" w:cs="Times New Roman"/>
          <w:sz w:val="24"/>
          <w:szCs w:val="24"/>
          <w:lang w:val="en-US" w:eastAsia="ru-RU"/>
        </w:rPr>
      </w:pPr>
      <w:r w:rsidRPr="00EB7D90">
        <w:rPr>
          <w:rFonts w:ascii="Times New Roman" w:eastAsia="Times New Roman" w:hAnsi="Times New Roman" w:cs="Times New Roman"/>
          <w:sz w:val="24"/>
          <w:szCs w:val="24"/>
          <w:lang w:val="en-US" w:eastAsia="ru-RU"/>
        </w:rPr>
        <w:t xml:space="preserve">The concentrations of Mo and W in basaltic to silicic </w:t>
      </w:r>
      <w:proofErr w:type="spellStart"/>
      <w:r w:rsidRPr="00EB7D90">
        <w:rPr>
          <w:rFonts w:ascii="Times New Roman" w:eastAsia="Times New Roman" w:hAnsi="Times New Roman" w:cs="Times New Roman"/>
          <w:sz w:val="24"/>
          <w:szCs w:val="24"/>
          <w:lang w:val="en-US" w:eastAsia="ru-RU"/>
        </w:rPr>
        <w:t>volcanics</w:t>
      </w:r>
      <w:proofErr w:type="spellEnd"/>
      <w:r w:rsidRPr="00EB7D90">
        <w:rPr>
          <w:rFonts w:ascii="Times New Roman" w:eastAsia="Times New Roman" w:hAnsi="Times New Roman" w:cs="Times New Roman"/>
          <w:sz w:val="24"/>
          <w:szCs w:val="24"/>
          <w:lang w:val="en-US" w:eastAsia="ru-RU"/>
        </w:rPr>
        <w:t xml:space="preserve"> of the tholeiite series in Iceland are positively related to the concentrations of incompatible elements in these rocks, such as K. The Mo and W contents of the basalts strongly depend on how evolved the parent basalt magma is. In normal MORB, Mo and W concentrations are as low as 0.03 and 0.01 ppm, respectively. In the slightly evolved tholeiites (a little quartz normative) of the </w:t>
      </w:r>
      <w:proofErr w:type="spellStart"/>
      <w:r w:rsidRPr="00EB7D90">
        <w:rPr>
          <w:rFonts w:ascii="Times New Roman" w:eastAsia="Times New Roman" w:hAnsi="Times New Roman" w:cs="Times New Roman"/>
          <w:sz w:val="24"/>
          <w:szCs w:val="24"/>
          <w:lang w:val="en-US" w:eastAsia="ru-RU"/>
        </w:rPr>
        <w:t>Skagafjördur</w:t>
      </w:r>
      <w:proofErr w:type="spellEnd"/>
      <w:r w:rsidRPr="00EB7D90">
        <w:rPr>
          <w:rFonts w:ascii="Times New Roman" w:eastAsia="Times New Roman" w:hAnsi="Times New Roman" w:cs="Times New Roman"/>
          <w:sz w:val="24"/>
          <w:szCs w:val="24"/>
          <w:lang w:val="en-US" w:eastAsia="ru-RU"/>
        </w:rPr>
        <w:t xml:space="preserve"> area, average Mo and W concentrations</w:t>
      </w:r>
    </w:p>
    <w:p w:rsidR="00025D81" w:rsidRPr="00EB7D90" w:rsidRDefault="00025D81">
      <w:pPr>
        <w:rPr>
          <w:lang w:val="en-US"/>
        </w:rPr>
      </w:pPr>
    </w:p>
    <w:sectPr w:rsidR="00025D81" w:rsidRPr="00EB7D9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7D90"/>
    <w:rsid w:val="00025D81"/>
    <w:rsid w:val="00EB7D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A7DC09-B63A-46D4-84E5-A0CD282F9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1746971">
      <w:bodyDiv w:val="1"/>
      <w:marLeft w:val="0"/>
      <w:marRight w:val="0"/>
      <w:marTop w:val="0"/>
      <w:marBottom w:val="0"/>
      <w:divBdr>
        <w:top w:val="none" w:sz="0" w:space="0" w:color="auto"/>
        <w:left w:val="none" w:sz="0" w:space="0" w:color="auto"/>
        <w:bottom w:val="none" w:sz="0" w:space="0" w:color="auto"/>
        <w:right w:val="none" w:sz="0" w:space="0" w:color="auto"/>
      </w:divBdr>
      <w:divsChild>
        <w:div w:id="1670861059">
          <w:marLeft w:val="0"/>
          <w:marRight w:val="0"/>
          <w:marTop w:val="0"/>
          <w:marBottom w:val="0"/>
          <w:divBdr>
            <w:top w:val="none" w:sz="0" w:space="0" w:color="auto"/>
            <w:left w:val="none" w:sz="0" w:space="0" w:color="auto"/>
            <w:bottom w:val="none" w:sz="0" w:space="0" w:color="auto"/>
            <w:right w:val="none" w:sz="0" w:space="0" w:color="auto"/>
          </w:divBdr>
          <w:divsChild>
            <w:div w:id="471287495">
              <w:marLeft w:val="0"/>
              <w:marRight w:val="0"/>
              <w:marTop w:val="0"/>
              <w:marBottom w:val="0"/>
              <w:divBdr>
                <w:top w:val="none" w:sz="0" w:space="0" w:color="auto"/>
                <w:left w:val="none" w:sz="0" w:space="0" w:color="auto"/>
                <w:bottom w:val="none" w:sz="0" w:space="0" w:color="auto"/>
                <w:right w:val="none" w:sz="0" w:space="0" w:color="auto"/>
              </w:divBdr>
              <w:divsChild>
                <w:div w:id="295917164">
                  <w:marLeft w:val="0"/>
                  <w:marRight w:val="0"/>
                  <w:marTop w:val="0"/>
                  <w:marBottom w:val="0"/>
                  <w:divBdr>
                    <w:top w:val="none" w:sz="0" w:space="0" w:color="auto"/>
                    <w:left w:val="none" w:sz="0" w:space="0" w:color="auto"/>
                    <w:bottom w:val="none" w:sz="0" w:space="0" w:color="auto"/>
                    <w:right w:val="none" w:sz="0" w:space="0" w:color="auto"/>
                  </w:divBdr>
                  <w:divsChild>
                    <w:div w:id="164261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860179">
          <w:marLeft w:val="0"/>
          <w:marRight w:val="0"/>
          <w:marTop w:val="0"/>
          <w:marBottom w:val="0"/>
          <w:divBdr>
            <w:top w:val="none" w:sz="0" w:space="0" w:color="auto"/>
            <w:left w:val="none" w:sz="0" w:space="0" w:color="auto"/>
            <w:bottom w:val="none" w:sz="0" w:space="0" w:color="auto"/>
            <w:right w:val="none" w:sz="0" w:space="0" w:color="auto"/>
          </w:divBdr>
          <w:divsChild>
            <w:div w:id="836194942">
              <w:marLeft w:val="0"/>
              <w:marRight w:val="0"/>
              <w:marTop w:val="0"/>
              <w:marBottom w:val="0"/>
              <w:divBdr>
                <w:top w:val="none" w:sz="0" w:space="0" w:color="auto"/>
                <w:left w:val="none" w:sz="0" w:space="0" w:color="auto"/>
                <w:bottom w:val="none" w:sz="0" w:space="0" w:color="auto"/>
                <w:right w:val="none" w:sz="0" w:space="0" w:color="auto"/>
              </w:divBdr>
              <w:divsChild>
                <w:div w:id="19662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971548">
          <w:marLeft w:val="0"/>
          <w:marRight w:val="0"/>
          <w:marTop w:val="0"/>
          <w:marBottom w:val="0"/>
          <w:divBdr>
            <w:top w:val="none" w:sz="0" w:space="0" w:color="auto"/>
            <w:left w:val="none" w:sz="0" w:space="0" w:color="auto"/>
            <w:bottom w:val="none" w:sz="0" w:space="0" w:color="auto"/>
            <w:right w:val="none" w:sz="0" w:space="0" w:color="auto"/>
          </w:divBdr>
          <w:divsChild>
            <w:div w:id="2003846076">
              <w:marLeft w:val="0"/>
              <w:marRight w:val="0"/>
              <w:marTop w:val="0"/>
              <w:marBottom w:val="0"/>
              <w:divBdr>
                <w:top w:val="none" w:sz="0" w:space="0" w:color="auto"/>
                <w:left w:val="none" w:sz="0" w:space="0" w:color="auto"/>
                <w:bottom w:val="none" w:sz="0" w:space="0" w:color="auto"/>
                <w:right w:val="none" w:sz="0" w:space="0" w:color="auto"/>
              </w:divBdr>
              <w:divsChild>
                <w:div w:id="678969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26310">
          <w:marLeft w:val="0"/>
          <w:marRight w:val="0"/>
          <w:marTop w:val="0"/>
          <w:marBottom w:val="0"/>
          <w:divBdr>
            <w:top w:val="none" w:sz="0" w:space="0" w:color="auto"/>
            <w:left w:val="none" w:sz="0" w:space="0" w:color="auto"/>
            <w:bottom w:val="none" w:sz="0" w:space="0" w:color="auto"/>
            <w:right w:val="none" w:sz="0" w:space="0" w:color="auto"/>
          </w:divBdr>
          <w:divsChild>
            <w:div w:id="83307563">
              <w:marLeft w:val="0"/>
              <w:marRight w:val="0"/>
              <w:marTop w:val="0"/>
              <w:marBottom w:val="0"/>
              <w:divBdr>
                <w:top w:val="none" w:sz="0" w:space="0" w:color="auto"/>
                <w:left w:val="none" w:sz="0" w:space="0" w:color="auto"/>
                <w:bottom w:val="none" w:sz="0" w:space="0" w:color="auto"/>
                <w:right w:val="none" w:sz="0" w:space="0" w:color="auto"/>
              </w:divBdr>
              <w:divsChild>
                <w:div w:id="2065980099">
                  <w:marLeft w:val="0"/>
                  <w:marRight w:val="0"/>
                  <w:marTop w:val="0"/>
                  <w:marBottom w:val="0"/>
                  <w:divBdr>
                    <w:top w:val="none" w:sz="0" w:space="0" w:color="auto"/>
                    <w:left w:val="none" w:sz="0" w:space="0" w:color="auto"/>
                    <w:bottom w:val="none" w:sz="0" w:space="0" w:color="auto"/>
                    <w:right w:val="none" w:sz="0" w:space="0" w:color="auto"/>
                  </w:divBdr>
                  <w:divsChild>
                    <w:div w:id="1305430628">
                      <w:marLeft w:val="0"/>
                      <w:marRight w:val="0"/>
                      <w:marTop w:val="0"/>
                      <w:marBottom w:val="0"/>
                      <w:divBdr>
                        <w:top w:val="none" w:sz="0" w:space="0" w:color="auto"/>
                        <w:left w:val="none" w:sz="0" w:space="0" w:color="auto"/>
                        <w:bottom w:val="none" w:sz="0" w:space="0" w:color="auto"/>
                        <w:right w:val="none" w:sz="0" w:space="0" w:color="auto"/>
                      </w:divBdr>
                      <w:divsChild>
                        <w:div w:id="36472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5412569">
          <w:marLeft w:val="0"/>
          <w:marRight w:val="0"/>
          <w:marTop w:val="0"/>
          <w:marBottom w:val="0"/>
          <w:divBdr>
            <w:top w:val="none" w:sz="0" w:space="0" w:color="auto"/>
            <w:left w:val="none" w:sz="0" w:space="0" w:color="auto"/>
            <w:bottom w:val="none" w:sz="0" w:space="0" w:color="auto"/>
            <w:right w:val="none" w:sz="0" w:space="0" w:color="auto"/>
          </w:divBdr>
        </w:div>
        <w:div w:id="1204437605">
          <w:marLeft w:val="0"/>
          <w:marRight w:val="0"/>
          <w:marTop w:val="0"/>
          <w:marBottom w:val="0"/>
          <w:divBdr>
            <w:top w:val="none" w:sz="0" w:space="0" w:color="auto"/>
            <w:left w:val="none" w:sz="0" w:space="0" w:color="auto"/>
            <w:bottom w:val="none" w:sz="0" w:space="0" w:color="auto"/>
            <w:right w:val="none" w:sz="0" w:space="0" w:color="auto"/>
          </w:divBdr>
          <w:divsChild>
            <w:div w:id="297150268">
              <w:marLeft w:val="0"/>
              <w:marRight w:val="0"/>
              <w:marTop w:val="0"/>
              <w:marBottom w:val="0"/>
              <w:divBdr>
                <w:top w:val="none" w:sz="0" w:space="0" w:color="auto"/>
                <w:left w:val="none" w:sz="0" w:space="0" w:color="auto"/>
                <w:bottom w:val="none" w:sz="0" w:space="0" w:color="auto"/>
                <w:right w:val="none" w:sz="0" w:space="0" w:color="auto"/>
              </w:divBdr>
              <w:divsChild>
                <w:div w:id="1820345052">
                  <w:marLeft w:val="0"/>
                  <w:marRight w:val="0"/>
                  <w:marTop w:val="0"/>
                  <w:marBottom w:val="0"/>
                  <w:divBdr>
                    <w:top w:val="none" w:sz="0" w:space="0" w:color="auto"/>
                    <w:left w:val="none" w:sz="0" w:space="0" w:color="auto"/>
                    <w:bottom w:val="none" w:sz="0" w:space="0" w:color="auto"/>
                    <w:right w:val="none" w:sz="0" w:space="0" w:color="auto"/>
                  </w:divBdr>
                  <w:divsChild>
                    <w:div w:id="1721979963">
                      <w:marLeft w:val="0"/>
                      <w:marRight w:val="0"/>
                      <w:marTop w:val="0"/>
                      <w:marBottom w:val="0"/>
                      <w:divBdr>
                        <w:top w:val="none" w:sz="0" w:space="0" w:color="auto"/>
                        <w:left w:val="none" w:sz="0" w:space="0" w:color="auto"/>
                        <w:bottom w:val="none" w:sz="0" w:space="0" w:color="auto"/>
                        <w:right w:val="none" w:sz="0" w:space="0" w:color="auto"/>
                      </w:divBdr>
                      <w:divsChild>
                        <w:div w:id="165506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9804418">
          <w:marLeft w:val="0"/>
          <w:marRight w:val="0"/>
          <w:marTop w:val="0"/>
          <w:marBottom w:val="0"/>
          <w:divBdr>
            <w:top w:val="none" w:sz="0" w:space="0" w:color="auto"/>
            <w:left w:val="none" w:sz="0" w:space="0" w:color="auto"/>
            <w:bottom w:val="none" w:sz="0" w:space="0" w:color="auto"/>
            <w:right w:val="none" w:sz="0" w:space="0" w:color="auto"/>
          </w:divBdr>
          <w:divsChild>
            <w:div w:id="702368182">
              <w:marLeft w:val="0"/>
              <w:marRight w:val="0"/>
              <w:marTop w:val="0"/>
              <w:marBottom w:val="0"/>
              <w:divBdr>
                <w:top w:val="none" w:sz="0" w:space="0" w:color="auto"/>
                <w:left w:val="none" w:sz="0" w:space="0" w:color="auto"/>
                <w:bottom w:val="none" w:sz="0" w:space="0" w:color="auto"/>
                <w:right w:val="none" w:sz="0" w:space="0" w:color="auto"/>
              </w:divBdr>
              <w:divsChild>
                <w:div w:id="967704586">
                  <w:marLeft w:val="0"/>
                  <w:marRight w:val="0"/>
                  <w:marTop w:val="0"/>
                  <w:marBottom w:val="0"/>
                  <w:divBdr>
                    <w:top w:val="none" w:sz="0" w:space="0" w:color="auto"/>
                    <w:left w:val="none" w:sz="0" w:space="0" w:color="auto"/>
                    <w:bottom w:val="none" w:sz="0" w:space="0" w:color="auto"/>
                    <w:right w:val="none" w:sz="0" w:space="0" w:color="auto"/>
                  </w:divBdr>
                </w:div>
                <w:div w:id="431243621">
                  <w:marLeft w:val="0"/>
                  <w:marRight w:val="0"/>
                  <w:marTop w:val="0"/>
                  <w:marBottom w:val="0"/>
                  <w:divBdr>
                    <w:top w:val="none" w:sz="0" w:space="0" w:color="auto"/>
                    <w:left w:val="none" w:sz="0" w:space="0" w:color="auto"/>
                    <w:bottom w:val="none" w:sz="0" w:space="0" w:color="auto"/>
                    <w:right w:val="none" w:sz="0" w:space="0" w:color="auto"/>
                  </w:divBdr>
                </w:div>
                <w:div w:id="1689677879">
                  <w:marLeft w:val="0"/>
                  <w:marRight w:val="0"/>
                  <w:marTop w:val="0"/>
                  <w:marBottom w:val="0"/>
                  <w:divBdr>
                    <w:top w:val="none" w:sz="0" w:space="0" w:color="auto"/>
                    <w:left w:val="none" w:sz="0" w:space="0" w:color="auto"/>
                    <w:bottom w:val="none" w:sz="0" w:space="0" w:color="auto"/>
                    <w:right w:val="none" w:sz="0" w:space="0" w:color="auto"/>
                  </w:divBdr>
                </w:div>
                <w:div w:id="431364933">
                  <w:marLeft w:val="0"/>
                  <w:marRight w:val="0"/>
                  <w:marTop w:val="0"/>
                  <w:marBottom w:val="0"/>
                  <w:divBdr>
                    <w:top w:val="none" w:sz="0" w:space="0" w:color="auto"/>
                    <w:left w:val="none" w:sz="0" w:space="0" w:color="auto"/>
                    <w:bottom w:val="none" w:sz="0" w:space="0" w:color="auto"/>
                    <w:right w:val="none" w:sz="0" w:space="0" w:color="auto"/>
                  </w:divBdr>
                </w:div>
                <w:div w:id="975725093">
                  <w:marLeft w:val="0"/>
                  <w:marRight w:val="0"/>
                  <w:marTop w:val="0"/>
                  <w:marBottom w:val="0"/>
                  <w:divBdr>
                    <w:top w:val="none" w:sz="0" w:space="0" w:color="auto"/>
                    <w:left w:val="none" w:sz="0" w:space="0" w:color="auto"/>
                    <w:bottom w:val="none" w:sz="0" w:space="0" w:color="auto"/>
                    <w:right w:val="none" w:sz="0" w:space="0" w:color="auto"/>
                  </w:divBdr>
                </w:div>
                <w:div w:id="1408066636">
                  <w:marLeft w:val="0"/>
                  <w:marRight w:val="0"/>
                  <w:marTop w:val="0"/>
                  <w:marBottom w:val="0"/>
                  <w:divBdr>
                    <w:top w:val="none" w:sz="0" w:space="0" w:color="auto"/>
                    <w:left w:val="none" w:sz="0" w:space="0" w:color="auto"/>
                    <w:bottom w:val="none" w:sz="0" w:space="0" w:color="auto"/>
                    <w:right w:val="none" w:sz="0" w:space="0" w:color="auto"/>
                  </w:divBdr>
                </w:div>
                <w:div w:id="1261140581">
                  <w:marLeft w:val="0"/>
                  <w:marRight w:val="0"/>
                  <w:marTop w:val="0"/>
                  <w:marBottom w:val="0"/>
                  <w:divBdr>
                    <w:top w:val="none" w:sz="0" w:space="0" w:color="auto"/>
                    <w:left w:val="none" w:sz="0" w:space="0" w:color="auto"/>
                    <w:bottom w:val="none" w:sz="0" w:space="0" w:color="auto"/>
                    <w:right w:val="none" w:sz="0" w:space="0" w:color="auto"/>
                  </w:divBdr>
                </w:div>
                <w:div w:id="325062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10210">
          <w:marLeft w:val="0"/>
          <w:marRight w:val="0"/>
          <w:marTop w:val="0"/>
          <w:marBottom w:val="0"/>
          <w:divBdr>
            <w:top w:val="none" w:sz="0" w:space="0" w:color="auto"/>
            <w:left w:val="none" w:sz="0" w:space="0" w:color="auto"/>
            <w:bottom w:val="none" w:sz="0" w:space="0" w:color="auto"/>
            <w:right w:val="none" w:sz="0" w:space="0" w:color="auto"/>
          </w:divBdr>
        </w:div>
        <w:div w:id="816579783">
          <w:marLeft w:val="0"/>
          <w:marRight w:val="0"/>
          <w:marTop w:val="0"/>
          <w:marBottom w:val="0"/>
          <w:divBdr>
            <w:top w:val="none" w:sz="0" w:space="0" w:color="auto"/>
            <w:left w:val="none" w:sz="0" w:space="0" w:color="auto"/>
            <w:bottom w:val="none" w:sz="0" w:space="0" w:color="auto"/>
            <w:right w:val="none" w:sz="0" w:space="0" w:color="auto"/>
          </w:divBdr>
          <w:divsChild>
            <w:div w:id="1357733280">
              <w:marLeft w:val="0"/>
              <w:marRight w:val="0"/>
              <w:marTop w:val="0"/>
              <w:marBottom w:val="0"/>
              <w:divBdr>
                <w:top w:val="none" w:sz="0" w:space="0" w:color="auto"/>
                <w:left w:val="none" w:sz="0" w:space="0" w:color="auto"/>
                <w:bottom w:val="none" w:sz="0" w:space="0" w:color="auto"/>
                <w:right w:val="none" w:sz="0" w:space="0" w:color="auto"/>
              </w:divBdr>
            </w:div>
            <w:div w:id="1652950074">
              <w:marLeft w:val="0"/>
              <w:marRight w:val="0"/>
              <w:marTop w:val="0"/>
              <w:marBottom w:val="0"/>
              <w:divBdr>
                <w:top w:val="none" w:sz="0" w:space="0" w:color="auto"/>
                <w:left w:val="none" w:sz="0" w:space="0" w:color="auto"/>
                <w:bottom w:val="none" w:sz="0" w:space="0" w:color="auto"/>
                <w:right w:val="none" w:sz="0" w:space="0" w:color="auto"/>
              </w:divBdr>
            </w:div>
            <w:div w:id="801121899">
              <w:marLeft w:val="0"/>
              <w:marRight w:val="0"/>
              <w:marTop w:val="0"/>
              <w:marBottom w:val="0"/>
              <w:divBdr>
                <w:top w:val="none" w:sz="0" w:space="0" w:color="auto"/>
                <w:left w:val="none" w:sz="0" w:space="0" w:color="auto"/>
                <w:bottom w:val="none" w:sz="0" w:space="0" w:color="auto"/>
                <w:right w:val="none" w:sz="0" w:space="0" w:color="auto"/>
              </w:divBdr>
            </w:div>
            <w:div w:id="1497451368">
              <w:marLeft w:val="0"/>
              <w:marRight w:val="0"/>
              <w:marTop w:val="0"/>
              <w:marBottom w:val="0"/>
              <w:divBdr>
                <w:top w:val="none" w:sz="0" w:space="0" w:color="auto"/>
                <w:left w:val="none" w:sz="0" w:space="0" w:color="auto"/>
                <w:bottom w:val="none" w:sz="0" w:space="0" w:color="auto"/>
                <w:right w:val="none" w:sz="0" w:space="0" w:color="auto"/>
              </w:divBdr>
            </w:div>
            <w:div w:id="1914923854">
              <w:marLeft w:val="0"/>
              <w:marRight w:val="0"/>
              <w:marTop w:val="0"/>
              <w:marBottom w:val="0"/>
              <w:divBdr>
                <w:top w:val="none" w:sz="0" w:space="0" w:color="auto"/>
                <w:left w:val="none" w:sz="0" w:space="0" w:color="auto"/>
                <w:bottom w:val="none" w:sz="0" w:space="0" w:color="auto"/>
                <w:right w:val="none" w:sz="0" w:space="0" w:color="auto"/>
              </w:divBdr>
            </w:div>
            <w:div w:id="950353444">
              <w:marLeft w:val="0"/>
              <w:marRight w:val="0"/>
              <w:marTop w:val="0"/>
              <w:marBottom w:val="0"/>
              <w:divBdr>
                <w:top w:val="none" w:sz="0" w:space="0" w:color="auto"/>
                <w:left w:val="none" w:sz="0" w:space="0" w:color="auto"/>
                <w:bottom w:val="none" w:sz="0" w:space="0" w:color="auto"/>
                <w:right w:val="none" w:sz="0" w:space="0" w:color="auto"/>
              </w:divBdr>
            </w:div>
            <w:div w:id="398019118">
              <w:marLeft w:val="0"/>
              <w:marRight w:val="0"/>
              <w:marTop w:val="0"/>
              <w:marBottom w:val="0"/>
              <w:divBdr>
                <w:top w:val="none" w:sz="0" w:space="0" w:color="auto"/>
                <w:left w:val="none" w:sz="0" w:space="0" w:color="auto"/>
                <w:bottom w:val="none" w:sz="0" w:space="0" w:color="auto"/>
                <w:right w:val="none" w:sz="0" w:space="0" w:color="auto"/>
              </w:divBdr>
            </w:div>
            <w:div w:id="1732581575">
              <w:marLeft w:val="0"/>
              <w:marRight w:val="0"/>
              <w:marTop w:val="0"/>
              <w:marBottom w:val="0"/>
              <w:divBdr>
                <w:top w:val="none" w:sz="0" w:space="0" w:color="auto"/>
                <w:left w:val="none" w:sz="0" w:space="0" w:color="auto"/>
                <w:bottom w:val="none" w:sz="0" w:space="0" w:color="auto"/>
                <w:right w:val="none" w:sz="0" w:space="0" w:color="auto"/>
              </w:divBdr>
            </w:div>
            <w:div w:id="401487652">
              <w:marLeft w:val="0"/>
              <w:marRight w:val="0"/>
              <w:marTop w:val="0"/>
              <w:marBottom w:val="0"/>
              <w:divBdr>
                <w:top w:val="none" w:sz="0" w:space="0" w:color="auto"/>
                <w:left w:val="none" w:sz="0" w:space="0" w:color="auto"/>
                <w:bottom w:val="none" w:sz="0" w:space="0" w:color="auto"/>
                <w:right w:val="none" w:sz="0" w:space="0" w:color="auto"/>
              </w:divBdr>
            </w:div>
            <w:div w:id="1929076032">
              <w:marLeft w:val="0"/>
              <w:marRight w:val="0"/>
              <w:marTop w:val="0"/>
              <w:marBottom w:val="0"/>
              <w:divBdr>
                <w:top w:val="none" w:sz="0" w:space="0" w:color="auto"/>
                <w:left w:val="none" w:sz="0" w:space="0" w:color="auto"/>
                <w:bottom w:val="none" w:sz="0" w:space="0" w:color="auto"/>
                <w:right w:val="none" w:sz="0" w:space="0" w:color="auto"/>
              </w:divBdr>
            </w:div>
            <w:div w:id="8777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peat-soil"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basal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rhyolite" TargetMode="External"/><Relationship Id="rId11" Type="http://schemas.openxmlformats.org/officeDocument/2006/relationships/fontTable" Target="fontTable.xml"/><Relationship Id="rId5" Type="http://schemas.openxmlformats.org/officeDocument/2006/relationships/hyperlink" Target="https://www.sciencedirect.com/topics/earth-and-planetary-sciences/mid-ocean-ridge-basalt" TargetMode="External"/><Relationship Id="rId10" Type="http://schemas.openxmlformats.org/officeDocument/2006/relationships/hyperlink" Target="https://www.sciencedirect.com/topics/earth-and-planetary-sciences/volcanic-glass" TargetMode="External"/><Relationship Id="rId4" Type="http://schemas.openxmlformats.org/officeDocument/2006/relationships/hyperlink" Target="https://www.sciencedirect.com/topics/earth-and-planetary-sciences/tholeiite" TargetMode="External"/><Relationship Id="rId9" Type="http://schemas.openxmlformats.org/officeDocument/2006/relationships/hyperlink" Target="https://www.sciencedirect.com/topics/earth-and-planetary-sciences/pyroxen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2220</Words>
  <Characters>12655</Characters>
  <Application>Microsoft Office Word</Application>
  <DocSecurity>0</DocSecurity>
  <Lines>105</Lines>
  <Paragraphs>29</Paragraphs>
  <ScaleCrop>false</ScaleCrop>
  <Company/>
  <LinksUpToDate>false</LinksUpToDate>
  <CharactersWithSpaces>14846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2026-02-22T04:53:00Z</dcterms:created>
  <dcterms:modified xsi:type="dcterms:W3CDTF">2026-02-22T04:54:00Z</dcterms:modified>
</cp:coreProperties>
</file>