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C56A4" w:rsidRPr="008C56A4" w:rsidRDefault="008C56A4" w:rsidP="008C56A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8C56A4">
        <w:rPr>
          <w:rFonts w:ascii="Times New Roman" w:eastAsia="Times New Roman" w:hAnsi="Times New Roman" w:cs="Times New Roman"/>
          <w:b/>
          <w:bCs/>
          <w:kern w:val="36"/>
          <w:sz w:val="48"/>
          <w:szCs w:val="48"/>
        </w:rPr>
        <w:t>Ionization constants of aqueous amino acids at temperatures up to 250°C using hydrothermal pH indicators and UV-visible spectroscopy: Glycine, α-alanine, and proline</w:t>
      </w:r>
    </w:p>
    <w:p w:rsidR="008C56A4" w:rsidRPr="008C56A4" w:rsidRDefault="008C56A4" w:rsidP="008C56A4">
      <w:pPr>
        <w:spacing w:after="0"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Author links open overlay panel</w:t>
      </w:r>
    </w:p>
    <w:p w:rsidR="008C56A4" w:rsidRPr="008C56A4" w:rsidRDefault="008C56A4" w:rsidP="008C56A4">
      <w:pPr>
        <w:spacing w:after="0"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 , , , , </w:t>
      </w:r>
    </w:p>
    <w:p w:rsidR="008C56A4" w:rsidRPr="008C56A4" w:rsidRDefault="008C56A4" w:rsidP="008C56A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8C56A4">
          <w:rPr>
            <w:rFonts w:ascii="Times New Roman" w:eastAsia="Times New Roman" w:hAnsi="Times New Roman" w:cs="Times New Roman"/>
            <w:color w:val="0000FF"/>
            <w:sz w:val="24"/>
            <w:szCs w:val="24"/>
            <w:u w:val="single"/>
          </w:rPr>
          <w:t>https://doi.org/10.1016/j.gca.2004.11.028</w:t>
        </w:r>
      </w:hyperlink>
      <w:bookmarkStart w:id="0" w:name="_GoBack"/>
      <w:bookmarkEnd w:id="0"/>
      <w:r w:rsidRPr="008C56A4">
        <w:rPr>
          <w:rFonts w:ascii="Times New Roman" w:eastAsia="Times New Roman" w:hAnsi="Times New Roman" w:cs="Times New Roman"/>
          <w:sz w:val="24"/>
          <w:szCs w:val="24"/>
        </w:rPr>
        <w:t xml:space="preserve"> </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Abstract</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Ionization constants for several simple amino acids have been measured for the first time under hydrothermal conditions, using visible </w:t>
      </w:r>
      <w:hyperlink r:id="rId5" w:tooltip="Learn more about spectroscopy from ScienceDirect's AI-generated Topic Pages" w:history="1">
        <w:r w:rsidRPr="008C56A4">
          <w:rPr>
            <w:rFonts w:ascii="Times New Roman" w:eastAsia="Times New Roman" w:hAnsi="Times New Roman" w:cs="Times New Roman"/>
            <w:color w:val="0000FF"/>
            <w:sz w:val="24"/>
            <w:szCs w:val="24"/>
            <w:u w:val="single"/>
          </w:rPr>
          <w:t>spectroscopy</w:t>
        </w:r>
      </w:hyperlink>
      <w:r w:rsidRPr="008C56A4">
        <w:rPr>
          <w:rFonts w:ascii="Times New Roman" w:eastAsia="Times New Roman" w:hAnsi="Times New Roman" w:cs="Times New Roman"/>
          <w:sz w:val="24"/>
          <w:szCs w:val="24"/>
        </w:rPr>
        <w:t xml:space="preserve"> with a high-temperature, high-pressure flow cell and thermally stable colorimetric pH indicators. This method minimizes amino acid decomposition at high temperatures because the data can be collected rapidly with short equilibration times. The first ionization constant for proline and α-alanine, </w:t>
      </w:r>
      <w:proofErr w:type="spell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r w:rsidRPr="008C56A4">
        <w:rPr>
          <w:rFonts w:ascii="Times New Roman" w:eastAsia="Times New Roman" w:hAnsi="Times New Roman" w:cs="Times New Roman"/>
          <w:sz w:val="24"/>
          <w:szCs w:val="24"/>
        </w:rPr>
        <w:t xml:space="preserve">, and the first and second ionization constants for glycine, </w:t>
      </w:r>
      <w:proofErr w:type="spell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r w:rsidRPr="008C56A4">
        <w:rPr>
          <w:rFonts w:ascii="Times New Roman" w:eastAsia="Times New Roman" w:hAnsi="Times New Roman" w:cs="Times New Roman"/>
          <w:sz w:val="24"/>
          <w:szCs w:val="24"/>
        </w:rPr>
        <w:t xml:space="preserve"> and K</w:t>
      </w:r>
      <w:r w:rsidRPr="008C56A4">
        <w:rPr>
          <w:rFonts w:ascii="Times New Roman" w:eastAsia="Times New Roman" w:hAnsi="Times New Roman" w:cs="Times New Roman"/>
          <w:sz w:val="24"/>
          <w:szCs w:val="24"/>
          <w:vertAlign w:val="subscript"/>
        </w:rPr>
        <w:t>a,NH4+</w:t>
      </w:r>
      <w:r w:rsidRPr="008C56A4">
        <w:rPr>
          <w:rFonts w:ascii="Times New Roman" w:eastAsia="Times New Roman" w:hAnsi="Times New Roman" w:cs="Times New Roman"/>
          <w:sz w:val="24"/>
          <w:szCs w:val="24"/>
        </w:rPr>
        <w:t xml:space="preserve">, have been determined at temperatures as high as 250°C. Values for the standard partial molar heat capacity of ionization, </w:t>
      </w:r>
      <w:proofErr w:type="spellStart"/>
      <w:r w:rsidRPr="008C56A4">
        <w:rPr>
          <w:rFonts w:ascii="Times New Roman" w:eastAsia="Times New Roman" w:hAnsi="Times New Roman" w:cs="Times New Roman"/>
          <w:sz w:val="24"/>
          <w:szCs w:val="24"/>
        </w:rPr>
        <w:t>Δ</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r w:rsidRPr="008C56A4">
        <w:rPr>
          <w:rFonts w:ascii="Times New Roman" w:eastAsia="Times New Roman" w:hAnsi="Times New Roman" w:cs="Times New Roman"/>
          <w:sz w:val="24"/>
          <w:szCs w:val="24"/>
        </w:rPr>
        <w:t xml:space="preserve"> and Δ</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NH4+</w:t>
      </w:r>
      <w:r w:rsidRPr="008C56A4">
        <w:rPr>
          <w:rFonts w:ascii="Times New Roman" w:eastAsia="Times New Roman" w:hAnsi="Times New Roman" w:cs="Times New Roman"/>
          <w:sz w:val="24"/>
          <w:szCs w:val="24"/>
        </w:rPr>
        <w:t>, have been determined from the temperature dependence of ln (</w:t>
      </w:r>
      <w:proofErr w:type="spell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r w:rsidRPr="008C56A4">
        <w:rPr>
          <w:rFonts w:ascii="Times New Roman" w:eastAsia="Times New Roman" w:hAnsi="Times New Roman" w:cs="Times New Roman"/>
          <w:sz w:val="24"/>
          <w:szCs w:val="24"/>
        </w:rPr>
        <w:t>) and ln (K</w:t>
      </w:r>
      <w:r w:rsidRPr="008C56A4">
        <w:rPr>
          <w:rFonts w:ascii="Times New Roman" w:eastAsia="Times New Roman" w:hAnsi="Times New Roman" w:cs="Times New Roman"/>
          <w:sz w:val="24"/>
          <w:szCs w:val="24"/>
          <w:vertAlign w:val="subscript"/>
        </w:rPr>
        <w:t>a,NH4+</w:t>
      </w:r>
      <w:r w:rsidRPr="008C56A4">
        <w:rPr>
          <w:rFonts w:ascii="Times New Roman" w:eastAsia="Times New Roman" w:hAnsi="Times New Roman" w:cs="Times New Roman"/>
          <w:sz w:val="24"/>
          <w:szCs w:val="24"/>
        </w:rPr>
        <w:t>). The methodology has been validated by measuring the ionization constant of acetic acid up to 250°C, with results that agree with literature values obtained by potentiometric measurements to within the combined experimental uncertainty.</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We dedicate this paper to the memory of Dr. Donald Irish (1932–2002) of the University of Waterloo—friend and former supervisor of two of the authors (R.J.B. and P.R.T.).</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Introduction</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 properties of amino acids in hydrothermal solutions are of interest to biochemists and geochemists studying metabolic processes of thermophilic organisms and possible mechanisms for the origin of life at deep ocean vents. Thermophilic bacteria and </w:t>
      </w:r>
      <w:proofErr w:type="spellStart"/>
      <w:r w:rsidRPr="008C56A4">
        <w:rPr>
          <w:rFonts w:ascii="Times New Roman" w:eastAsia="Times New Roman" w:hAnsi="Times New Roman" w:cs="Times New Roman"/>
          <w:sz w:val="24"/>
          <w:szCs w:val="24"/>
        </w:rPr>
        <w:t>archea</w:t>
      </w:r>
      <w:proofErr w:type="spellEnd"/>
      <w:r w:rsidRPr="008C56A4">
        <w:rPr>
          <w:rFonts w:ascii="Times New Roman" w:eastAsia="Times New Roman" w:hAnsi="Times New Roman" w:cs="Times New Roman"/>
          <w:sz w:val="24"/>
          <w:szCs w:val="24"/>
        </w:rPr>
        <w:t xml:space="preserve"> have been found to exist at temperatures up to 121°C. Much more extreme conditions are encountered at deep ocean hydrothermal vents, where reduced aqueous solutions from deep under the sea floor are ejected into cold, oxidizing ocean water at temperatures and pressures that may reach near-critical and even super-critical conditions. The resulting solutions are rich in organic molecules, including amino acids, and it has been postulated that similar hydrothermal vents on primitive Earth may have been sites for the origin of life (</w:t>
      </w:r>
      <w:proofErr w:type="spellStart"/>
      <w:r w:rsidRPr="008C56A4">
        <w:rPr>
          <w:rFonts w:ascii="Times New Roman" w:eastAsia="Times New Roman" w:hAnsi="Times New Roman" w:cs="Times New Roman"/>
          <w:sz w:val="24"/>
          <w:szCs w:val="24"/>
        </w:rPr>
        <w:t>Baross</w:t>
      </w:r>
      <w:proofErr w:type="spellEnd"/>
      <w:r w:rsidRPr="008C56A4">
        <w:rPr>
          <w:rFonts w:ascii="Times New Roman" w:eastAsia="Times New Roman" w:hAnsi="Times New Roman" w:cs="Times New Roman"/>
          <w:sz w:val="24"/>
          <w:szCs w:val="24"/>
        </w:rPr>
        <w:t xml:space="preserve"> and Deming 1983, Trent et al 1984, </w:t>
      </w:r>
      <w:proofErr w:type="spellStart"/>
      <w:r w:rsidRPr="008C56A4">
        <w:rPr>
          <w:rFonts w:ascii="Times New Roman" w:eastAsia="Times New Roman" w:hAnsi="Times New Roman" w:cs="Times New Roman"/>
          <w:sz w:val="24"/>
          <w:szCs w:val="24"/>
        </w:rPr>
        <w:t>Yanagawa</w:t>
      </w:r>
      <w:proofErr w:type="spellEnd"/>
      <w:r w:rsidRPr="008C56A4">
        <w:rPr>
          <w:rFonts w:ascii="Times New Roman" w:eastAsia="Times New Roman" w:hAnsi="Times New Roman" w:cs="Times New Roman"/>
          <w:sz w:val="24"/>
          <w:szCs w:val="24"/>
        </w:rPr>
        <w:t xml:space="preserve"> and Kojima 1985, Miller and Bada 1988, Shock 1990, Shock 1992, Bada et al 1995, Crabtree 1997). This hypothesis is not without controversy, and it is an active topic of study through both field and laboratory investigations.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To investigate mechanisms for the abiogenic synthesis of polypeptide molecules, reliable experimental thermodynamic data must be obtained, under hydrothermal conditions, for the </w:t>
      </w:r>
      <w:r w:rsidRPr="008C56A4">
        <w:rPr>
          <w:rFonts w:ascii="Times New Roman" w:eastAsia="Times New Roman" w:hAnsi="Times New Roman" w:cs="Times New Roman"/>
          <w:sz w:val="24"/>
          <w:szCs w:val="24"/>
        </w:rPr>
        <w:lastRenderedPageBreak/>
        <w:t>speciation of amino acids, the formation of peptide bonds, and the complexation of amino acids with metal ions, both in the aqueous phase and at mineral interfaces.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The challenges in measuring thermodynamic constants for the amino acids under these conditions are formidable, and only a few quantitative studies at elevated temperatures have been reported. Heat-of-mixing flow calorimetry has been used to determine ionization constants and enthalpies of reaction for the protonation of the amino and carboxylate groups of several amino acids at temperatures of up to 125°C (</w:t>
      </w:r>
      <w:proofErr w:type="spellStart"/>
      <w:r w:rsidRPr="008C56A4">
        <w:rPr>
          <w:rFonts w:ascii="Times New Roman" w:eastAsia="Times New Roman" w:hAnsi="Times New Roman" w:cs="Times New Roman"/>
          <w:sz w:val="24"/>
          <w:szCs w:val="24"/>
        </w:rPr>
        <w:t>Izatt</w:t>
      </w:r>
      <w:proofErr w:type="spellEnd"/>
      <w:r w:rsidRPr="008C56A4">
        <w:rPr>
          <w:rFonts w:ascii="Times New Roman" w:eastAsia="Times New Roman" w:hAnsi="Times New Roman" w:cs="Times New Roman"/>
          <w:sz w:val="24"/>
          <w:szCs w:val="24"/>
        </w:rPr>
        <w:t xml:space="preserve"> et al 1992, Gillespie et al 1995, Wang et al 1996). Vibrating-tube densimeters and a Picker-type flow microcalorimeter have recently been used to determine experimental values for the standard partial molar volumes and heat capacities of glycine, α-alanine, β-alanine, proline, and the dipeptide glycyl-</w:t>
      </w:r>
      <w:proofErr w:type="spellStart"/>
      <w:r w:rsidRPr="008C56A4">
        <w:rPr>
          <w:rFonts w:ascii="Times New Roman" w:eastAsia="Times New Roman" w:hAnsi="Times New Roman" w:cs="Times New Roman"/>
          <w:sz w:val="24"/>
          <w:szCs w:val="24"/>
        </w:rPr>
        <w:t>gylcine</w:t>
      </w:r>
      <w:proofErr w:type="spellEnd"/>
      <w:r w:rsidRPr="008C56A4">
        <w:rPr>
          <w:rFonts w:ascii="Times New Roman" w:eastAsia="Times New Roman" w:hAnsi="Times New Roman" w:cs="Times New Roman"/>
          <w:sz w:val="24"/>
          <w:szCs w:val="24"/>
        </w:rPr>
        <w:t>, at temperatures as high as 275°C (</w:t>
      </w:r>
      <w:proofErr w:type="spellStart"/>
      <w:r w:rsidRPr="008C56A4">
        <w:rPr>
          <w:rFonts w:ascii="Times New Roman" w:eastAsia="Times New Roman" w:hAnsi="Times New Roman" w:cs="Times New Roman"/>
          <w:sz w:val="24"/>
          <w:szCs w:val="24"/>
        </w:rPr>
        <w:t>Hakin</w:t>
      </w:r>
      <w:proofErr w:type="spellEnd"/>
      <w:r w:rsidRPr="008C56A4">
        <w:rPr>
          <w:rFonts w:ascii="Times New Roman" w:eastAsia="Times New Roman" w:hAnsi="Times New Roman" w:cs="Times New Roman"/>
          <w:sz w:val="24"/>
          <w:szCs w:val="24"/>
        </w:rPr>
        <w:t xml:space="preserve"> et al 1995, </w:t>
      </w:r>
      <w:proofErr w:type="spellStart"/>
      <w:r w:rsidRPr="008C56A4">
        <w:rPr>
          <w:rFonts w:ascii="Times New Roman" w:eastAsia="Times New Roman" w:hAnsi="Times New Roman" w:cs="Times New Roman"/>
          <w:sz w:val="24"/>
          <w:szCs w:val="24"/>
        </w:rPr>
        <w:t>Hakin</w:t>
      </w:r>
      <w:proofErr w:type="spellEnd"/>
      <w:r w:rsidRPr="008C56A4">
        <w:rPr>
          <w:rFonts w:ascii="Times New Roman" w:eastAsia="Times New Roman" w:hAnsi="Times New Roman" w:cs="Times New Roman"/>
          <w:sz w:val="24"/>
          <w:szCs w:val="24"/>
        </w:rPr>
        <w:t xml:space="preserve"> et al 1998, Clarke and Tremaine 1999, Clarke et al 2000). We are aware of no other experimental studies on the thermodynamic properties of aqueous amino acids or peptides above 100°C.</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Amino acids exist in aqueous solutions at room temperature as zwitterions, HA</w:t>
      </w:r>
      <w:r w:rsidRPr="008C56A4">
        <w:rPr>
          <w:rFonts w:ascii="Times New Roman" w:eastAsia="Times New Roman" w:hAnsi="Times New Roman" w:cs="Times New Roman"/>
          <w:sz w:val="24"/>
          <w:szCs w:val="24"/>
          <w:vertAlign w:val="superscript"/>
        </w:rPr>
        <w:t>±</w:t>
      </w:r>
      <w:r w:rsidRPr="008C56A4">
        <w:rPr>
          <w:rFonts w:ascii="Times New Roman" w:eastAsia="Times New Roman" w:hAnsi="Times New Roman" w:cs="Times New Roman"/>
          <w:sz w:val="24"/>
          <w:szCs w:val="24"/>
        </w:rPr>
        <w:t>(</w:t>
      </w:r>
      <w:proofErr w:type="spellStart"/>
      <w:r w:rsidRPr="008C56A4">
        <w:rPr>
          <w:rFonts w:ascii="Times New Roman" w:eastAsia="Times New Roman" w:hAnsi="Times New Roman" w:cs="Times New Roman"/>
          <w:sz w:val="24"/>
          <w:szCs w:val="24"/>
        </w:rPr>
        <w:t>aq</w:t>
      </w:r>
      <w:proofErr w:type="spellEnd"/>
      <w:r w:rsidRPr="008C56A4">
        <w:rPr>
          <w:rFonts w:ascii="Times New Roman" w:eastAsia="Times New Roman" w:hAnsi="Times New Roman" w:cs="Times New Roman"/>
          <w:sz w:val="24"/>
          <w:szCs w:val="24"/>
        </w:rPr>
        <w:t xml:space="preserve">). The carboxylate and ammonium ionic groups can ionize to yield protonated and deprotonated forms of the amino acid, according to the following equilibria: </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 equilibrium concentration of the </w:t>
      </w:r>
      <w:proofErr w:type="spellStart"/>
      <w:r w:rsidRPr="008C56A4">
        <w:rPr>
          <w:rFonts w:ascii="Times New Roman" w:eastAsia="Times New Roman" w:hAnsi="Times New Roman" w:cs="Times New Roman"/>
          <w:sz w:val="24"/>
          <w:szCs w:val="24"/>
        </w:rPr>
        <w:t>nonzwitterionic</w:t>
      </w:r>
      <w:proofErr w:type="spellEnd"/>
      <w:r w:rsidRPr="008C56A4">
        <w:rPr>
          <w:rFonts w:ascii="Times New Roman" w:eastAsia="Times New Roman" w:hAnsi="Times New Roman" w:cs="Times New Roman"/>
          <w:sz w:val="24"/>
          <w:szCs w:val="24"/>
        </w:rPr>
        <w:t xml:space="preserve"> form </w:t>
      </w:r>
      <w:proofErr w:type="spellStart"/>
      <w:r w:rsidRPr="008C56A4">
        <w:rPr>
          <w:rFonts w:ascii="Times New Roman" w:eastAsia="Times New Roman" w:hAnsi="Times New Roman" w:cs="Times New Roman"/>
          <w:sz w:val="24"/>
          <w:szCs w:val="24"/>
        </w:rPr>
        <w:t>HA</w:t>
      </w:r>
      <w:r w:rsidRPr="008C56A4">
        <w:rPr>
          <w:rFonts w:ascii="Times New Roman" w:eastAsia="Times New Roman" w:hAnsi="Times New Roman" w:cs="Times New Roman"/>
          <w:sz w:val="24"/>
          <w:szCs w:val="24"/>
          <w:vertAlign w:val="superscript"/>
        </w:rPr>
        <w:t>o</w:t>
      </w:r>
      <w:proofErr w:type="spellEnd"/>
      <w:r w:rsidRPr="008C56A4">
        <w:rPr>
          <w:rFonts w:ascii="Times New Roman" w:eastAsia="Times New Roman" w:hAnsi="Times New Roman" w:cs="Times New Roman"/>
          <w:sz w:val="24"/>
          <w:szCs w:val="24"/>
        </w:rPr>
        <w:t>(</w:t>
      </w:r>
      <w:proofErr w:type="spellStart"/>
      <w:r w:rsidRPr="008C56A4">
        <w:rPr>
          <w:rFonts w:ascii="Times New Roman" w:eastAsia="Times New Roman" w:hAnsi="Times New Roman" w:cs="Times New Roman"/>
          <w:sz w:val="24"/>
          <w:szCs w:val="24"/>
        </w:rPr>
        <w:t>aq</w:t>
      </w:r>
      <w:proofErr w:type="spellEnd"/>
      <w:r w:rsidRPr="008C56A4">
        <w:rPr>
          <w:rFonts w:ascii="Times New Roman" w:eastAsia="Times New Roman" w:hAnsi="Times New Roman" w:cs="Times New Roman"/>
          <w:sz w:val="24"/>
          <w:szCs w:val="24"/>
        </w:rPr>
        <w:t>) is negligible at room temperature (Cohn and Edsall, 1943).</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 most widely reported methods for determining acid-base dissociation constants under hydrothermal conditions are potentiometric </w:t>
      </w:r>
      <w:proofErr w:type="spellStart"/>
      <w:r w:rsidRPr="008C56A4">
        <w:rPr>
          <w:rFonts w:ascii="Times New Roman" w:eastAsia="Times New Roman" w:hAnsi="Times New Roman" w:cs="Times New Roman"/>
          <w:sz w:val="24"/>
          <w:szCs w:val="24"/>
        </w:rPr>
        <w:t>titrimetry</w:t>
      </w:r>
      <w:proofErr w:type="spellEnd"/>
      <w:r w:rsidRPr="008C56A4">
        <w:rPr>
          <w:rFonts w:ascii="Times New Roman" w:eastAsia="Times New Roman" w:hAnsi="Times New Roman" w:cs="Times New Roman"/>
          <w:sz w:val="24"/>
          <w:szCs w:val="24"/>
        </w:rPr>
        <w:t xml:space="preserve"> and conductivity (Mesmer et al 1970, Mesmer et al 1997, Ho et al 2000). Conductivity measurements of amino acid ionization constants are impractical because, according to reactions 1 and 2, an excess of acid or base is required to drive the ionization. The use of pH titrations in the usual stirred hydrogen concentration cells (Mesmer et al., 1970) to study amino acids is limited to relatively low temperatures because amino acids have limited stability under hydrothermal conditions (</w:t>
      </w:r>
      <w:proofErr w:type="spellStart"/>
      <w:r w:rsidRPr="008C56A4">
        <w:rPr>
          <w:rFonts w:ascii="Times New Roman" w:eastAsia="Times New Roman" w:hAnsi="Times New Roman" w:cs="Times New Roman"/>
          <w:sz w:val="24"/>
          <w:szCs w:val="24"/>
        </w:rPr>
        <w:t>Povoledo</w:t>
      </w:r>
      <w:proofErr w:type="spellEnd"/>
      <w:r w:rsidRPr="008C56A4">
        <w:rPr>
          <w:rFonts w:ascii="Times New Roman" w:eastAsia="Times New Roman" w:hAnsi="Times New Roman" w:cs="Times New Roman"/>
          <w:sz w:val="24"/>
          <w:szCs w:val="24"/>
        </w:rPr>
        <w:t xml:space="preserve"> and </w:t>
      </w:r>
      <w:proofErr w:type="spellStart"/>
      <w:r w:rsidRPr="008C56A4">
        <w:rPr>
          <w:rFonts w:ascii="Times New Roman" w:eastAsia="Times New Roman" w:hAnsi="Times New Roman" w:cs="Times New Roman"/>
          <w:sz w:val="24"/>
          <w:szCs w:val="24"/>
        </w:rPr>
        <w:t>Vallentyne</w:t>
      </w:r>
      <w:proofErr w:type="spellEnd"/>
      <w:r w:rsidRPr="008C56A4">
        <w:rPr>
          <w:rFonts w:ascii="Times New Roman" w:eastAsia="Times New Roman" w:hAnsi="Times New Roman" w:cs="Times New Roman"/>
          <w:sz w:val="24"/>
          <w:szCs w:val="24"/>
        </w:rPr>
        <w:t xml:space="preserve"> 1964, </w:t>
      </w:r>
      <w:proofErr w:type="spellStart"/>
      <w:r w:rsidRPr="008C56A4">
        <w:rPr>
          <w:rFonts w:ascii="Times New Roman" w:eastAsia="Times New Roman" w:hAnsi="Times New Roman" w:cs="Times New Roman"/>
          <w:sz w:val="24"/>
          <w:szCs w:val="24"/>
        </w:rPr>
        <w:t>Vallentyne</w:t>
      </w:r>
      <w:proofErr w:type="spellEnd"/>
      <w:r w:rsidRPr="008C56A4">
        <w:rPr>
          <w:rFonts w:ascii="Times New Roman" w:eastAsia="Times New Roman" w:hAnsi="Times New Roman" w:cs="Times New Roman"/>
          <w:sz w:val="24"/>
          <w:szCs w:val="24"/>
        </w:rPr>
        <w:t xml:space="preserve"> 1964, </w:t>
      </w:r>
      <w:proofErr w:type="spellStart"/>
      <w:r w:rsidRPr="008C56A4">
        <w:rPr>
          <w:rFonts w:ascii="Times New Roman" w:eastAsia="Times New Roman" w:hAnsi="Times New Roman" w:cs="Times New Roman"/>
          <w:sz w:val="24"/>
          <w:szCs w:val="24"/>
        </w:rPr>
        <w:t>Vallentyne</w:t>
      </w:r>
      <w:proofErr w:type="spellEnd"/>
      <w:r w:rsidRPr="008C56A4">
        <w:rPr>
          <w:rFonts w:ascii="Times New Roman" w:eastAsia="Times New Roman" w:hAnsi="Times New Roman" w:cs="Times New Roman"/>
          <w:sz w:val="24"/>
          <w:szCs w:val="24"/>
        </w:rPr>
        <w:t xml:space="preserve"> 1968, Bada and Miller 1970). The length of time required to achieve thermal equilibrium and to conduct the titration causes the amino acids to decompose. Although flow cells exist for potentiometric </w:t>
      </w:r>
      <w:proofErr w:type="spellStart"/>
      <w:r w:rsidRPr="008C56A4">
        <w:rPr>
          <w:rFonts w:ascii="Times New Roman" w:eastAsia="Times New Roman" w:hAnsi="Times New Roman" w:cs="Times New Roman"/>
          <w:sz w:val="24"/>
          <w:szCs w:val="24"/>
        </w:rPr>
        <w:t>titrimetry</w:t>
      </w:r>
      <w:proofErr w:type="spellEnd"/>
      <w:r w:rsidRPr="008C56A4">
        <w:rPr>
          <w:rFonts w:ascii="Times New Roman" w:eastAsia="Times New Roman" w:hAnsi="Times New Roman" w:cs="Times New Roman"/>
          <w:sz w:val="24"/>
          <w:szCs w:val="24"/>
        </w:rPr>
        <w:t xml:space="preserve"> (</w:t>
      </w:r>
      <w:proofErr w:type="spellStart"/>
      <w:r w:rsidRPr="008C56A4">
        <w:rPr>
          <w:rFonts w:ascii="Times New Roman" w:eastAsia="Times New Roman" w:hAnsi="Times New Roman" w:cs="Times New Roman"/>
          <w:sz w:val="24"/>
          <w:szCs w:val="24"/>
        </w:rPr>
        <w:t>Sweeton</w:t>
      </w:r>
      <w:proofErr w:type="spellEnd"/>
      <w:r w:rsidRPr="008C56A4">
        <w:rPr>
          <w:rFonts w:ascii="Times New Roman" w:eastAsia="Times New Roman" w:hAnsi="Times New Roman" w:cs="Times New Roman"/>
          <w:sz w:val="24"/>
          <w:szCs w:val="24"/>
        </w:rPr>
        <w:t xml:space="preserve"> et al 1973, Lvov et al 1999), they are complex to operate and have been used in only a few studies (e.g., Patterson et al., 1982).</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Recent work at the University of Texas (Austin) has identified five thermally stable colorimetric pH indicators, which have been used with success in UV-visible spectrophotometric flow cells to determine ionization constants of simple acids and bases at temperatures as high as 400°C (Ryan et al 1997, Xiang and Johnston 1994, Xiang and Johnston 1997, </w:t>
      </w:r>
      <w:proofErr w:type="spellStart"/>
      <w:r w:rsidRPr="008C56A4">
        <w:rPr>
          <w:rFonts w:ascii="Times New Roman" w:eastAsia="Times New Roman" w:hAnsi="Times New Roman" w:cs="Times New Roman"/>
          <w:sz w:val="24"/>
          <w:szCs w:val="24"/>
        </w:rPr>
        <w:t>Chlistunoff</w:t>
      </w:r>
      <w:proofErr w:type="spellEnd"/>
      <w:r w:rsidRPr="008C56A4">
        <w:rPr>
          <w:rFonts w:ascii="Times New Roman" w:eastAsia="Times New Roman" w:hAnsi="Times New Roman" w:cs="Times New Roman"/>
          <w:sz w:val="24"/>
          <w:szCs w:val="24"/>
        </w:rPr>
        <w:t xml:space="preserve"> et al 1999). To apply this method to the amino acids, we have employed a high-temperature, high-pressure spectrophotometric flow system described in a previous paper by </w:t>
      </w:r>
      <w:proofErr w:type="spellStart"/>
      <w:r w:rsidRPr="008C56A4">
        <w:rPr>
          <w:rFonts w:ascii="Times New Roman" w:eastAsia="Times New Roman" w:hAnsi="Times New Roman" w:cs="Times New Roman"/>
          <w:sz w:val="24"/>
          <w:szCs w:val="24"/>
        </w:rPr>
        <w:t>Trevani</w:t>
      </w:r>
      <w:proofErr w:type="spellEnd"/>
      <w:r w:rsidRPr="008C56A4">
        <w:rPr>
          <w:rFonts w:ascii="Times New Roman" w:eastAsia="Times New Roman" w:hAnsi="Times New Roman" w:cs="Times New Roman"/>
          <w:sz w:val="24"/>
          <w:szCs w:val="24"/>
        </w:rPr>
        <w:t xml:space="preserve"> et al. (2001). The procedure, which is similar in concept to that developed by </w:t>
      </w:r>
      <w:proofErr w:type="spellStart"/>
      <w:r w:rsidRPr="008C56A4">
        <w:rPr>
          <w:rFonts w:ascii="Times New Roman" w:eastAsia="Times New Roman" w:hAnsi="Times New Roman" w:cs="Times New Roman"/>
          <w:sz w:val="24"/>
          <w:szCs w:val="24"/>
        </w:rPr>
        <w:t>Chlistunoff</w:t>
      </w:r>
      <w:proofErr w:type="spellEnd"/>
      <w:r w:rsidRPr="008C56A4">
        <w:rPr>
          <w:rFonts w:ascii="Times New Roman" w:eastAsia="Times New Roman" w:hAnsi="Times New Roman" w:cs="Times New Roman"/>
          <w:sz w:val="24"/>
          <w:szCs w:val="24"/>
        </w:rPr>
        <w:t xml:space="preserve"> et al. (1999), involves preparing buffer solutions of the amino acid, with its sodium and </w:t>
      </w:r>
      <w:proofErr w:type="spellStart"/>
      <w:r w:rsidRPr="008C56A4">
        <w:rPr>
          <w:rFonts w:ascii="Times New Roman" w:eastAsia="Times New Roman" w:hAnsi="Times New Roman" w:cs="Times New Roman"/>
          <w:sz w:val="24"/>
          <w:szCs w:val="24"/>
        </w:rPr>
        <w:t>trifluoromethanesulfonate</w:t>
      </w:r>
      <w:proofErr w:type="spellEnd"/>
      <w:r w:rsidRPr="008C56A4">
        <w:rPr>
          <w:rFonts w:ascii="Times New Roman" w:eastAsia="Times New Roman" w:hAnsi="Times New Roman" w:cs="Times New Roman"/>
          <w:sz w:val="24"/>
          <w:szCs w:val="24"/>
        </w:rPr>
        <w:t xml:space="preserve"> (“triflate”) salts, which are pumped through the cell at elevated temperatures. The pH is determined from the spectrum of a trace concentration of the appropriate colorimetric pH indicator which has been added to the buffer solution. The great advantages of this method are its relative ease and its speed. It minimizes the time the amino acid is exposed to elevated temperatures, and thereby extends the temperature range that can be studied without significant decomposition.</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lastRenderedPageBreak/>
        <w:t>Our objective in this work is to apply the hydrothermal pH indicator method to the study of amino acids and peptides in high-temperature water. This paper reports values for the first and second dissociation constants of glycine, and the first dissociation constant of proline and α-alanine at temperatures up to 250°C. Values for the ionization constant of acetic acid were also determined over this range, as a means of testing the validity of these procedures.</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Section snippets</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Materials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α-Alanine was obtained from BDH Ltd. (“Assay 98.5 to 100.5%”) and from Aldrich (“Assay 99%”). Before use, the α-alanine was recrystallized according to the method of Perrin and </w:t>
      </w:r>
      <w:proofErr w:type="spellStart"/>
      <w:r w:rsidRPr="008C56A4">
        <w:rPr>
          <w:rFonts w:ascii="Times New Roman" w:eastAsia="Times New Roman" w:hAnsi="Times New Roman" w:cs="Times New Roman"/>
          <w:sz w:val="24"/>
          <w:szCs w:val="24"/>
        </w:rPr>
        <w:t>Armarego</w:t>
      </w:r>
      <w:proofErr w:type="spellEnd"/>
      <w:r w:rsidRPr="008C56A4">
        <w:rPr>
          <w:rFonts w:ascii="Times New Roman" w:eastAsia="Times New Roman" w:hAnsi="Times New Roman" w:cs="Times New Roman"/>
          <w:sz w:val="24"/>
          <w:szCs w:val="24"/>
        </w:rPr>
        <w:t xml:space="preserve"> (1988). L-proline (“Assay 99+%”) and glycine (“Assay 99+%”) were obtained from Aldrich and used without further purification to prepare stock solutions by mass. Stock solutions of NaOH were prepared from 50% (w/w) (certified) solution of sodium hydroxide obtained from Fisher Scientific. These solutions of NaOH</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Spectroscopic analysis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In the analysis that follows, we have used the following equilibria to represent the dissociation of protonated and zwitterionic forms of the amino acids: </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Here, </w:t>
      </w:r>
      <w:proofErr w:type="spellStart"/>
      <w:r w:rsidRPr="008C56A4">
        <w:rPr>
          <w:rFonts w:ascii="Times New Roman" w:eastAsia="Times New Roman" w:hAnsi="Times New Roman" w:cs="Times New Roman"/>
          <w:i/>
          <w:iCs/>
          <w:sz w:val="24"/>
          <w:szCs w:val="24"/>
        </w:rPr>
        <w:t>m</w:t>
      </w:r>
      <w:r w:rsidRPr="008C56A4">
        <w:rPr>
          <w:rFonts w:ascii="Times New Roman" w:eastAsia="Times New Roman" w:hAnsi="Times New Roman" w:cs="Times New Roman"/>
          <w:i/>
          <w:iCs/>
          <w:sz w:val="24"/>
          <w:szCs w:val="24"/>
          <w:vertAlign w:val="subscript"/>
        </w:rPr>
        <w:t>H</w:t>
      </w:r>
      <w:proofErr w:type="spellEnd"/>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w:t>
      </w:r>
      <w:proofErr w:type="spellStart"/>
      <w:r w:rsidRPr="008C56A4">
        <w:rPr>
          <w:rFonts w:ascii="Times New Roman" w:eastAsia="Times New Roman" w:hAnsi="Times New Roman" w:cs="Times New Roman"/>
          <w:i/>
          <w:iCs/>
          <w:sz w:val="24"/>
          <w:szCs w:val="24"/>
        </w:rPr>
        <w:t>m</w:t>
      </w:r>
      <w:r w:rsidRPr="008C56A4">
        <w:rPr>
          <w:rFonts w:ascii="Times New Roman" w:eastAsia="Times New Roman" w:hAnsi="Times New Roman" w:cs="Times New Roman"/>
          <w:i/>
          <w:iCs/>
          <w:sz w:val="24"/>
          <w:szCs w:val="24"/>
          <w:vertAlign w:val="subscript"/>
        </w:rPr>
        <w:t>HA</w:t>
      </w:r>
      <w:proofErr w:type="spellEnd"/>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w:t>
      </w:r>
      <w:r w:rsidRPr="008C56A4">
        <w:rPr>
          <w:rFonts w:ascii="Times New Roman" w:eastAsia="Times New Roman" w:hAnsi="Times New Roman" w:cs="Times New Roman"/>
          <w:i/>
          <w:iCs/>
          <w:sz w:val="24"/>
          <w:szCs w:val="24"/>
        </w:rPr>
        <w:t>m</w:t>
      </w:r>
      <w:r w:rsidRPr="008C56A4">
        <w:rPr>
          <w:rFonts w:ascii="Times New Roman" w:eastAsia="Times New Roman" w:hAnsi="Times New Roman" w:cs="Times New Roman"/>
          <w:i/>
          <w:iCs/>
          <w:sz w:val="24"/>
          <w:szCs w:val="24"/>
          <w:vertAlign w:val="subscript"/>
        </w:rPr>
        <w:t>H2A</w:t>
      </w:r>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and </w:t>
      </w:r>
      <w:r w:rsidRPr="008C56A4">
        <w:rPr>
          <w:rFonts w:ascii="Times New Roman" w:eastAsia="Times New Roman" w:hAnsi="Times New Roman" w:cs="Times New Roman"/>
          <w:i/>
          <w:iCs/>
          <w:sz w:val="24"/>
          <w:szCs w:val="24"/>
        </w:rPr>
        <w:t>m</w:t>
      </w:r>
      <w:r w:rsidRPr="008C56A4">
        <w:rPr>
          <w:rFonts w:ascii="Times New Roman" w:eastAsia="Times New Roman" w:hAnsi="Times New Roman" w:cs="Times New Roman"/>
          <w:i/>
          <w:iCs/>
          <w:sz w:val="24"/>
          <w:szCs w:val="24"/>
          <w:vertAlign w:val="subscript"/>
        </w:rPr>
        <w:t>A</w:t>
      </w:r>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are the </w:t>
      </w:r>
      <w:proofErr w:type="spellStart"/>
      <w:r w:rsidRPr="008C56A4">
        <w:rPr>
          <w:rFonts w:ascii="Times New Roman" w:eastAsia="Times New Roman" w:hAnsi="Times New Roman" w:cs="Times New Roman"/>
          <w:sz w:val="24"/>
          <w:szCs w:val="24"/>
        </w:rPr>
        <w:t>molalities</w:t>
      </w:r>
      <w:proofErr w:type="spellEnd"/>
      <w:r w:rsidRPr="008C56A4">
        <w:rPr>
          <w:rFonts w:ascii="Times New Roman" w:eastAsia="Times New Roman" w:hAnsi="Times New Roman" w:cs="Times New Roman"/>
          <w:sz w:val="24"/>
          <w:szCs w:val="24"/>
        </w:rPr>
        <w:t xml:space="preserve"> of the hydrogen ion and the amino acid in its zwitterionic, protonated and anionic forms, respectively. </w:t>
      </w:r>
      <w:proofErr w:type="spellStart"/>
      <w:proofErr w:type="gramStart"/>
      <w:r w:rsidRPr="008C56A4">
        <w:rPr>
          <w:rFonts w:ascii="Times New Roman" w:eastAsia="Times New Roman" w:hAnsi="Times New Roman" w:cs="Times New Roman"/>
          <w:i/>
          <w:iCs/>
          <w:sz w:val="24"/>
          <w:szCs w:val="24"/>
        </w:rPr>
        <w:t>K</w:t>
      </w:r>
      <w:r w:rsidRPr="008C56A4">
        <w:rPr>
          <w:rFonts w:ascii="Times New Roman" w:eastAsia="Times New Roman" w:hAnsi="Times New Roman" w:cs="Times New Roman"/>
          <w:i/>
          <w:iCs/>
          <w:sz w:val="24"/>
          <w:szCs w:val="24"/>
          <w:vertAlign w:val="subscript"/>
        </w:rPr>
        <w:t>a,COOH</w:t>
      </w:r>
      <w:proofErr w:type="spellEnd"/>
      <w:proofErr w:type="gramEnd"/>
      <w:r w:rsidRPr="008C56A4">
        <w:rPr>
          <w:rFonts w:ascii="Times New Roman" w:eastAsia="Times New Roman" w:hAnsi="Times New Roman" w:cs="Times New Roman"/>
          <w:sz w:val="24"/>
          <w:szCs w:val="24"/>
        </w:rPr>
        <w:t xml:space="preserve"> and </w:t>
      </w:r>
      <w:r w:rsidRPr="008C56A4">
        <w:rPr>
          <w:rFonts w:ascii="Times New Roman" w:eastAsia="Times New Roman" w:hAnsi="Times New Roman" w:cs="Times New Roman"/>
          <w:i/>
          <w:iCs/>
          <w:sz w:val="24"/>
          <w:szCs w:val="24"/>
        </w:rPr>
        <w:t>K</w:t>
      </w:r>
      <w:r w:rsidRPr="008C56A4">
        <w:rPr>
          <w:rFonts w:ascii="Times New Roman" w:eastAsia="Times New Roman" w:hAnsi="Times New Roman" w:cs="Times New Roman"/>
          <w:i/>
          <w:iCs/>
          <w:sz w:val="24"/>
          <w:szCs w:val="24"/>
          <w:vertAlign w:val="subscript"/>
        </w:rPr>
        <w:t>a,NH4</w:t>
      </w:r>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are the thermodynamic equilibrium constants for</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Carboxylic Acid Ionization Constants for Glycine, α-Alanine, and Proline</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 carboxylic acid ionization constants </w:t>
      </w:r>
      <w:proofErr w:type="spellStart"/>
      <w:proofErr w:type="gram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proofErr w:type="gramEnd"/>
      <w:r w:rsidRPr="008C56A4">
        <w:rPr>
          <w:rFonts w:ascii="Times New Roman" w:eastAsia="Times New Roman" w:hAnsi="Times New Roman" w:cs="Times New Roman"/>
          <w:sz w:val="24"/>
          <w:szCs w:val="24"/>
        </w:rPr>
        <w:t xml:space="preserve"> for proline, glycine, and α-alanine were measured by applying the methodology outlined above at temperatures from 150 to 250°C, using acridine as the colorimetric indicator. The temperature range over which both forms of the indicator were present in the buffer solutions was determined by trial and error, guided by the extrapolations of room temperatures data. An example is shown in Figure 4, where log </w:t>
      </w:r>
      <w:proofErr w:type="spell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HAcr</w:t>
      </w:r>
      <w:proofErr w:type="spellEnd"/>
      <w:r w:rsidRPr="008C56A4">
        <w:rPr>
          <w:rFonts w:ascii="Times New Roman" w:eastAsia="Times New Roman" w:hAnsi="Times New Roman" w:cs="Times New Roman"/>
          <w:sz w:val="24"/>
          <w:szCs w:val="24"/>
          <w:vertAlign w:val="subscript"/>
        </w:rPr>
        <w:t>+</w:t>
      </w:r>
      <w:r w:rsidRPr="008C56A4">
        <w:rPr>
          <w:rFonts w:ascii="Times New Roman" w:eastAsia="Times New Roman" w:hAnsi="Times New Roman" w:cs="Times New Roman"/>
          <w:sz w:val="24"/>
          <w:szCs w:val="24"/>
        </w:rPr>
        <w:t xml:space="preserve"> for acridine is plotted along with</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 xml:space="preserve">Extended </w:t>
      </w:r>
      <w:proofErr w:type="spellStart"/>
      <w:r w:rsidRPr="008C56A4">
        <w:rPr>
          <w:rFonts w:ascii="Times New Roman" w:eastAsia="Times New Roman" w:hAnsi="Times New Roman" w:cs="Times New Roman"/>
          <w:b/>
          <w:bCs/>
          <w:sz w:val="36"/>
          <w:szCs w:val="36"/>
        </w:rPr>
        <w:t>van’t</w:t>
      </w:r>
      <w:proofErr w:type="spellEnd"/>
      <w:r w:rsidRPr="008C56A4">
        <w:rPr>
          <w:rFonts w:ascii="Times New Roman" w:eastAsia="Times New Roman" w:hAnsi="Times New Roman" w:cs="Times New Roman"/>
          <w:b/>
          <w:bCs/>
          <w:sz w:val="36"/>
          <w:szCs w:val="36"/>
        </w:rPr>
        <w:t xml:space="preserve"> Hoff Model for Carboxylic Acid Ionization Constants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 experimental </w:t>
      </w:r>
      <w:proofErr w:type="spellStart"/>
      <w:proofErr w:type="gram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proofErr w:type="gramEnd"/>
      <w:r w:rsidRPr="008C56A4">
        <w:rPr>
          <w:rFonts w:ascii="Times New Roman" w:eastAsia="Times New Roman" w:hAnsi="Times New Roman" w:cs="Times New Roman"/>
          <w:sz w:val="24"/>
          <w:szCs w:val="24"/>
        </w:rPr>
        <w:t xml:space="preserve"> data were analyzed using two models. The first was a simple “extended” </w:t>
      </w:r>
      <w:proofErr w:type="spellStart"/>
      <w:r w:rsidRPr="008C56A4">
        <w:rPr>
          <w:rFonts w:ascii="Times New Roman" w:eastAsia="Times New Roman" w:hAnsi="Times New Roman" w:cs="Times New Roman"/>
          <w:sz w:val="24"/>
          <w:szCs w:val="24"/>
        </w:rPr>
        <w:t>van’t</w:t>
      </w:r>
      <w:proofErr w:type="spellEnd"/>
      <w:r w:rsidRPr="008C56A4">
        <w:rPr>
          <w:rFonts w:ascii="Times New Roman" w:eastAsia="Times New Roman" w:hAnsi="Times New Roman" w:cs="Times New Roman"/>
          <w:sz w:val="24"/>
          <w:szCs w:val="24"/>
        </w:rPr>
        <w:t xml:space="preserve"> Hoff equation in which the standard partial molar heat capacity of reaction, </w:t>
      </w:r>
      <w:proofErr w:type="spellStart"/>
      <w:r w:rsidRPr="008C56A4">
        <w:rPr>
          <w:rFonts w:ascii="Times New Roman" w:eastAsia="Times New Roman" w:hAnsi="Times New Roman" w:cs="Times New Roman"/>
          <w:sz w:val="24"/>
          <w:szCs w:val="24"/>
        </w:rPr>
        <w:t>Δ</w:t>
      </w:r>
      <w:proofErr w:type="gramStart"/>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proofErr w:type="gramEnd"/>
      <w:r w:rsidRPr="008C56A4">
        <w:rPr>
          <w:rFonts w:ascii="Times New Roman" w:eastAsia="Times New Roman" w:hAnsi="Times New Roman" w:cs="Times New Roman"/>
          <w:sz w:val="24"/>
          <w:szCs w:val="24"/>
        </w:rPr>
        <w:t xml:space="preserve">, is independent of temperature: </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Here </w:t>
      </w:r>
      <w:proofErr w:type="spellStart"/>
      <w:proofErr w:type="gramStart"/>
      <w:r w:rsidRPr="008C56A4">
        <w:rPr>
          <w:rFonts w:ascii="Times New Roman" w:eastAsia="Times New Roman" w:hAnsi="Times New Roman" w:cs="Times New Roman"/>
          <w:sz w:val="24"/>
          <w:szCs w:val="24"/>
        </w:rPr>
        <w:t>K</w:t>
      </w:r>
      <w:r w:rsidRPr="008C56A4">
        <w:rPr>
          <w:rFonts w:ascii="Times New Roman" w:eastAsia="Times New Roman" w:hAnsi="Times New Roman" w:cs="Times New Roman"/>
          <w:sz w:val="24"/>
          <w:szCs w:val="24"/>
          <w:vertAlign w:val="subscript"/>
        </w:rPr>
        <w:t>a,COOH</w:t>
      </w:r>
      <w:proofErr w:type="spellEnd"/>
      <w:proofErr w:type="gramEnd"/>
      <w:r w:rsidRPr="008C56A4">
        <w:rPr>
          <w:rFonts w:ascii="Times New Roman" w:eastAsia="Times New Roman" w:hAnsi="Times New Roman" w:cs="Times New Roman"/>
          <w:sz w:val="24"/>
          <w:szCs w:val="24"/>
        </w:rPr>
        <w:t xml:space="preserve"> (T</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 xml:space="preserve">) and </w:t>
      </w:r>
      <w:proofErr w:type="spellStart"/>
      <w:r w:rsidRPr="008C56A4">
        <w:rPr>
          <w:rFonts w:ascii="Times New Roman" w:eastAsia="Times New Roman" w:hAnsi="Times New Roman" w:cs="Times New Roman"/>
          <w:sz w:val="24"/>
          <w:szCs w:val="24"/>
        </w:rPr>
        <w:t>Δ</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H</w:t>
      </w:r>
      <w:r w:rsidRPr="008C56A4">
        <w:rPr>
          <w:rFonts w:ascii="Times New Roman" w:eastAsia="Times New Roman" w:hAnsi="Times New Roman" w:cs="Times New Roman"/>
          <w:sz w:val="24"/>
          <w:szCs w:val="24"/>
          <w:vertAlign w:val="subscript"/>
        </w:rPr>
        <w:t>a</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r w:rsidRPr="008C56A4">
        <w:rPr>
          <w:rFonts w:ascii="Times New Roman" w:eastAsia="Times New Roman" w:hAnsi="Times New Roman" w:cs="Times New Roman"/>
          <w:sz w:val="24"/>
          <w:szCs w:val="24"/>
        </w:rPr>
        <w:t xml:space="preserve"> (T</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 are the equilibrium constant and enthalpy of reaction at the reference temperature T</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 xml:space="preserve"> = 298.15 K, respectively, and </w:t>
      </w:r>
      <w:proofErr w:type="spellStart"/>
      <w:r w:rsidRPr="008C56A4">
        <w:rPr>
          <w:rFonts w:ascii="Times New Roman" w:eastAsia="Times New Roman" w:hAnsi="Times New Roman" w:cs="Times New Roman"/>
          <w:sz w:val="24"/>
          <w:szCs w:val="24"/>
        </w:rPr>
        <w:t>Δ</w:t>
      </w:r>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r w:rsidRPr="008C56A4">
        <w:rPr>
          <w:rFonts w:ascii="Times New Roman" w:eastAsia="Times New Roman" w:hAnsi="Times New Roman" w:cs="Times New Roman"/>
          <w:sz w:val="24"/>
          <w:szCs w:val="24"/>
        </w:rPr>
        <w:t xml:space="preserve"> is the mean heat capacity of</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lastRenderedPageBreak/>
        <w:t>Conclusions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In this paper we report for the </w:t>
      </w:r>
      <w:proofErr w:type="gramStart"/>
      <w:r w:rsidRPr="008C56A4">
        <w:rPr>
          <w:rFonts w:ascii="Times New Roman" w:eastAsia="Times New Roman" w:hAnsi="Times New Roman" w:cs="Times New Roman"/>
          <w:sz w:val="24"/>
          <w:szCs w:val="24"/>
        </w:rPr>
        <w:t>first time</w:t>
      </w:r>
      <w:proofErr w:type="gramEnd"/>
      <w:r w:rsidRPr="008C56A4">
        <w:rPr>
          <w:rFonts w:ascii="Times New Roman" w:eastAsia="Times New Roman" w:hAnsi="Times New Roman" w:cs="Times New Roman"/>
          <w:sz w:val="24"/>
          <w:szCs w:val="24"/>
        </w:rPr>
        <w:t xml:space="preserve"> values of the first ionization constants for the amino acids proline, glycine, and α-alanine at temperatures greater than 150°C. The first acid dissociation of amino acids is, formally, </w:t>
      </w:r>
      <w:proofErr w:type="spellStart"/>
      <w:r w:rsidRPr="008C56A4">
        <w:rPr>
          <w:rFonts w:ascii="Times New Roman" w:eastAsia="Times New Roman" w:hAnsi="Times New Roman" w:cs="Times New Roman"/>
          <w:sz w:val="24"/>
          <w:szCs w:val="24"/>
        </w:rPr>
        <w:t>isocoulombic</w:t>
      </w:r>
      <w:proofErr w:type="spellEnd"/>
      <w:r w:rsidRPr="008C56A4">
        <w:rPr>
          <w:rFonts w:ascii="Times New Roman" w:eastAsia="Times New Roman" w:hAnsi="Times New Roman" w:cs="Times New Roman"/>
          <w:sz w:val="24"/>
          <w:szCs w:val="24"/>
        </w:rPr>
        <w:t xml:space="preserve"> and should have a reasonably small and constant </w:t>
      </w:r>
      <w:proofErr w:type="spellStart"/>
      <w:r w:rsidRPr="008C56A4">
        <w:rPr>
          <w:rFonts w:ascii="Times New Roman" w:eastAsia="Times New Roman" w:hAnsi="Times New Roman" w:cs="Times New Roman"/>
          <w:sz w:val="24"/>
          <w:szCs w:val="24"/>
        </w:rPr>
        <w:t>Δ</w:t>
      </w:r>
      <w:proofErr w:type="gramStart"/>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proofErr w:type="gramEnd"/>
      <w:r w:rsidRPr="008C56A4">
        <w:rPr>
          <w:rFonts w:ascii="Times New Roman" w:eastAsia="Times New Roman" w:hAnsi="Times New Roman" w:cs="Times New Roman"/>
          <w:sz w:val="24"/>
          <w:szCs w:val="24"/>
        </w:rPr>
        <w:t xml:space="preserve">. Our data suggest that this is not the case and that, in fact, </w:t>
      </w:r>
      <w:proofErr w:type="spellStart"/>
      <w:r w:rsidRPr="008C56A4">
        <w:rPr>
          <w:rFonts w:ascii="Times New Roman" w:eastAsia="Times New Roman" w:hAnsi="Times New Roman" w:cs="Times New Roman"/>
          <w:sz w:val="24"/>
          <w:szCs w:val="24"/>
        </w:rPr>
        <w:t>Δ</w:t>
      </w:r>
      <w:proofErr w:type="gramStart"/>
      <w:r w:rsidRPr="008C56A4">
        <w:rPr>
          <w:rFonts w:ascii="Times New Roman" w:eastAsia="Times New Roman" w:hAnsi="Times New Roman" w:cs="Times New Roman"/>
          <w:sz w:val="24"/>
          <w:szCs w:val="24"/>
          <w:vertAlign w:val="subscript"/>
        </w:rPr>
        <w:t>r</w:t>
      </w:r>
      <w:r w:rsidRPr="008C56A4">
        <w:rPr>
          <w:rFonts w:ascii="Times New Roman" w:eastAsia="Times New Roman" w:hAnsi="Times New Roman" w:cs="Times New Roman"/>
          <w:sz w:val="24"/>
          <w:szCs w:val="24"/>
        </w:rPr>
        <w:t>C</w:t>
      </w:r>
      <w:r w:rsidRPr="008C56A4">
        <w:rPr>
          <w:rFonts w:ascii="Times New Roman" w:eastAsia="Times New Roman" w:hAnsi="Times New Roman" w:cs="Times New Roman"/>
          <w:sz w:val="24"/>
          <w:szCs w:val="24"/>
          <w:vertAlign w:val="subscript"/>
        </w:rPr>
        <w:t>p</w:t>
      </w:r>
      <w:r w:rsidRPr="008C56A4">
        <w:rPr>
          <w:rFonts w:ascii="Times New Roman" w:eastAsia="Times New Roman" w:hAnsi="Times New Roman" w:cs="Times New Roman"/>
          <w:sz w:val="24"/>
          <w:szCs w:val="24"/>
          <w:vertAlign w:val="superscript"/>
        </w:rPr>
        <w:t>o</w:t>
      </w:r>
      <w:r w:rsidRPr="008C56A4">
        <w:rPr>
          <w:rFonts w:ascii="Times New Roman" w:eastAsia="Times New Roman" w:hAnsi="Times New Roman" w:cs="Times New Roman"/>
          <w:sz w:val="24"/>
          <w:szCs w:val="24"/>
        </w:rPr>
        <w:t>,</w:t>
      </w:r>
      <w:r w:rsidRPr="008C56A4">
        <w:rPr>
          <w:rFonts w:ascii="Times New Roman" w:eastAsia="Times New Roman" w:hAnsi="Times New Roman" w:cs="Times New Roman"/>
          <w:sz w:val="24"/>
          <w:szCs w:val="24"/>
          <w:vertAlign w:val="subscript"/>
        </w:rPr>
        <w:t>COOH</w:t>
      </w:r>
      <w:proofErr w:type="spellEnd"/>
      <w:proofErr w:type="gramEnd"/>
      <w:r w:rsidRPr="008C56A4">
        <w:rPr>
          <w:rFonts w:ascii="Times New Roman" w:eastAsia="Times New Roman" w:hAnsi="Times New Roman" w:cs="Times New Roman"/>
          <w:sz w:val="24"/>
          <w:szCs w:val="24"/>
        </w:rPr>
        <w:t xml:space="preserve"> for reaction (3) passes through a maximum then approaches increasingly negative values at elevated temperatures. This is</w:t>
      </w:r>
    </w:p>
    <w:p w:rsidR="008C56A4" w:rsidRPr="008C56A4" w:rsidRDefault="008C56A4" w:rsidP="008C56A4">
      <w:pPr>
        <w:spacing w:before="100" w:beforeAutospacing="1" w:after="100" w:afterAutospacing="1" w:line="240" w:lineRule="auto"/>
        <w:outlineLvl w:val="1"/>
        <w:rPr>
          <w:rFonts w:ascii="Times New Roman" w:eastAsia="Times New Roman" w:hAnsi="Times New Roman" w:cs="Times New Roman"/>
          <w:b/>
          <w:bCs/>
          <w:sz w:val="36"/>
          <w:szCs w:val="36"/>
        </w:rPr>
      </w:pPr>
      <w:r w:rsidRPr="008C56A4">
        <w:rPr>
          <w:rFonts w:ascii="Times New Roman" w:eastAsia="Times New Roman" w:hAnsi="Times New Roman" w:cs="Times New Roman"/>
          <w:b/>
          <w:bCs/>
          <w:sz w:val="36"/>
          <w:szCs w:val="36"/>
        </w:rPr>
        <w:t>Acknowledgments</w:t>
      </w:r>
    </w:p>
    <w:p w:rsidR="008C56A4" w:rsidRPr="008C56A4" w:rsidRDefault="008C56A4" w:rsidP="008C56A4">
      <w:pPr>
        <w:spacing w:before="100" w:beforeAutospacing="1" w:after="100" w:afterAutospacing="1" w:line="240" w:lineRule="auto"/>
        <w:rPr>
          <w:rFonts w:ascii="Times New Roman" w:eastAsia="Times New Roman" w:hAnsi="Times New Roman" w:cs="Times New Roman"/>
          <w:sz w:val="24"/>
          <w:szCs w:val="24"/>
        </w:rPr>
      </w:pPr>
      <w:r w:rsidRPr="008C56A4">
        <w:rPr>
          <w:rFonts w:ascii="Times New Roman" w:eastAsia="Times New Roman" w:hAnsi="Times New Roman" w:cs="Times New Roman"/>
          <w:sz w:val="24"/>
          <w:szCs w:val="24"/>
        </w:rPr>
        <w:t xml:space="preserve">These measurements were carried out as part of the Ph.D. thesis research by R. Clarke (alanine), and </w:t>
      </w:r>
      <w:proofErr w:type="spellStart"/>
      <w:r w:rsidRPr="008C56A4">
        <w:rPr>
          <w:rFonts w:ascii="Times New Roman" w:eastAsia="Times New Roman" w:hAnsi="Times New Roman" w:cs="Times New Roman"/>
          <w:sz w:val="24"/>
          <w:szCs w:val="24"/>
        </w:rPr>
        <w:t>Honours</w:t>
      </w:r>
      <w:proofErr w:type="spellEnd"/>
      <w:r w:rsidRPr="008C56A4">
        <w:rPr>
          <w:rFonts w:ascii="Times New Roman" w:eastAsia="Times New Roman" w:hAnsi="Times New Roman" w:cs="Times New Roman"/>
          <w:sz w:val="24"/>
          <w:szCs w:val="24"/>
        </w:rPr>
        <w:t xml:space="preserve"> B.Sc. thesis research by C. Collins (glycine) and J. Roberts (proline). We thank the Natural Sciences and Engineering Research Council of Canada (NSERC) for Postgraduate Scholarships to R. Clarke and Summer Undergraduate Scholarships to C. Collins and J. Roberts. Research and equipment </w:t>
      </w:r>
      <w:proofErr w:type="gramStart"/>
      <w:r w:rsidRPr="008C56A4">
        <w:rPr>
          <w:rFonts w:ascii="Times New Roman" w:eastAsia="Times New Roman" w:hAnsi="Times New Roman" w:cs="Times New Roman"/>
          <w:sz w:val="24"/>
          <w:szCs w:val="24"/>
        </w:rPr>
        <w:t>grants</w:t>
      </w:r>
      <w:proofErr w:type="gramEnd"/>
      <w:r w:rsidRPr="008C56A4">
        <w:rPr>
          <w:rFonts w:ascii="Times New Roman" w:eastAsia="Times New Roman" w:hAnsi="Times New Roman" w:cs="Times New Roman"/>
          <w:sz w:val="24"/>
          <w:szCs w:val="24"/>
        </w:rPr>
        <w:t xml:space="preserve"> from NSERC, Memorial University of Newfoundland, and the University of Guelph are gratefully</w:t>
      </w:r>
    </w:p>
    <w:p w:rsidR="00B13158" w:rsidRDefault="00B13158"/>
    <w:sectPr w:rsidR="00B1315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56A4"/>
    <w:rsid w:val="008C56A4"/>
    <w:rsid w:val="00B13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D338C"/>
  <w15:chartTrackingRefBased/>
  <w15:docId w15:val="{17958927-9B89-49AB-8E3E-98F582449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0023656">
      <w:bodyDiv w:val="1"/>
      <w:marLeft w:val="0"/>
      <w:marRight w:val="0"/>
      <w:marTop w:val="0"/>
      <w:marBottom w:val="0"/>
      <w:divBdr>
        <w:top w:val="none" w:sz="0" w:space="0" w:color="auto"/>
        <w:left w:val="none" w:sz="0" w:space="0" w:color="auto"/>
        <w:bottom w:val="none" w:sz="0" w:space="0" w:color="auto"/>
        <w:right w:val="none" w:sz="0" w:space="0" w:color="auto"/>
      </w:divBdr>
      <w:divsChild>
        <w:div w:id="609972242">
          <w:marLeft w:val="0"/>
          <w:marRight w:val="0"/>
          <w:marTop w:val="0"/>
          <w:marBottom w:val="0"/>
          <w:divBdr>
            <w:top w:val="none" w:sz="0" w:space="0" w:color="auto"/>
            <w:left w:val="none" w:sz="0" w:space="0" w:color="auto"/>
            <w:bottom w:val="none" w:sz="0" w:space="0" w:color="auto"/>
            <w:right w:val="none" w:sz="0" w:space="0" w:color="auto"/>
          </w:divBdr>
          <w:divsChild>
            <w:div w:id="707143790">
              <w:marLeft w:val="0"/>
              <w:marRight w:val="0"/>
              <w:marTop w:val="0"/>
              <w:marBottom w:val="0"/>
              <w:divBdr>
                <w:top w:val="none" w:sz="0" w:space="0" w:color="auto"/>
                <w:left w:val="none" w:sz="0" w:space="0" w:color="auto"/>
                <w:bottom w:val="none" w:sz="0" w:space="0" w:color="auto"/>
                <w:right w:val="none" w:sz="0" w:space="0" w:color="auto"/>
              </w:divBdr>
              <w:divsChild>
                <w:div w:id="1210874646">
                  <w:marLeft w:val="0"/>
                  <w:marRight w:val="0"/>
                  <w:marTop w:val="0"/>
                  <w:marBottom w:val="0"/>
                  <w:divBdr>
                    <w:top w:val="none" w:sz="0" w:space="0" w:color="auto"/>
                    <w:left w:val="none" w:sz="0" w:space="0" w:color="auto"/>
                    <w:bottom w:val="none" w:sz="0" w:space="0" w:color="auto"/>
                    <w:right w:val="none" w:sz="0" w:space="0" w:color="auto"/>
                  </w:divBdr>
                  <w:divsChild>
                    <w:div w:id="31025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36631">
          <w:marLeft w:val="0"/>
          <w:marRight w:val="0"/>
          <w:marTop w:val="0"/>
          <w:marBottom w:val="0"/>
          <w:divBdr>
            <w:top w:val="none" w:sz="0" w:space="0" w:color="auto"/>
            <w:left w:val="none" w:sz="0" w:space="0" w:color="auto"/>
            <w:bottom w:val="none" w:sz="0" w:space="0" w:color="auto"/>
            <w:right w:val="none" w:sz="0" w:space="0" w:color="auto"/>
          </w:divBdr>
          <w:divsChild>
            <w:div w:id="279259881">
              <w:marLeft w:val="0"/>
              <w:marRight w:val="0"/>
              <w:marTop w:val="0"/>
              <w:marBottom w:val="0"/>
              <w:divBdr>
                <w:top w:val="none" w:sz="0" w:space="0" w:color="auto"/>
                <w:left w:val="none" w:sz="0" w:space="0" w:color="auto"/>
                <w:bottom w:val="none" w:sz="0" w:space="0" w:color="auto"/>
                <w:right w:val="none" w:sz="0" w:space="0" w:color="auto"/>
              </w:divBdr>
              <w:divsChild>
                <w:div w:id="1429739482">
                  <w:marLeft w:val="0"/>
                  <w:marRight w:val="0"/>
                  <w:marTop w:val="0"/>
                  <w:marBottom w:val="0"/>
                  <w:divBdr>
                    <w:top w:val="none" w:sz="0" w:space="0" w:color="auto"/>
                    <w:left w:val="none" w:sz="0" w:space="0" w:color="auto"/>
                    <w:bottom w:val="none" w:sz="0" w:space="0" w:color="auto"/>
                    <w:right w:val="none" w:sz="0" w:space="0" w:color="auto"/>
                  </w:divBdr>
                  <w:divsChild>
                    <w:div w:id="10650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131862">
          <w:marLeft w:val="0"/>
          <w:marRight w:val="0"/>
          <w:marTop w:val="0"/>
          <w:marBottom w:val="0"/>
          <w:divBdr>
            <w:top w:val="none" w:sz="0" w:space="0" w:color="auto"/>
            <w:left w:val="none" w:sz="0" w:space="0" w:color="auto"/>
            <w:bottom w:val="none" w:sz="0" w:space="0" w:color="auto"/>
            <w:right w:val="none" w:sz="0" w:space="0" w:color="auto"/>
          </w:divBdr>
          <w:divsChild>
            <w:div w:id="1320965442">
              <w:marLeft w:val="0"/>
              <w:marRight w:val="0"/>
              <w:marTop w:val="0"/>
              <w:marBottom w:val="0"/>
              <w:divBdr>
                <w:top w:val="none" w:sz="0" w:space="0" w:color="auto"/>
                <w:left w:val="none" w:sz="0" w:space="0" w:color="auto"/>
                <w:bottom w:val="none" w:sz="0" w:space="0" w:color="auto"/>
                <w:right w:val="none" w:sz="0" w:space="0" w:color="auto"/>
              </w:divBdr>
            </w:div>
          </w:divsChild>
        </w:div>
        <w:div w:id="724180679">
          <w:marLeft w:val="0"/>
          <w:marRight w:val="0"/>
          <w:marTop w:val="0"/>
          <w:marBottom w:val="0"/>
          <w:divBdr>
            <w:top w:val="none" w:sz="0" w:space="0" w:color="auto"/>
            <w:left w:val="none" w:sz="0" w:space="0" w:color="auto"/>
            <w:bottom w:val="none" w:sz="0" w:space="0" w:color="auto"/>
            <w:right w:val="none" w:sz="0" w:space="0" w:color="auto"/>
          </w:divBdr>
          <w:divsChild>
            <w:div w:id="480735675">
              <w:marLeft w:val="0"/>
              <w:marRight w:val="0"/>
              <w:marTop w:val="0"/>
              <w:marBottom w:val="0"/>
              <w:divBdr>
                <w:top w:val="none" w:sz="0" w:space="0" w:color="auto"/>
                <w:left w:val="none" w:sz="0" w:space="0" w:color="auto"/>
                <w:bottom w:val="none" w:sz="0" w:space="0" w:color="auto"/>
                <w:right w:val="none" w:sz="0" w:space="0" w:color="auto"/>
              </w:divBdr>
            </w:div>
          </w:divsChild>
        </w:div>
        <w:div w:id="1524368521">
          <w:marLeft w:val="0"/>
          <w:marRight w:val="0"/>
          <w:marTop w:val="0"/>
          <w:marBottom w:val="0"/>
          <w:divBdr>
            <w:top w:val="none" w:sz="0" w:space="0" w:color="auto"/>
            <w:left w:val="none" w:sz="0" w:space="0" w:color="auto"/>
            <w:bottom w:val="none" w:sz="0" w:space="0" w:color="auto"/>
            <w:right w:val="none" w:sz="0" w:space="0" w:color="auto"/>
          </w:divBdr>
          <w:divsChild>
            <w:div w:id="116393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spectroscopy" TargetMode="External"/><Relationship Id="rId4" Type="http://schemas.openxmlformats.org/officeDocument/2006/relationships/hyperlink" Target="https://doi.org/10.1016/j.gca.2004.11.0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1526</Words>
  <Characters>8700</Characters>
  <Application>Microsoft Office Word</Application>
  <DocSecurity>0</DocSecurity>
  <Lines>72</Lines>
  <Paragraphs>20</Paragraphs>
  <ScaleCrop>false</ScaleCrop>
  <Company/>
  <LinksUpToDate>false</LinksUpToDate>
  <CharactersWithSpaces>10206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2023-11-18T08:26:00Z</dcterms:created>
  <dcterms:modified xsi:type="dcterms:W3CDTF">2023-11-18T08:27:00Z</dcterms:modified>
</cp:coreProperties>
</file>