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F63D3" w:rsidRPr="008F63D3" w:rsidRDefault="008F63D3" w:rsidP="008F63D3">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8F63D3">
        <w:rPr>
          <w:rFonts w:ascii="Times New Roman" w:eastAsia="Times New Roman" w:hAnsi="Times New Roman" w:cs="Times New Roman"/>
          <w:b/>
          <w:bCs/>
          <w:kern w:val="36"/>
          <w:sz w:val="48"/>
          <w:szCs w:val="48"/>
        </w:rPr>
        <w:t>Experimental and theoretical study of hydration of halide ions</w:t>
      </w:r>
    </w:p>
    <w:p w:rsidR="008F63D3" w:rsidRPr="008F63D3" w:rsidRDefault="008F63D3" w:rsidP="008F63D3">
      <w:pPr>
        <w:spacing w:after="0" w:line="240" w:lineRule="auto"/>
        <w:rPr>
          <w:rFonts w:ascii="Times New Roman" w:eastAsia="Times New Roman" w:hAnsi="Times New Roman" w:cs="Times New Roman"/>
          <w:sz w:val="24"/>
          <w:szCs w:val="24"/>
        </w:rPr>
      </w:pPr>
      <w:r w:rsidRPr="008F63D3">
        <w:rPr>
          <w:rFonts w:ascii="Times New Roman" w:eastAsia="Times New Roman" w:hAnsi="Times New Roman" w:cs="Times New Roman"/>
          <w:sz w:val="24"/>
          <w:szCs w:val="24"/>
        </w:rPr>
        <w:t>Author links open overlay panel</w:t>
      </w:r>
    </w:p>
    <w:p w:rsidR="008F63D3" w:rsidRPr="008F63D3" w:rsidRDefault="008F63D3" w:rsidP="008F63D3">
      <w:pPr>
        <w:spacing w:after="0" w:line="240" w:lineRule="auto"/>
        <w:rPr>
          <w:rFonts w:ascii="Times New Roman" w:eastAsia="Times New Roman" w:hAnsi="Times New Roman" w:cs="Times New Roman"/>
          <w:sz w:val="24"/>
          <w:szCs w:val="24"/>
        </w:rPr>
      </w:pPr>
      <w:r w:rsidRPr="008F63D3">
        <w:rPr>
          <w:rFonts w:ascii="Times New Roman" w:eastAsia="Times New Roman" w:hAnsi="Times New Roman" w:cs="Times New Roman"/>
          <w:sz w:val="24"/>
          <w:szCs w:val="24"/>
        </w:rPr>
        <w:t xml:space="preserve">, , </w:t>
      </w:r>
    </w:p>
    <w:p w:rsidR="008F63D3" w:rsidRPr="008F63D3" w:rsidRDefault="008F63D3" w:rsidP="008F63D3">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8F63D3">
          <w:rPr>
            <w:rFonts w:ascii="Times New Roman" w:eastAsia="Times New Roman" w:hAnsi="Times New Roman" w:cs="Times New Roman"/>
            <w:color w:val="0000FF"/>
            <w:sz w:val="24"/>
            <w:szCs w:val="24"/>
            <w:u w:val="single"/>
          </w:rPr>
          <w:t>https://doi.org/10.1016/j.gca.2004.12.014</w:t>
        </w:r>
      </w:hyperlink>
      <w:bookmarkStart w:id="0" w:name="_GoBack"/>
      <w:bookmarkEnd w:id="0"/>
      <w:r w:rsidRPr="008F63D3">
        <w:rPr>
          <w:rFonts w:ascii="Times New Roman" w:eastAsia="Times New Roman" w:hAnsi="Times New Roman" w:cs="Times New Roman"/>
          <w:sz w:val="24"/>
          <w:szCs w:val="24"/>
        </w:rPr>
        <w:t xml:space="preserve"> </w:t>
      </w:r>
    </w:p>
    <w:p w:rsidR="008F63D3" w:rsidRPr="008F63D3" w:rsidRDefault="008F63D3" w:rsidP="008F63D3">
      <w:pPr>
        <w:spacing w:before="100" w:beforeAutospacing="1" w:after="100" w:afterAutospacing="1" w:line="240" w:lineRule="auto"/>
        <w:outlineLvl w:val="1"/>
        <w:rPr>
          <w:rFonts w:ascii="Times New Roman" w:eastAsia="Times New Roman" w:hAnsi="Times New Roman" w:cs="Times New Roman"/>
          <w:b/>
          <w:bCs/>
          <w:sz w:val="36"/>
          <w:szCs w:val="36"/>
        </w:rPr>
      </w:pPr>
      <w:r w:rsidRPr="008F63D3">
        <w:rPr>
          <w:rFonts w:ascii="Times New Roman" w:eastAsia="Times New Roman" w:hAnsi="Times New Roman" w:cs="Times New Roman"/>
          <w:b/>
          <w:bCs/>
          <w:sz w:val="36"/>
          <w:szCs w:val="36"/>
        </w:rPr>
        <w:t>Abstract</w:t>
      </w:r>
    </w:p>
    <w:p w:rsidR="008F63D3" w:rsidRPr="008F63D3" w:rsidRDefault="008F63D3" w:rsidP="008F63D3">
      <w:pPr>
        <w:spacing w:before="100" w:beforeAutospacing="1" w:after="100" w:afterAutospacing="1" w:line="240" w:lineRule="auto"/>
        <w:rPr>
          <w:rFonts w:ascii="Times New Roman" w:eastAsia="Times New Roman" w:hAnsi="Times New Roman" w:cs="Times New Roman"/>
          <w:sz w:val="24"/>
          <w:szCs w:val="24"/>
        </w:rPr>
      </w:pPr>
      <w:r w:rsidRPr="008F63D3">
        <w:rPr>
          <w:rFonts w:ascii="Times New Roman" w:eastAsia="Times New Roman" w:hAnsi="Times New Roman" w:cs="Times New Roman"/>
          <w:sz w:val="24"/>
          <w:szCs w:val="24"/>
        </w:rPr>
        <w:t xml:space="preserve">We have studied </w:t>
      </w:r>
      <w:hyperlink r:id="rId5" w:tooltip="Learn more about thermochemistry from ScienceDirect's AI-generated Topic Pages" w:history="1">
        <w:r w:rsidRPr="008F63D3">
          <w:rPr>
            <w:rFonts w:ascii="Times New Roman" w:eastAsia="Times New Roman" w:hAnsi="Times New Roman" w:cs="Times New Roman"/>
            <w:color w:val="0000FF"/>
            <w:sz w:val="24"/>
            <w:szCs w:val="24"/>
            <w:u w:val="single"/>
          </w:rPr>
          <w:t>thermochemistry</w:t>
        </w:r>
      </w:hyperlink>
      <w:r w:rsidRPr="008F63D3">
        <w:rPr>
          <w:rFonts w:ascii="Times New Roman" w:eastAsia="Times New Roman" w:hAnsi="Times New Roman" w:cs="Times New Roman"/>
          <w:sz w:val="24"/>
          <w:szCs w:val="24"/>
        </w:rPr>
        <w:t xml:space="preserve"> of the first hydration steps for Cl</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Br</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and I</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xml:space="preserve"> in the gas phase both experimentally using high-pressure mass spectrometry (HPMS) and theoretically using </w:t>
      </w:r>
      <w:hyperlink r:id="rId6" w:tooltip="Learn more about density functional theory from ScienceDirect's AI-generated Topic Pages" w:history="1">
        <w:r w:rsidRPr="008F63D3">
          <w:rPr>
            <w:rFonts w:ascii="Times New Roman" w:eastAsia="Times New Roman" w:hAnsi="Times New Roman" w:cs="Times New Roman"/>
            <w:color w:val="0000FF"/>
            <w:sz w:val="24"/>
            <w:szCs w:val="24"/>
            <w:u w:val="single"/>
          </w:rPr>
          <w:t>density functional theory</w:t>
        </w:r>
      </w:hyperlink>
      <w:r w:rsidRPr="008F63D3">
        <w:rPr>
          <w:rFonts w:ascii="Times New Roman" w:eastAsia="Times New Roman" w:hAnsi="Times New Roman" w:cs="Times New Roman"/>
          <w:sz w:val="24"/>
          <w:szCs w:val="24"/>
        </w:rPr>
        <w:t xml:space="preserve"> (DFT) calculations. The highest hydration steps measured experimentally were </w:t>
      </w:r>
      <w:r w:rsidRPr="008F63D3">
        <w:rPr>
          <w:rFonts w:ascii="Times New Roman" w:eastAsia="Times New Roman" w:hAnsi="Times New Roman" w:cs="Times New Roman"/>
          <w:i/>
          <w:iCs/>
          <w:sz w:val="24"/>
          <w:szCs w:val="24"/>
        </w:rPr>
        <w:t>n</w:t>
      </w:r>
      <w:r w:rsidRPr="008F63D3">
        <w:rPr>
          <w:rFonts w:ascii="Times New Roman" w:eastAsia="Times New Roman" w:hAnsi="Times New Roman" w:cs="Times New Roman"/>
          <w:sz w:val="24"/>
          <w:szCs w:val="24"/>
        </w:rPr>
        <w:t xml:space="preserve"> = 8 for Cl</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xml:space="preserve">, </w:t>
      </w:r>
      <w:r w:rsidRPr="008F63D3">
        <w:rPr>
          <w:rFonts w:ascii="Times New Roman" w:eastAsia="Times New Roman" w:hAnsi="Times New Roman" w:cs="Times New Roman"/>
          <w:i/>
          <w:iCs/>
          <w:sz w:val="24"/>
          <w:szCs w:val="24"/>
        </w:rPr>
        <w:t>n</w:t>
      </w:r>
      <w:r w:rsidRPr="008F63D3">
        <w:rPr>
          <w:rFonts w:ascii="Times New Roman" w:eastAsia="Times New Roman" w:hAnsi="Times New Roman" w:cs="Times New Roman"/>
          <w:sz w:val="24"/>
          <w:szCs w:val="24"/>
        </w:rPr>
        <w:t xml:space="preserve"> = 7 for Br</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xml:space="preserve">, and </w:t>
      </w:r>
      <w:r w:rsidRPr="008F63D3">
        <w:rPr>
          <w:rFonts w:ascii="Times New Roman" w:eastAsia="Times New Roman" w:hAnsi="Times New Roman" w:cs="Times New Roman"/>
          <w:i/>
          <w:iCs/>
          <w:sz w:val="24"/>
          <w:szCs w:val="24"/>
        </w:rPr>
        <w:t>n</w:t>
      </w:r>
      <w:r w:rsidRPr="008F63D3">
        <w:rPr>
          <w:rFonts w:ascii="Times New Roman" w:eastAsia="Times New Roman" w:hAnsi="Times New Roman" w:cs="Times New Roman"/>
          <w:sz w:val="24"/>
          <w:szCs w:val="24"/>
        </w:rPr>
        <w:t xml:space="preserve"> = 5 for I</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xml:space="preserve">, all of them being higher than previously reported. Both experimental and theoretical stepwise enthalpies and entropies of hydration for these </w:t>
      </w:r>
      <w:hyperlink r:id="rId7" w:tooltip="Learn more about halides from ScienceDirect's AI-generated Topic Pages" w:history="1">
        <w:r w:rsidRPr="008F63D3">
          <w:rPr>
            <w:rFonts w:ascii="Times New Roman" w:eastAsia="Times New Roman" w:hAnsi="Times New Roman" w:cs="Times New Roman"/>
            <w:color w:val="0000FF"/>
            <w:sz w:val="24"/>
            <w:szCs w:val="24"/>
            <w:u w:val="single"/>
          </w:rPr>
          <w:t>halides</w:t>
        </w:r>
      </w:hyperlink>
      <w:r w:rsidRPr="008F63D3">
        <w:rPr>
          <w:rFonts w:ascii="Times New Roman" w:eastAsia="Times New Roman" w:hAnsi="Times New Roman" w:cs="Times New Roman"/>
          <w:sz w:val="24"/>
          <w:szCs w:val="24"/>
        </w:rPr>
        <w:t xml:space="preserve"> exhibited non-monotonic behavior for successive hydration steps that was not reported in previous HPMS investigations of these reactions. This behavior can be successfully interpreted using halide water cluster geometries obtained from DFT calculations by considering the number of additional </w:t>
      </w:r>
      <w:hyperlink r:id="rId8" w:tooltip="Learn more about hydrogen bonds from ScienceDirect's AI-generated Topic Pages" w:history="1">
        <w:r w:rsidRPr="008F63D3">
          <w:rPr>
            <w:rFonts w:ascii="Times New Roman" w:eastAsia="Times New Roman" w:hAnsi="Times New Roman" w:cs="Times New Roman"/>
            <w:color w:val="0000FF"/>
            <w:sz w:val="24"/>
            <w:szCs w:val="24"/>
            <w:u w:val="single"/>
          </w:rPr>
          <w:t>hydrogen bonds</w:t>
        </w:r>
      </w:hyperlink>
      <w:r w:rsidRPr="008F63D3">
        <w:rPr>
          <w:rFonts w:ascii="Times New Roman" w:eastAsia="Times New Roman" w:hAnsi="Times New Roman" w:cs="Times New Roman"/>
          <w:sz w:val="24"/>
          <w:szCs w:val="24"/>
        </w:rPr>
        <w:t xml:space="preserve"> formed at each hydration step and simultaneous weakening of ion-solvent interaction with increasing cluster size. Results of DFT calculations for surface cluster geometries agree better with experimental results than do the results for interior cluster geometries. We conclude that predominantly surface clusters were observed in our experiments and that small surface clusters have larger number of possible isomers than the interior clusters of the same size. The results for enthalpies of hydration for the studied halide ions lead to the conclusion that ion-solvent interaction is stronger than solvent-solvent interaction for chloride-water clusters. The difference between the two types of interaction diminishes with increasing anion size. The ion-solvent and solvent-solvent interactions are of nearly equal magnitude for iodide.</w:t>
      </w:r>
    </w:p>
    <w:p w:rsidR="008F63D3" w:rsidRPr="008F63D3" w:rsidRDefault="008F63D3" w:rsidP="008F63D3">
      <w:pPr>
        <w:spacing w:before="100" w:beforeAutospacing="1" w:after="100" w:afterAutospacing="1" w:line="240" w:lineRule="auto"/>
        <w:outlineLvl w:val="1"/>
        <w:rPr>
          <w:rFonts w:ascii="Times New Roman" w:eastAsia="Times New Roman" w:hAnsi="Times New Roman" w:cs="Times New Roman"/>
          <w:b/>
          <w:bCs/>
          <w:sz w:val="36"/>
          <w:szCs w:val="36"/>
        </w:rPr>
      </w:pPr>
      <w:r w:rsidRPr="008F63D3">
        <w:rPr>
          <w:rFonts w:ascii="Times New Roman" w:eastAsia="Times New Roman" w:hAnsi="Times New Roman" w:cs="Times New Roman"/>
          <w:b/>
          <w:bCs/>
          <w:sz w:val="36"/>
          <w:szCs w:val="36"/>
        </w:rPr>
        <w:t>Introduction</w:t>
      </w:r>
    </w:p>
    <w:p w:rsidR="008F63D3" w:rsidRPr="008F63D3" w:rsidRDefault="008F63D3" w:rsidP="008F63D3">
      <w:pPr>
        <w:spacing w:before="100" w:beforeAutospacing="1" w:after="100" w:afterAutospacing="1" w:line="240" w:lineRule="auto"/>
        <w:rPr>
          <w:rFonts w:ascii="Times New Roman" w:eastAsia="Times New Roman" w:hAnsi="Times New Roman" w:cs="Times New Roman"/>
          <w:sz w:val="24"/>
          <w:szCs w:val="24"/>
        </w:rPr>
      </w:pPr>
      <w:r w:rsidRPr="008F63D3">
        <w:rPr>
          <w:rFonts w:ascii="Times New Roman" w:eastAsia="Times New Roman" w:hAnsi="Times New Roman" w:cs="Times New Roman"/>
          <w:sz w:val="24"/>
          <w:szCs w:val="24"/>
        </w:rPr>
        <w:t xml:space="preserve">The understanding of numerous geochemical processes involving fluids in the Earth’s crust and reactions in atmospheric and oceanic environments requires a detailed knowledge of the manner in which ions and molecules are solvated in aqueous media. Ion-solvent interaction comprises the fundamental aspect of aqueous solution chemistry and is determined to a significant extent by the properties of water at any given temperature and pressure (Seward and </w:t>
      </w:r>
      <w:proofErr w:type="spellStart"/>
      <w:r w:rsidRPr="008F63D3">
        <w:rPr>
          <w:rFonts w:ascii="Times New Roman" w:eastAsia="Times New Roman" w:hAnsi="Times New Roman" w:cs="Times New Roman"/>
          <w:sz w:val="24"/>
          <w:szCs w:val="24"/>
        </w:rPr>
        <w:t>Driesner</w:t>
      </w:r>
      <w:proofErr w:type="spellEnd"/>
      <w:r w:rsidRPr="008F63D3">
        <w:rPr>
          <w:rFonts w:ascii="Times New Roman" w:eastAsia="Times New Roman" w:hAnsi="Times New Roman" w:cs="Times New Roman"/>
          <w:sz w:val="24"/>
          <w:szCs w:val="24"/>
        </w:rPr>
        <w:t>, 2004). The configurational and dynamical aspects of ion hydration play an important role in homogeneous and heterogeneous equilibria and kinetics in aqueous systems. Changes in ion hydration environments with increasing temperature and pressure give rise to changes in water activity, which will influence mineral dissolution/precipitation under extreme conditions. In addition, quite large stable isotope (oxygen and hydrogen) fractionations occur in aqueous electrolyte solutions at elevated temperatures and pressures between bulk solvent and ion hydration shell environments (</w:t>
      </w:r>
      <w:proofErr w:type="spellStart"/>
      <w:r w:rsidRPr="008F63D3">
        <w:rPr>
          <w:rFonts w:ascii="Times New Roman" w:eastAsia="Times New Roman" w:hAnsi="Times New Roman" w:cs="Times New Roman"/>
          <w:sz w:val="24"/>
          <w:szCs w:val="24"/>
        </w:rPr>
        <w:t>Driesner</w:t>
      </w:r>
      <w:proofErr w:type="spellEnd"/>
      <w:r w:rsidRPr="008F63D3">
        <w:rPr>
          <w:rFonts w:ascii="Times New Roman" w:eastAsia="Times New Roman" w:hAnsi="Times New Roman" w:cs="Times New Roman"/>
          <w:sz w:val="24"/>
          <w:szCs w:val="24"/>
        </w:rPr>
        <w:t xml:space="preserve"> and Seward 2000, </w:t>
      </w:r>
      <w:proofErr w:type="spellStart"/>
      <w:r w:rsidRPr="008F63D3">
        <w:rPr>
          <w:rFonts w:ascii="Times New Roman" w:eastAsia="Times New Roman" w:hAnsi="Times New Roman" w:cs="Times New Roman"/>
          <w:sz w:val="24"/>
          <w:szCs w:val="24"/>
        </w:rPr>
        <w:t>Horita</w:t>
      </w:r>
      <w:proofErr w:type="spellEnd"/>
      <w:r w:rsidRPr="008F63D3">
        <w:rPr>
          <w:rFonts w:ascii="Times New Roman" w:eastAsia="Times New Roman" w:hAnsi="Times New Roman" w:cs="Times New Roman"/>
          <w:sz w:val="24"/>
          <w:szCs w:val="24"/>
        </w:rPr>
        <w:t xml:space="preserve"> et al 1995). Furthermore, ion hydration effects play a fundamental role in element partitioning between phase-separating supercritical fluids as well as in element volatility and transport reactions in “wet” magmatic and volcanic gas systems. Despite the importance of all such geochemical phenomena, a comprehensive understanding of these processes at a molecular level eludes us at present, especially under hydrothermal/supercritical conditions where water may be a solvent of low density with dramatically diminished hydrogen bonding and dielectric </w:t>
      </w:r>
      <w:r w:rsidRPr="008F63D3">
        <w:rPr>
          <w:rFonts w:ascii="Times New Roman" w:eastAsia="Times New Roman" w:hAnsi="Times New Roman" w:cs="Times New Roman"/>
          <w:sz w:val="24"/>
          <w:szCs w:val="24"/>
        </w:rPr>
        <w:lastRenderedPageBreak/>
        <w:t xml:space="preserve">properties. The aim of this study has therefore been to obtain information into the nature of halide ion hydration in “aqueous” systems under conditions pertinent to steam and lower pressure supercritical conditions. In aqueous solution, it is not possible to study the hydration of “naked” ions directly, however, this is possible in the gas phase and can be carried out in a stepwise manner such that enthalpy and entropy changes may be determined for individual clustering steps when measured over a range of conditions. Ion-molecule clustering reactions in the gas phase are the direct analog to solvation in a fluid. The thermochemistry of stepwise solvation, especially the thermochemistry of the initial solvation steps leading to formation of the first and second solvation shells, and cluster structural information, are used directly in the construction of various theories of solvation (Pitzer 1982, Pitzer 1983, </w:t>
      </w:r>
      <w:proofErr w:type="spellStart"/>
      <w:r w:rsidRPr="008F63D3">
        <w:rPr>
          <w:rFonts w:ascii="Times New Roman" w:eastAsia="Times New Roman" w:hAnsi="Times New Roman" w:cs="Times New Roman"/>
          <w:sz w:val="24"/>
          <w:szCs w:val="24"/>
        </w:rPr>
        <w:t>Tanger</w:t>
      </w:r>
      <w:proofErr w:type="spellEnd"/>
      <w:r w:rsidRPr="008F63D3">
        <w:rPr>
          <w:rFonts w:ascii="Times New Roman" w:eastAsia="Times New Roman" w:hAnsi="Times New Roman" w:cs="Times New Roman"/>
          <w:sz w:val="24"/>
          <w:szCs w:val="24"/>
        </w:rPr>
        <w:t xml:space="preserve"> and Pitzer 1989), as well as continuum solvation models as reviewed by Cramer and </w:t>
      </w:r>
      <w:proofErr w:type="spellStart"/>
      <w:r w:rsidRPr="008F63D3">
        <w:rPr>
          <w:rFonts w:ascii="Times New Roman" w:eastAsia="Times New Roman" w:hAnsi="Times New Roman" w:cs="Times New Roman"/>
          <w:sz w:val="24"/>
          <w:szCs w:val="24"/>
        </w:rPr>
        <w:t>Truhlar</w:t>
      </w:r>
      <w:proofErr w:type="spellEnd"/>
      <w:r w:rsidRPr="008F63D3">
        <w:rPr>
          <w:rFonts w:ascii="Times New Roman" w:eastAsia="Times New Roman" w:hAnsi="Times New Roman" w:cs="Times New Roman"/>
          <w:sz w:val="24"/>
          <w:szCs w:val="24"/>
        </w:rPr>
        <w:t xml:space="preserve"> (1996). It is apparent that experimental verification of ionic solvation models and development of improved theories requires well known and accurate stepwise thermodynamic properties. The high-pressure mass spectrometric technique (HPMS) can provide accurate gas-phase thermochemical data including free energies, enthalpies, and entropies for various ion-molecule reactions.</w:t>
      </w:r>
    </w:p>
    <w:p w:rsidR="008F63D3" w:rsidRPr="008F63D3" w:rsidRDefault="008F63D3" w:rsidP="008F63D3">
      <w:pPr>
        <w:spacing w:before="100" w:beforeAutospacing="1" w:after="100" w:afterAutospacing="1" w:line="240" w:lineRule="auto"/>
        <w:rPr>
          <w:rFonts w:ascii="Times New Roman" w:eastAsia="Times New Roman" w:hAnsi="Times New Roman" w:cs="Times New Roman"/>
          <w:sz w:val="24"/>
          <w:szCs w:val="24"/>
        </w:rPr>
      </w:pPr>
      <w:r w:rsidRPr="008F63D3">
        <w:rPr>
          <w:rFonts w:ascii="Times New Roman" w:eastAsia="Times New Roman" w:hAnsi="Times New Roman" w:cs="Times New Roman"/>
          <w:sz w:val="24"/>
          <w:szCs w:val="24"/>
        </w:rPr>
        <w:t xml:space="preserve">Halide ion hydrates have always received a considerable attention because they are widespread in nature. A recent review (Robertson and Johnson, 2003) discusses both experimental and theoretical methods and results pertinent to halide hydration. There have been a number of previous investigations of the thermodynamics of halide hydration using HPMS. Early equilibrium studies determined enthalpies and entropies for the reaction </w:t>
      </w:r>
    </w:p>
    <w:p w:rsidR="008F63D3" w:rsidRPr="008F63D3" w:rsidRDefault="008F63D3" w:rsidP="008F63D3">
      <w:pPr>
        <w:spacing w:before="100" w:beforeAutospacing="1" w:after="100" w:afterAutospacing="1" w:line="240" w:lineRule="auto"/>
        <w:rPr>
          <w:rFonts w:ascii="Times New Roman" w:eastAsia="Times New Roman" w:hAnsi="Times New Roman" w:cs="Times New Roman"/>
          <w:sz w:val="24"/>
          <w:szCs w:val="24"/>
        </w:rPr>
      </w:pPr>
      <w:r w:rsidRPr="008F63D3">
        <w:rPr>
          <w:rFonts w:ascii="Times New Roman" w:eastAsia="Times New Roman" w:hAnsi="Times New Roman" w:cs="Times New Roman"/>
          <w:sz w:val="24"/>
          <w:szCs w:val="24"/>
        </w:rPr>
        <w:t>where X = Cl (</w:t>
      </w:r>
      <w:r w:rsidRPr="008F63D3">
        <w:rPr>
          <w:rFonts w:ascii="Times New Roman" w:eastAsia="Times New Roman" w:hAnsi="Times New Roman" w:cs="Times New Roman"/>
          <w:i/>
          <w:iCs/>
          <w:sz w:val="24"/>
          <w:szCs w:val="24"/>
        </w:rPr>
        <w:t>n</w:t>
      </w:r>
      <w:r w:rsidRPr="008F63D3">
        <w:rPr>
          <w:rFonts w:ascii="Times New Roman" w:eastAsia="Times New Roman" w:hAnsi="Times New Roman" w:cs="Times New Roman"/>
          <w:sz w:val="24"/>
          <w:szCs w:val="24"/>
        </w:rPr>
        <w:t xml:space="preserve"> = 4), I (</w:t>
      </w:r>
      <w:r w:rsidRPr="008F63D3">
        <w:rPr>
          <w:rFonts w:ascii="Times New Roman" w:eastAsia="Times New Roman" w:hAnsi="Times New Roman" w:cs="Times New Roman"/>
          <w:i/>
          <w:iCs/>
          <w:sz w:val="24"/>
          <w:szCs w:val="24"/>
        </w:rPr>
        <w:t>n</w:t>
      </w:r>
      <w:r w:rsidRPr="008F63D3">
        <w:rPr>
          <w:rFonts w:ascii="Times New Roman" w:eastAsia="Times New Roman" w:hAnsi="Times New Roman" w:cs="Times New Roman"/>
          <w:sz w:val="24"/>
          <w:szCs w:val="24"/>
        </w:rPr>
        <w:t xml:space="preserve"> = 3) (</w:t>
      </w:r>
      <w:proofErr w:type="spellStart"/>
      <w:r w:rsidRPr="008F63D3">
        <w:rPr>
          <w:rFonts w:ascii="Times New Roman" w:eastAsia="Times New Roman" w:hAnsi="Times New Roman" w:cs="Times New Roman"/>
          <w:sz w:val="24"/>
          <w:szCs w:val="24"/>
        </w:rPr>
        <w:t>Arshadi</w:t>
      </w:r>
      <w:proofErr w:type="spellEnd"/>
      <w:r w:rsidRPr="008F63D3">
        <w:rPr>
          <w:rFonts w:ascii="Times New Roman" w:eastAsia="Times New Roman" w:hAnsi="Times New Roman" w:cs="Times New Roman"/>
          <w:sz w:val="24"/>
          <w:szCs w:val="24"/>
        </w:rPr>
        <w:t xml:space="preserve"> et al 1970, </w:t>
      </w:r>
      <w:proofErr w:type="spellStart"/>
      <w:r w:rsidRPr="008F63D3">
        <w:rPr>
          <w:rFonts w:ascii="Times New Roman" w:eastAsia="Times New Roman" w:hAnsi="Times New Roman" w:cs="Times New Roman"/>
          <w:sz w:val="24"/>
          <w:szCs w:val="24"/>
        </w:rPr>
        <w:t>Keesee</w:t>
      </w:r>
      <w:proofErr w:type="spellEnd"/>
      <w:r w:rsidRPr="008F63D3">
        <w:rPr>
          <w:rFonts w:ascii="Times New Roman" w:eastAsia="Times New Roman" w:hAnsi="Times New Roman" w:cs="Times New Roman"/>
          <w:sz w:val="24"/>
          <w:szCs w:val="24"/>
        </w:rPr>
        <w:t xml:space="preserve"> and Castleman 1980), and X = F (</w:t>
      </w:r>
      <w:r w:rsidRPr="008F63D3">
        <w:rPr>
          <w:rFonts w:ascii="Times New Roman" w:eastAsia="Times New Roman" w:hAnsi="Times New Roman" w:cs="Times New Roman"/>
          <w:i/>
          <w:iCs/>
          <w:sz w:val="24"/>
          <w:szCs w:val="24"/>
        </w:rPr>
        <w:t>n</w:t>
      </w:r>
      <w:r w:rsidRPr="008F63D3">
        <w:rPr>
          <w:rFonts w:ascii="Times New Roman" w:eastAsia="Times New Roman" w:hAnsi="Times New Roman" w:cs="Times New Roman"/>
          <w:sz w:val="24"/>
          <w:szCs w:val="24"/>
        </w:rPr>
        <w:t xml:space="preserve"> = 5), Br (</w:t>
      </w:r>
      <w:r w:rsidRPr="008F63D3">
        <w:rPr>
          <w:rFonts w:ascii="Times New Roman" w:eastAsia="Times New Roman" w:hAnsi="Times New Roman" w:cs="Times New Roman"/>
          <w:i/>
          <w:iCs/>
          <w:sz w:val="24"/>
          <w:szCs w:val="24"/>
        </w:rPr>
        <w:t>n</w:t>
      </w:r>
      <w:r w:rsidRPr="008F63D3">
        <w:rPr>
          <w:rFonts w:ascii="Times New Roman" w:eastAsia="Times New Roman" w:hAnsi="Times New Roman" w:cs="Times New Roman"/>
          <w:sz w:val="24"/>
          <w:szCs w:val="24"/>
        </w:rPr>
        <w:t xml:space="preserve"> = 4) (</w:t>
      </w:r>
      <w:proofErr w:type="spellStart"/>
      <w:r w:rsidRPr="008F63D3">
        <w:rPr>
          <w:rFonts w:ascii="Times New Roman" w:eastAsia="Times New Roman" w:hAnsi="Times New Roman" w:cs="Times New Roman"/>
          <w:sz w:val="24"/>
          <w:szCs w:val="24"/>
        </w:rPr>
        <w:t>Arshadi</w:t>
      </w:r>
      <w:proofErr w:type="spellEnd"/>
      <w:r w:rsidRPr="008F63D3">
        <w:rPr>
          <w:rFonts w:ascii="Times New Roman" w:eastAsia="Times New Roman" w:hAnsi="Times New Roman" w:cs="Times New Roman"/>
          <w:sz w:val="24"/>
          <w:szCs w:val="24"/>
        </w:rPr>
        <w:t xml:space="preserve"> et al., 1970). A later comprehensive investigation (</w:t>
      </w:r>
      <w:proofErr w:type="spellStart"/>
      <w:r w:rsidRPr="008F63D3">
        <w:rPr>
          <w:rFonts w:ascii="Times New Roman" w:eastAsia="Times New Roman" w:hAnsi="Times New Roman" w:cs="Times New Roman"/>
          <w:sz w:val="24"/>
          <w:szCs w:val="24"/>
        </w:rPr>
        <w:t>Hiraoka</w:t>
      </w:r>
      <w:proofErr w:type="spellEnd"/>
      <w:r w:rsidRPr="008F63D3">
        <w:rPr>
          <w:rFonts w:ascii="Times New Roman" w:eastAsia="Times New Roman" w:hAnsi="Times New Roman" w:cs="Times New Roman"/>
          <w:sz w:val="24"/>
          <w:szCs w:val="24"/>
        </w:rPr>
        <w:t xml:space="preserve"> et al., 1988) extended the range of experimentally determined enthalpies and entropies to larger cluster sizes (</w:t>
      </w:r>
      <w:r w:rsidRPr="008F63D3">
        <w:rPr>
          <w:rFonts w:ascii="Times New Roman" w:eastAsia="Times New Roman" w:hAnsi="Times New Roman" w:cs="Times New Roman"/>
          <w:i/>
          <w:iCs/>
          <w:sz w:val="24"/>
          <w:szCs w:val="24"/>
        </w:rPr>
        <w:t>n</w:t>
      </w:r>
      <w:r w:rsidRPr="008F63D3">
        <w:rPr>
          <w:rFonts w:ascii="Times New Roman" w:eastAsia="Times New Roman" w:hAnsi="Times New Roman" w:cs="Times New Roman"/>
          <w:sz w:val="24"/>
          <w:szCs w:val="24"/>
        </w:rPr>
        <w:t xml:space="preserve"> = 9 for F, </w:t>
      </w:r>
      <w:r w:rsidRPr="008F63D3">
        <w:rPr>
          <w:rFonts w:ascii="Times New Roman" w:eastAsia="Times New Roman" w:hAnsi="Times New Roman" w:cs="Times New Roman"/>
          <w:i/>
          <w:iCs/>
          <w:sz w:val="24"/>
          <w:szCs w:val="24"/>
        </w:rPr>
        <w:t>n</w:t>
      </w:r>
      <w:r w:rsidRPr="008F63D3">
        <w:rPr>
          <w:rFonts w:ascii="Times New Roman" w:eastAsia="Times New Roman" w:hAnsi="Times New Roman" w:cs="Times New Roman"/>
          <w:sz w:val="24"/>
          <w:szCs w:val="24"/>
        </w:rPr>
        <w:t xml:space="preserve"> = 6 for Cl and Br, </w:t>
      </w:r>
      <w:r w:rsidRPr="008F63D3">
        <w:rPr>
          <w:rFonts w:ascii="Times New Roman" w:eastAsia="Times New Roman" w:hAnsi="Times New Roman" w:cs="Times New Roman"/>
          <w:i/>
          <w:iCs/>
          <w:sz w:val="24"/>
          <w:szCs w:val="24"/>
        </w:rPr>
        <w:t>n</w:t>
      </w:r>
      <w:r w:rsidRPr="008F63D3">
        <w:rPr>
          <w:rFonts w:ascii="Times New Roman" w:eastAsia="Times New Roman" w:hAnsi="Times New Roman" w:cs="Times New Roman"/>
          <w:sz w:val="24"/>
          <w:szCs w:val="24"/>
        </w:rPr>
        <w:t xml:space="preserve"> = 4 for I). Enthalpies for an additional hydration step for each of these halides beyond the experimentally determined steps mentioned above were estimated by (</w:t>
      </w:r>
      <w:proofErr w:type="spellStart"/>
      <w:r w:rsidRPr="008F63D3">
        <w:rPr>
          <w:rFonts w:ascii="Times New Roman" w:eastAsia="Times New Roman" w:hAnsi="Times New Roman" w:cs="Times New Roman"/>
          <w:sz w:val="24"/>
          <w:szCs w:val="24"/>
        </w:rPr>
        <w:t>Hiraoka</w:t>
      </w:r>
      <w:proofErr w:type="spellEnd"/>
      <w:r w:rsidRPr="008F63D3">
        <w:rPr>
          <w:rFonts w:ascii="Times New Roman" w:eastAsia="Times New Roman" w:hAnsi="Times New Roman" w:cs="Times New Roman"/>
          <w:sz w:val="24"/>
          <w:szCs w:val="24"/>
        </w:rPr>
        <w:t xml:space="preserve"> et al., 1988) using an assumed value for the entropy change and experimental values for the free energy change determined at one or two temperatures. All of the previous investigations used ion sources based upon the original </w:t>
      </w:r>
      <w:proofErr w:type="spellStart"/>
      <w:r w:rsidRPr="008F63D3">
        <w:rPr>
          <w:rFonts w:ascii="Times New Roman" w:eastAsia="Times New Roman" w:hAnsi="Times New Roman" w:cs="Times New Roman"/>
          <w:sz w:val="24"/>
          <w:szCs w:val="24"/>
        </w:rPr>
        <w:t>Kebarle</w:t>
      </w:r>
      <w:proofErr w:type="spellEnd"/>
      <w:r w:rsidRPr="008F63D3">
        <w:rPr>
          <w:rFonts w:ascii="Times New Roman" w:eastAsia="Times New Roman" w:hAnsi="Times New Roman" w:cs="Times New Roman"/>
          <w:sz w:val="24"/>
          <w:szCs w:val="24"/>
        </w:rPr>
        <w:t xml:space="preserve"> designs and similar to the one used by (</w:t>
      </w:r>
      <w:proofErr w:type="spellStart"/>
      <w:r w:rsidRPr="008F63D3">
        <w:rPr>
          <w:rFonts w:ascii="Times New Roman" w:eastAsia="Times New Roman" w:hAnsi="Times New Roman" w:cs="Times New Roman"/>
          <w:sz w:val="24"/>
          <w:szCs w:val="24"/>
        </w:rPr>
        <w:t>Arshadi</w:t>
      </w:r>
      <w:proofErr w:type="spellEnd"/>
      <w:r w:rsidRPr="008F63D3">
        <w:rPr>
          <w:rFonts w:ascii="Times New Roman" w:eastAsia="Times New Roman" w:hAnsi="Times New Roman" w:cs="Times New Roman"/>
          <w:sz w:val="24"/>
          <w:szCs w:val="24"/>
        </w:rPr>
        <w:t xml:space="preserve"> et al., 1970). The results obtained in these studies are in rather good agreement.</w:t>
      </w:r>
    </w:p>
    <w:p w:rsidR="008F63D3" w:rsidRPr="008F63D3" w:rsidRDefault="008F63D3" w:rsidP="008F63D3">
      <w:pPr>
        <w:spacing w:before="100" w:beforeAutospacing="1" w:after="100" w:afterAutospacing="1" w:line="240" w:lineRule="auto"/>
        <w:rPr>
          <w:rFonts w:ascii="Times New Roman" w:eastAsia="Times New Roman" w:hAnsi="Times New Roman" w:cs="Times New Roman"/>
          <w:sz w:val="24"/>
          <w:szCs w:val="24"/>
        </w:rPr>
      </w:pPr>
      <w:r w:rsidRPr="008F63D3">
        <w:rPr>
          <w:rFonts w:ascii="Times New Roman" w:eastAsia="Times New Roman" w:hAnsi="Times New Roman" w:cs="Times New Roman"/>
          <w:sz w:val="24"/>
          <w:szCs w:val="24"/>
        </w:rPr>
        <w:t>We have tried to extend the range of experimentally observed cluster sizes for Cl</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Br</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and I</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xml:space="preserve"> and the number of hydration steps measured under equilibrium conditions using our newly constructed high-pressure mass spectrometer (</w:t>
      </w:r>
      <w:proofErr w:type="spellStart"/>
      <w:r w:rsidRPr="008F63D3">
        <w:rPr>
          <w:rFonts w:ascii="Times New Roman" w:eastAsia="Times New Roman" w:hAnsi="Times New Roman" w:cs="Times New Roman"/>
          <w:sz w:val="24"/>
          <w:szCs w:val="24"/>
        </w:rPr>
        <w:t>Likholyot</w:t>
      </w:r>
      <w:proofErr w:type="spellEnd"/>
      <w:r w:rsidRPr="008F63D3">
        <w:rPr>
          <w:rFonts w:ascii="Times New Roman" w:eastAsia="Times New Roman" w:hAnsi="Times New Roman" w:cs="Times New Roman"/>
          <w:sz w:val="24"/>
          <w:szCs w:val="24"/>
        </w:rPr>
        <w:t xml:space="preserve"> et al., 2005), which incorporates fundamental design improvements. Our experimental studies have been complimented by density functional theory (DFT) calculations of halide ion water clusters X</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w:t>
      </w:r>
      <w:proofErr w:type="gramStart"/>
      <w:r w:rsidRPr="008F63D3">
        <w:rPr>
          <w:rFonts w:ascii="Times New Roman" w:eastAsia="Times New Roman" w:hAnsi="Times New Roman" w:cs="Times New Roman"/>
          <w:sz w:val="24"/>
          <w:szCs w:val="24"/>
        </w:rPr>
        <w:t>H</w:t>
      </w:r>
      <w:r w:rsidRPr="008F63D3">
        <w:rPr>
          <w:rFonts w:ascii="Times New Roman" w:eastAsia="Times New Roman" w:hAnsi="Times New Roman" w:cs="Times New Roman"/>
          <w:sz w:val="24"/>
          <w:szCs w:val="24"/>
          <w:vertAlign w:val="subscript"/>
        </w:rPr>
        <w:t>2</w:t>
      </w:r>
      <w:r w:rsidRPr="008F63D3">
        <w:rPr>
          <w:rFonts w:ascii="Times New Roman" w:eastAsia="Times New Roman" w:hAnsi="Times New Roman" w:cs="Times New Roman"/>
          <w:sz w:val="24"/>
          <w:szCs w:val="24"/>
        </w:rPr>
        <w:t>O)</w:t>
      </w:r>
      <w:r w:rsidRPr="008F63D3">
        <w:rPr>
          <w:rFonts w:ascii="Times New Roman" w:eastAsia="Times New Roman" w:hAnsi="Times New Roman" w:cs="Times New Roman"/>
          <w:i/>
          <w:iCs/>
          <w:sz w:val="24"/>
          <w:szCs w:val="24"/>
          <w:vertAlign w:val="subscript"/>
        </w:rPr>
        <w:t>n</w:t>
      </w:r>
      <w:proofErr w:type="gramEnd"/>
      <w:r w:rsidRPr="008F63D3">
        <w:rPr>
          <w:rFonts w:ascii="Times New Roman" w:eastAsia="Times New Roman" w:hAnsi="Times New Roman" w:cs="Times New Roman"/>
          <w:sz w:val="24"/>
          <w:szCs w:val="24"/>
        </w:rPr>
        <w:t xml:space="preserve">, (X = Cl, Br, I; </w:t>
      </w:r>
      <w:r w:rsidRPr="008F63D3">
        <w:rPr>
          <w:rFonts w:ascii="Times New Roman" w:eastAsia="Times New Roman" w:hAnsi="Times New Roman" w:cs="Times New Roman"/>
          <w:i/>
          <w:iCs/>
          <w:sz w:val="24"/>
          <w:szCs w:val="24"/>
        </w:rPr>
        <w:t>n</w:t>
      </w:r>
      <w:r w:rsidRPr="008F63D3">
        <w:rPr>
          <w:rFonts w:ascii="Times New Roman" w:eastAsia="Times New Roman" w:hAnsi="Times New Roman" w:cs="Times New Roman"/>
          <w:sz w:val="24"/>
          <w:szCs w:val="24"/>
        </w:rPr>
        <w:t xml:space="preserve"> = 1–8).</w:t>
      </w:r>
    </w:p>
    <w:p w:rsidR="008F63D3" w:rsidRPr="008F63D3" w:rsidRDefault="008F63D3" w:rsidP="008F63D3">
      <w:pPr>
        <w:spacing w:before="100" w:beforeAutospacing="1" w:after="100" w:afterAutospacing="1" w:line="240" w:lineRule="auto"/>
        <w:outlineLvl w:val="1"/>
        <w:rPr>
          <w:rFonts w:ascii="Times New Roman" w:eastAsia="Times New Roman" w:hAnsi="Times New Roman" w:cs="Times New Roman"/>
          <w:b/>
          <w:bCs/>
          <w:sz w:val="36"/>
          <w:szCs w:val="36"/>
        </w:rPr>
      </w:pPr>
      <w:r w:rsidRPr="008F63D3">
        <w:rPr>
          <w:rFonts w:ascii="Times New Roman" w:eastAsia="Times New Roman" w:hAnsi="Times New Roman" w:cs="Times New Roman"/>
          <w:b/>
          <w:bCs/>
          <w:sz w:val="36"/>
          <w:szCs w:val="36"/>
        </w:rPr>
        <w:t>Section snippets</w:t>
      </w:r>
    </w:p>
    <w:p w:rsidR="008F63D3" w:rsidRPr="008F63D3" w:rsidRDefault="008F63D3" w:rsidP="008F63D3">
      <w:pPr>
        <w:spacing w:before="100" w:beforeAutospacing="1" w:after="100" w:afterAutospacing="1" w:line="240" w:lineRule="auto"/>
        <w:outlineLvl w:val="1"/>
        <w:rPr>
          <w:rFonts w:ascii="Times New Roman" w:eastAsia="Times New Roman" w:hAnsi="Times New Roman" w:cs="Times New Roman"/>
          <w:b/>
          <w:bCs/>
          <w:sz w:val="36"/>
          <w:szCs w:val="36"/>
        </w:rPr>
      </w:pPr>
      <w:r w:rsidRPr="008F63D3">
        <w:rPr>
          <w:rFonts w:ascii="Times New Roman" w:eastAsia="Times New Roman" w:hAnsi="Times New Roman" w:cs="Times New Roman"/>
          <w:b/>
          <w:bCs/>
          <w:sz w:val="36"/>
          <w:szCs w:val="36"/>
        </w:rPr>
        <w:t>Calculations</w:t>
      </w:r>
    </w:p>
    <w:p w:rsidR="008F63D3" w:rsidRPr="008F63D3" w:rsidRDefault="008F63D3" w:rsidP="008F63D3">
      <w:pPr>
        <w:spacing w:before="100" w:beforeAutospacing="1" w:after="100" w:afterAutospacing="1" w:line="240" w:lineRule="auto"/>
        <w:rPr>
          <w:rFonts w:ascii="Times New Roman" w:eastAsia="Times New Roman" w:hAnsi="Times New Roman" w:cs="Times New Roman"/>
          <w:sz w:val="24"/>
          <w:szCs w:val="24"/>
        </w:rPr>
      </w:pPr>
      <w:r w:rsidRPr="008F63D3">
        <w:rPr>
          <w:rFonts w:ascii="Times New Roman" w:eastAsia="Times New Roman" w:hAnsi="Times New Roman" w:cs="Times New Roman"/>
          <w:sz w:val="24"/>
          <w:szCs w:val="24"/>
        </w:rPr>
        <w:t>Full geometry optimizations and frequency calculations were performed with the hybrid B3LYP method using GAUSSIAN98 (Frisch et al., 1998) software. The Cl, Br, H, and O atoms were described using GAUSSIAN98’s built-in 6-311++G** basis set that includes polarization and diffuse functions. For iodine the CRENBL ECP effective core potential basis set (</w:t>
      </w:r>
      <w:proofErr w:type="spellStart"/>
      <w:r w:rsidRPr="008F63D3">
        <w:rPr>
          <w:rFonts w:ascii="Times New Roman" w:eastAsia="Times New Roman" w:hAnsi="Times New Roman" w:cs="Times New Roman"/>
          <w:sz w:val="24"/>
          <w:szCs w:val="24"/>
        </w:rPr>
        <w:t>LaJohn</w:t>
      </w:r>
      <w:proofErr w:type="spellEnd"/>
      <w:r w:rsidRPr="008F63D3">
        <w:rPr>
          <w:rFonts w:ascii="Times New Roman" w:eastAsia="Times New Roman" w:hAnsi="Times New Roman" w:cs="Times New Roman"/>
          <w:sz w:val="24"/>
          <w:szCs w:val="24"/>
        </w:rPr>
        <w:t xml:space="preserve"> et al., 1987) was used. Starting with </w:t>
      </w:r>
      <w:r w:rsidRPr="008F63D3">
        <w:rPr>
          <w:rFonts w:ascii="Times New Roman" w:eastAsia="Times New Roman" w:hAnsi="Times New Roman" w:cs="Times New Roman"/>
          <w:i/>
          <w:iCs/>
          <w:sz w:val="24"/>
          <w:szCs w:val="24"/>
        </w:rPr>
        <w:t>n</w:t>
      </w:r>
      <w:r w:rsidRPr="008F63D3">
        <w:rPr>
          <w:rFonts w:ascii="Times New Roman" w:eastAsia="Times New Roman" w:hAnsi="Times New Roman" w:cs="Times New Roman"/>
          <w:sz w:val="24"/>
          <w:szCs w:val="24"/>
        </w:rPr>
        <w:t xml:space="preserve"> = 2, two distinct geometry types were considered for each of the halides: one with the anion</w:t>
      </w:r>
    </w:p>
    <w:p w:rsidR="008F63D3" w:rsidRPr="008F63D3" w:rsidRDefault="008F63D3" w:rsidP="008F63D3">
      <w:pPr>
        <w:spacing w:before="100" w:beforeAutospacing="1" w:after="100" w:afterAutospacing="1" w:line="240" w:lineRule="auto"/>
        <w:outlineLvl w:val="1"/>
        <w:rPr>
          <w:rFonts w:ascii="Times New Roman" w:eastAsia="Times New Roman" w:hAnsi="Times New Roman" w:cs="Times New Roman"/>
          <w:b/>
          <w:bCs/>
          <w:sz w:val="36"/>
          <w:szCs w:val="36"/>
        </w:rPr>
      </w:pPr>
      <w:r w:rsidRPr="008F63D3">
        <w:rPr>
          <w:rFonts w:ascii="Times New Roman" w:eastAsia="Times New Roman" w:hAnsi="Times New Roman" w:cs="Times New Roman"/>
          <w:b/>
          <w:bCs/>
          <w:sz w:val="36"/>
          <w:szCs w:val="36"/>
        </w:rPr>
        <w:lastRenderedPageBreak/>
        <w:t>Experimental</w:t>
      </w:r>
    </w:p>
    <w:p w:rsidR="008F63D3" w:rsidRPr="008F63D3" w:rsidRDefault="008F63D3" w:rsidP="008F63D3">
      <w:pPr>
        <w:spacing w:before="100" w:beforeAutospacing="1" w:after="100" w:afterAutospacing="1" w:line="240" w:lineRule="auto"/>
        <w:rPr>
          <w:rFonts w:ascii="Times New Roman" w:eastAsia="Times New Roman" w:hAnsi="Times New Roman" w:cs="Times New Roman"/>
          <w:sz w:val="24"/>
          <w:szCs w:val="24"/>
        </w:rPr>
      </w:pPr>
      <w:r w:rsidRPr="008F63D3">
        <w:rPr>
          <w:rFonts w:ascii="Times New Roman" w:eastAsia="Times New Roman" w:hAnsi="Times New Roman" w:cs="Times New Roman"/>
          <w:sz w:val="24"/>
          <w:szCs w:val="24"/>
        </w:rPr>
        <w:t>Several problems relating to accuracy of the HPMS method have been previously identified. These problems were considered in our attempt to construct an overall HPMS experiment that would lead to an improved accuracy of thermochemical data. Construction of our HPMS apparatus, detailed discussion of errors associated with HPMS experiments, and description of the experimental procedure are given elsewhere (</w:t>
      </w:r>
      <w:proofErr w:type="spellStart"/>
      <w:r w:rsidRPr="008F63D3">
        <w:rPr>
          <w:rFonts w:ascii="Times New Roman" w:eastAsia="Times New Roman" w:hAnsi="Times New Roman" w:cs="Times New Roman"/>
          <w:sz w:val="24"/>
          <w:szCs w:val="24"/>
        </w:rPr>
        <w:t>Likholyot</w:t>
      </w:r>
      <w:proofErr w:type="spellEnd"/>
      <w:r w:rsidRPr="008F63D3">
        <w:rPr>
          <w:rFonts w:ascii="Times New Roman" w:eastAsia="Times New Roman" w:hAnsi="Times New Roman" w:cs="Times New Roman"/>
          <w:sz w:val="24"/>
          <w:szCs w:val="24"/>
        </w:rPr>
        <w:t xml:space="preserve"> et al., 2005).</w:t>
      </w:r>
    </w:p>
    <w:p w:rsidR="008F63D3" w:rsidRPr="008F63D3" w:rsidRDefault="008F63D3" w:rsidP="008F63D3">
      <w:pPr>
        <w:spacing w:before="100" w:beforeAutospacing="1" w:after="100" w:afterAutospacing="1" w:line="240" w:lineRule="auto"/>
        <w:rPr>
          <w:rFonts w:ascii="Times New Roman" w:eastAsia="Times New Roman" w:hAnsi="Times New Roman" w:cs="Times New Roman"/>
          <w:sz w:val="24"/>
          <w:szCs w:val="24"/>
        </w:rPr>
      </w:pPr>
      <w:r w:rsidRPr="008F63D3">
        <w:rPr>
          <w:rFonts w:ascii="Times New Roman" w:eastAsia="Times New Roman" w:hAnsi="Times New Roman" w:cs="Times New Roman"/>
          <w:sz w:val="24"/>
          <w:szCs w:val="24"/>
        </w:rPr>
        <w:t>Briefly, the samples were prepared by injecting distilled water</w:t>
      </w:r>
    </w:p>
    <w:p w:rsidR="008F63D3" w:rsidRPr="008F63D3" w:rsidRDefault="008F63D3" w:rsidP="008F63D3">
      <w:pPr>
        <w:spacing w:before="100" w:beforeAutospacing="1" w:after="100" w:afterAutospacing="1" w:line="240" w:lineRule="auto"/>
        <w:outlineLvl w:val="1"/>
        <w:rPr>
          <w:rFonts w:ascii="Times New Roman" w:eastAsia="Times New Roman" w:hAnsi="Times New Roman" w:cs="Times New Roman"/>
          <w:b/>
          <w:bCs/>
          <w:sz w:val="36"/>
          <w:szCs w:val="36"/>
        </w:rPr>
      </w:pPr>
      <w:r w:rsidRPr="008F63D3">
        <w:rPr>
          <w:rFonts w:ascii="Times New Roman" w:eastAsia="Times New Roman" w:hAnsi="Times New Roman" w:cs="Times New Roman"/>
          <w:b/>
          <w:bCs/>
          <w:sz w:val="36"/>
          <w:szCs w:val="36"/>
        </w:rPr>
        <w:t>Experimental Results</w:t>
      </w:r>
    </w:p>
    <w:p w:rsidR="008F63D3" w:rsidRPr="008F63D3" w:rsidRDefault="008F63D3" w:rsidP="008F63D3">
      <w:pPr>
        <w:spacing w:before="100" w:beforeAutospacing="1" w:after="100" w:afterAutospacing="1" w:line="240" w:lineRule="auto"/>
        <w:rPr>
          <w:rFonts w:ascii="Times New Roman" w:eastAsia="Times New Roman" w:hAnsi="Times New Roman" w:cs="Times New Roman"/>
          <w:sz w:val="24"/>
          <w:szCs w:val="24"/>
        </w:rPr>
      </w:pPr>
      <w:r w:rsidRPr="008F63D3">
        <w:rPr>
          <w:rFonts w:ascii="Times New Roman" w:eastAsia="Times New Roman" w:hAnsi="Times New Roman" w:cs="Times New Roman"/>
          <w:sz w:val="24"/>
          <w:szCs w:val="24"/>
        </w:rPr>
        <w:t>The results for experimentally measured equilibrium constants for Cl</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Br</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and I</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xml:space="preserve"> stepwise hydration reactions are presented in the </w:t>
      </w:r>
      <w:proofErr w:type="spellStart"/>
      <w:r w:rsidRPr="008F63D3">
        <w:rPr>
          <w:rFonts w:ascii="Times New Roman" w:eastAsia="Times New Roman" w:hAnsi="Times New Roman" w:cs="Times New Roman"/>
          <w:sz w:val="24"/>
          <w:szCs w:val="24"/>
        </w:rPr>
        <w:t>van’t</w:t>
      </w:r>
      <w:proofErr w:type="spellEnd"/>
      <w:r w:rsidRPr="008F63D3">
        <w:rPr>
          <w:rFonts w:ascii="Times New Roman" w:eastAsia="Times New Roman" w:hAnsi="Times New Roman" w:cs="Times New Roman"/>
          <w:sz w:val="24"/>
          <w:szCs w:val="24"/>
        </w:rPr>
        <w:t xml:space="preserve"> Hoff plots shown in Fig. 1, Fig. 2, Fig. 3. For each of these halide ions, one additional solvation step beyond those previously measured was directly achieved. For Cl</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two additional steps were successfully measured. The last measured hydration step (i.e., 7–8) for Cl</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xml:space="preserve"> suffered from unimolecular dissociation. Even at −80°C, the excited fraction for Cl</w:t>
      </w:r>
      <w:r w:rsidRPr="008F63D3">
        <w:rPr>
          <w:rFonts w:ascii="Times New Roman" w:eastAsia="Times New Roman" w:hAnsi="Times New Roman" w:cs="Times New Roman"/>
          <w:sz w:val="24"/>
          <w:szCs w:val="24"/>
          <w:vertAlign w:val="superscript"/>
        </w:rPr>
        <w:t>−</w:t>
      </w:r>
    </w:p>
    <w:p w:rsidR="008F63D3" w:rsidRPr="008F63D3" w:rsidRDefault="008F63D3" w:rsidP="008F63D3">
      <w:pPr>
        <w:spacing w:before="100" w:beforeAutospacing="1" w:after="100" w:afterAutospacing="1" w:line="240" w:lineRule="auto"/>
        <w:outlineLvl w:val="1"/>
        <w:rPr>
          <w:rFonts w:ascii="Times New Roman" w:eastAsia="Times New Roman" w:hAnsi="Times New Roman" w:cs="Times New Roman"/>
          <w:b/>
          <w:bCs/>
          <w:sz w:val="36"/>
          <w:szCs w:val="36"/>
        </w:rPr>
      </w:pPr>
      <w:r w:rsidRPr="008F63D3">
        <w:rPr>
          <w:rFonts w:ascii="Times New Roman" w:eastAsia="Times New Roman" w:hAnsi="Times New Roman" w:cs="Times New Roman"/>
          <w:b/>
          <w:bCs/>
          <w:sz w:val="36"/>
          <w:szCs w:val="36"/>
        </w:rPr>
        <w:t>Conclusions</w:t>
      </w:r>
    </w:p>
    <w:p w:rsidR="008F63D3" w:rsidRPr="008F63D3" w:rsidRDefault="008F63D3" w:rsidP="008F63D3">
      <w:pPr>
        <w:spacing w:before="100" w:beforeAutospacing="1" w:after="100" w:afterAutospacing="1" w:line="240" w:lineRule="auto"/>
        <w:rPr>
          <w:rFonts w:ascii="Times New Roman" w:eastAsia="Times New Roman" w:hAnsi="Times New Roman" w:cs="Times New Roman"/>
          <w:sz w:val="24"/>
          <w:szCs w:val="24"/>
        </w:rPr>
      </w:pPr>
      <w:r w:rsidRPr="008F63D3">
        <w:rPr>
          <w:rFonts w:ascii="Times New Roman" w:eastAsia="Times New Roman" w:hAnsi="Times New Roman" w:cs="Times New Roman"/>
          <w:sz w:val="24"/>
          <w:szCs w:val="24"/>
        </w:rPr>
        <w:t xml:space="preserve">Stepwise hydration reactions of halide ion water clusters were investigated using a newly constructed high-pressure mass spectrometer. Clusters of larger size than have been previously reported were observed and studied. The largest experimentally observed clusters were </w:t>
      </w:r>
      <w:r w:rsidRPr="008F63D3">
        <w:rPr>
          <w:rFonts w:ascii="Times New Roman" w:eastAsia="Times New Roman" w:hAnsi="Times New Roman" w:cs="Times New Roman"/>
          <w:i/>
          <w:iCs/>
          <w:sz w:val="24"/>
          <w:szCs w:val="24"/>
        </w:rPr>
        <w:t>n</w:t>
      </w:r>
      <w:r w:rsidRPr="008F63D3">
        <w:rPr>
          <w:rFonts w:ascii="Times New Roman" w:eastAsia="Times New Roman" w:hAnsi="Times New Roman" w:cs="Times New Roman"/>
          <w:sz w:val="24"/>
          <w:szCs w:val="24"/>
        </w:rPr>
        <w:t xml:space="preserve"> = 8 for Cl</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xml:space="preserve">, </w:t>
      </w:r>
      <w:r w:rsidRPr="008F63D3">
        <w:rPr>
          <w:rFonts w:ascii="Times New Roman" w:eastAsia="Times New Roman" w:hAnsi="Times New Roman" w:cs="Times New Roman"/>
          <w:i/>
          <w:iCs/>
          <w:sz w:val="24"/>
          <w:szCs w:val="24"/>
        </w:rPr>
        <w:t>n</w:t>
      </w:r>
      <w:r w:rsidRPr="008F63D3">
        <w:rPr>
          <w:rFonts w:ascii="Times New Roman" w:eastAsia="Times New Roman" w:hAnsi="Times New Roman" w:cs="Times New Roman"/>
          <w:sz w:val="24"/>
          <w:szCs w:val="24"/>
        </w:rPr>
        <w:t xml:space="preserve"> = 7 for Br</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xml:space="preserve">, and </w:t>
      </w:r>
      <w:r w:rsidRPr="008F63D3">
        <w:rPr>
          <w:rFonts w:ascii="Times New Roman" w:eastAsia="Times New Roman" w:hAnsi="Times New Roman" w:cs="Times New Roman"/>
          <w:i/>
          <w:iCs/>
          <w:sz w:val="24"/>
          <w:szCs w:val="24"/>
        </w:rPr>
        <w:t>n</w:t>
      </w:r>
      <w:r w:rsidRPr="008F63D3">
        <w:rPr>
          <w:rFonts w:ascii="Times New Roman" w:eastAsia="Times New Roman" w:hAnsi="Times New Roman" w:cs="Times New Roman"/>
          <w:sz w:val="24"/>
          <w:szCs w:val="24"/>
        </w:rPr>
        <w:t xml:space="preserve"> = 5 for I</w:t>
      </w:r>
      <w:r w:rsidRPr="008F63D3">
        <w:rPr>
          <w:rFonts w:ascii="Times New Roman" w:eastAsia="Times New Roman" w:hAnsi="Times New Roman" w:cs="Times New Roman"/>
          <w:sz w:val="24"/>
          <w:szCs w:val="24"/>
          <w:vertAlign w:val="superscript"/>
        </w:rPr>
        <w:t>−</w:t>
      </w:r>
      <w:r w:rsidRPr="008F63D3">
        <w:rPr>
          <w:rFonts w:ascii="Times New Roman" w:eastAsia="Times New Roman" w:hAnsi="Times New Roman" w:cs="Times New Roman"/>
          <w:sz w:val="24"/>
          <w:szCs w:val="24"/>
        </w:rPr>
        <w:t>. Stepwise enthalpy and entropy changes calculated from these experimental data show a non-monotonic dependence on cluster size. Comparison of the results of DFT calculations for</w:t>
      </w:r>
    </w:p>
    <w:p w:rsidR="008F63D3" w:rsidRPr="008F63D3" w:rsidRDefault="008F63D3" w:rsidP="008F63D3">
      <w:pPr>
        <w:spacing w:before="100" w:beforeAutospacing="1" w:after="100" w:afterAutospacing="1" w:line="240" w:lineRule="auto"/>
        <w:outlineLvl w:val="1"/>
        <w:rPr>
          <w:rFonts w:ascii="Times New Roman" w:eastAsia="Times New Roman" w:hAnsi="Times New Roman" w:cs="Times New Roman"/>
          <w:b/>
          <w:bCs/>
          <w:sz w:val="36"/>
          <w:szCs w:val="36"/>
        </w:rPr>
      </w:pPr>
      <w:r w:rsidRPr="008F63D3">
        <w:rPr>
          <w:rFonts w:ascii="Times New Roman" w:eastAsia="Times New Roman" w:hAnsi="Times New Roman" w:cs="Times New Roman"/>
          <w:b/>
          <w:bCs/>
          <w:sz w:val="36"/>
          <w:szCs w:val="36"/>
        </w:rPr>
        <w:t>Acknowledgments</w:t>
      </w:r>
    </w:p>
    <w:p w:rsidR="008F63D3" w:rsidRPr="008F63D3" w:rsidRDefault="008F63D3" w:rsidP="008F63D3">
      <w:pPr>
        <w:spacing w:before="100" w:beforeAutospacing="1" w:after="100" w:afterAutospacing="1" w:line="240" w:lineRule="auto"/>
        <w:rPr>
          <w:rFonts w:ascii="Times New Roman" w:eastAsia="Times New Roman" w:hAnsi="Times New Roman" w:cs="Times New Roman"/>
          <w:sz w:val="24"/>
          <w:szCs w:val="24"/>
        </w:rPr>
      </w:pPr>
      <w:r w:rsidRPr="008F63D3">
        <w:rPr>
          <w:rFonts w:ascii="Times New Roman" w:eastAsia="Times New Roman" w:hAnsi="Times New Roman" w:cs="Times New Roman"/>
          <w:sz w:val="24"/>
          <w:szCs w:val="24"/>
        </w:rPr>
        <w:t>This research was supported by grants from the Swiss National Science Foundation (SNF) and the ETH Research Commission.</w:t>
      </w:r>
    </w:p>
    <w:p w:rsidR="007A1669" w:rsidRDefault="007A1669"/>
    <w:sectPr w:rsidR="007A1669">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63D3"/>
    <w:rsid w:val="007A1669"/>
    <w:rsid w:val="008F63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406B26"/>
  <w15:chartTrackingRefBased/>
  <w15:docId w15:val="{65AA0CD7-38F3-40D2-9323-3084C7A3A3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59408083">
      <w:bodyDiv w:val="1"/>
      <w:marLeft w:val="0"/>
      <w:marRight w:val="0"/>
      <w:marTop w:val="0"/>
      <w:marBottom w:val="0"/>
      <w:divBdr>
        <w:top w:val="none" w:sz="0" w:space="0" w:color="auto"/>
        <w:left w:val="none" w:sz="0" w:space="0" w:color="auto"/>
        <w:bottom w:val="none" w:sz="0" w:space="0" w:color="auto"/>
        <w:right w:val="none" w:sz="0" w:space="0" w:color="auto"/>
      </w:divBdr>
      <w:divsChild>
        <w:div w:id="574366010">
          <w:marLeft w:val="0"/>
          <w:marRight w:val="0"/>
          <w:marTop w:val="0"/>
          <w:marBottom w:val="0"/>
          <w:divBdr>
            <w:top w:val="none" w:sz="0" w:space="0" w:color="auto"/>
            <w:left w:val="none" w:sz="0" w:space="0" w:color="auto"/>
            <w:bottom w:val="none" w:sz="0" w:space="0" w:color="auto"/>
            <w:right w:val="none" w:sz="0" w:space="0" w:color="auto"/>
          </w:divBdr>
          <w:divsChild>
            <w:div w:id="1209873636">
              <w:marLeft w:val="0"/>
              <w:marRight w:val="0"/>
              <w:marTop w:val="0"/>
              <w:marBottom w:val="0"/>
              <w:divBdr>
                <w:top w:val="none" w:sz="0" w:space="0" w:color="auto"/>
                <w:left w:val="none" w:sz="0" w:space="0" w:color="auto"/>
                <w:bottom w:val="none" w:sz="0" w:space="0" w:color="auto"/>
                <w:right w:val="none" w:sz="0" w:space="0" w:color="auto"/>
              </w:divBdr>
              <w:divsChild>
                <w:div w:id="941380916">
                  <w:marLeft w:val="0"/>
                  <w:marRight w:val="0"/>
                  <w:marTop w:val="0"/>
                  <w:marBottom w:val="0"/>
                  <w:divBdr>
                    <w:top w:val="none" w:sz="0" w:space="0" w:color="auto"/>
                    <w:left w:val="none" w:sz="0" w:space="0" w:color="auto"/>
                    <w:bottom w:val="none" w:sz="0" w:space="0" w:color="auto"/>
                    <w:right w:val="none" w:sz="0" w:space="0" w:color="auto"/>
                  </w:divBdr>
                  <w:divsChild>
                    <w:div w:id="1712529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435578">
          <w:marLeft w:val="0"/>
          <w:marRight w:val="0"/>
          <w:marTop w:val="0"/>
          <w:marBottom w:val="0"/>
          <w:divBdr>
            <w:top w:val="none" w:sz="0" w:space="0" w:color="auto"/>
            <w:left w:val="none" w:sz="0" w:space="0" w:color="auto"/>
            <w:bottom w:val="none" w:sz="0" w:space="0" w:color="auto"/>
            <w:right w:val="none" w:sz="0" w:space="0" w:color="auto"/>
          </w:divBdr>
          <w:divsChild>
            <w:div w:id="1156191534">
              <w:marLeft w:val="0"/>
              <w:marRight w:val="0"/>
              <w:marTop w:val="0"/>
              <w:marBottom w:val="0"/>
              <w:divBdr>
                <w:top w:val="none" w:sz="0" w:space="0" w:color="auto"/>
                <w:left w:val="none" w:sz="0" w:space="0" w:color="auto"/>
                <w:bottom w:val="none" w:sz="0" w:space="0" w:color="auto"/>
                <w:right w:val="none" w:sz="0" w:space="0" w:color="auto"/>
              </w:divBdr>
              <w:divsChild>
                <w:div w:id="433668489">
                  <w:marLeft w:val="0"/>
                  <w:marRight w:val="0"/>
                  <w:marTop w:val="0"/>
                  <w:marBottom w:val="0"/>
                  <w:divBdr>
                    <w:top w:val="none" w:sz="0" w:space="0" w:color="auto"/>
                    <w:left w:val="none" w:sz="0" w:space="0" w:color="auto"/>
                    <w:bottom w:val="none" w:sz="0" w:space="0" w:color="auto"/>
                    <w:right w:val="none" w:sz="0" w:space="0" w:color="auto"/>
                  </w:divBdr>
                  <w:divsChild>
                    <w:div w:id="1338734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101316">
          <w:marLeft w:val="0"/>
          <w:marRight w:val="0"/>
          <w:marTop w:val="0"/>
          <w:marBottom w:val="0"/>
          <w:divBdr>
            <w:top w:val="none" w:sz="0" w:space="0" w:color="auto"/>
            <w:left w:val="none" w:sz="0" w:space="0" w:color="auto"/>
            <w:bottom w:val="none" w:sz="0" w:space="0" w:color="auto"/>
            <w:right w:val="none" w:sz="0" w:space="0" w:color="auto"/>
          </w:divBdr>
          <w:divsChild>
            <w:div w:id="1080639691">
              <w:marLeft w:val="0"/>
              <w:marRight w:val="0"/>
              <w:marTop w:val="0"/>
              <w:marBottom w:val="0"/>
              <w:divBdr>
                <w:top w:val="none" w:sz="0" w:space="0" w:color="auto"/>
                <w:left w:val="none" w:sz="0" w:space="0" w:color="auto"/>
                <w:bottom w:val="none" w:sz="0" w:space="0" w:color="auto"/>
                <w:right w:val="none" w:sz="0" w:space="0" w:color="auto"/>
              </w:divBdr>
            </w:div>
          </w:divsChild>
        </w:div>
        <w:div w:id="1954286423">
          <w:marLeft w:val="0"/>
          <w:marRight w:val="0"/>
          <w:marTop w:val="0"/>
          <w:marBottom w:val="0"/>
          <w:divBdr>
            <w:top w:val="none" w:sz="0" w:space="0" w:color="auto"/>
            <w:left w:val="none" w:sz="0" w:space="0" w:color="auto"/>
            <w:bottom w:val="none" w:sz="0" w:space="0" w:color="auto"/>
            <w:right w:val="none" w:sz="0" w:space="0" w:color="auto"/>
          </w:divBdr>
          <w:divsChild>
            <w:div w:id="1477913559">
              <w:marLeft w:val="0"/>
              <w:marRight w:val="0"/>
              <w:marTop w:val="0"/>
              <w:marBottom w:val="0"/>
              <w:divBdr>
                <w:top w:val="none" w:sz="0" w:space="0" w:color="auto"/>
                <w:left w:val="none" w:sz="0" w:space="0" w:color="auto"/>
                <w:bottom w:val="none" w:sz="0" w:space="0" w:color="auto"/>
                <w:right w:val="none" w:sz="0" w:space="0" w:color="auto"/>
              </w:divBdr>
            </w:div>
          </w:divsChild>
        </w:div>
        <w:div w:id="1555001877">
          <w:marLeft w:val="0"/>
          <w:marRight w:val="0"/>
          <w:marTop w:val="0"/>
          <w:marBottom w:val="0"/>
          <w:divBdr>
            <w:top w:val="none" w:sz="0" w:space="0" w:color="auto"/>
            <w:left w:val="none" w:sz="0" w:space="0" w:color="auto"/>
            <w:bottom w:val="none" w:sz="0" w:space="0" w:color="auto"/>
            <w:right w:val="none" w:sz="0" w:space="0" w:color="auto"/>
          </w:divBdr>
          <w:divsChild>
            <w:div w:id="636305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hydrogen-bond"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halid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density-functional-theory" TargetMode="External"/><Relationship Id="rId5" Type="http://schemas.openxmlformats.org/officeDocument/2006/relationships/hyperlink" Target="https://www.sciencedirect.com/topics/earth-and-planetary-sciences/thermochemistry" TargetMode="External"/><Relationship Id="rId10" Type="http://schemas.openxmlformats.org/officeDocument/2006/relationships/theme" Target="theme/theme1.xml"/><Relationship Id="rId4" Type="http://schemas.openxmlformats.org/officeDocument/2006/relationships/hyperlink" Target="https://doi.org/10.1016/j.gca.2004.12.014"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1437</Words>
  <Characters>8193</Characters>
  <Application>Microsoft Office Word</Application>
  <DocSecurity>0</DocSecurity>
  <Lines>68</Lines>
  <Paragraphs>19</Paragraphs>
  <ScaleCrop>false</ScaleCrop>
  <Company/>
  <LinksUpToDate>false</LinksUpToDate>
  <CharactersWithSpaces>9611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2023-11-18T08:42:00Z</dcterms:created>
  <dcterms:modified xsi:type="dcterms:W3CDTF">2023-11-18T08:42:00Z</dcterms:modified>
</cp:coreProperties>
</file>