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1C2C0B" w:rsidRPr="001C2C0B" w:rsidRDefault="001C2C0B" w:rsidP="001C2C0B">
      <w:pPr>
        <w:spacing w:before="100" w:beforeAutospacing="1" w:after="100" w:afterAutospacing="1" w:line="240" w:lineRule="auto"/>
        <w:outlineLvl w:val="0"/>
        <w:rPr>
          <w:rFonts w:ascii="Times New Roman" w:eastAsia="Times New Roman" w:hAnsi="Times New Roman" w:cs="Times New Roman"/>
          <w:b/>
          <w:bCs/>
          <w:kern w:val="36"/>
          <w:sz w:val="48"/>
          <w:szCs w:val="48"/>
        </w:rPr>
      </w:pPr>
      <w:r w:rsidRPr="001C2C0B">
        <w:rPr>
          <w:rFonts w:ascii="Times New Roman" w:eastAsia="Times New Roman" w:hAnsi="Times New Roman" w:cs="Times New Roman"/>
          <w:b/>
          <w:bCs/>
          <w:kern w:val="36"/>
          <w:sz w:val="48"/>
          <w:szCs w:val="48"/>
        </w:rPr>
        <w:t>Effects of phosphate ions on intergranular pressure solution in calcite: An experimental study</w:t>
      </w:r>
    </w:p>
    <w:p w:rsidR="001C2C0B" w:rsidRPr="001C2C0B" w:rsidRDefault="001C2C0B" w:rsidP="001C2C0B">
      <w:pPr>
        <w:spacing w:after="0" w:line="240" w:lineRule="auto"/>
        <w:rPr>
          <w:rFonts w:ascii="Times New Roman" w:eastAsia="Times New Roman" w:hAnsi="Times New Roman" w:cs="Times New Roman"/>
          <w:sz w:val="24"/>
          <w:szCs w:val="24"/>
        </w:rPr>
      </w:pPr>
      <w:r w:rsidRPr="001C2C0B">
        <w:rPr>
          <w:rFonts w:ascii="Times New Roman" w:eastAsia="Times New Roman" w:hAnsi="Times New Roman" w:cs="Times New Roman"/>
          <w:sz w:val="24"/>
          <w:szCs w:val="24"/>
        </w:rPr>
        <w:t>Author links open overlay panel</w:t>
      </w:r>
    </w:p>
    <w:p w:rsidR="001C2C0B" w:rsidRPr="001C2C0B" w:rsidRDefault="001C2C0B" w:rsidP="001C2C0B">
      <w:pPr>
        <w:spacing w:after="0" w:line="240" w:lineRule="auto"/>
        <w:rPr>
          <w:rFonts w:ascii="Times New Roman" w:eastAsia="Times New Roman" w:hAnsi="Times New Roman" w:cs="Times New Roman"/>
          <w:sz w:val="24"/>
          <w:szCs w:val="24"/>
        </w:rPr>
      </w:pPr>
      <w:r w:rsidRPr="001C2C0B">
        <w:rPr>
          <w:rFonts w:ascii="Times New Roman" w:eastAsia="Times New Roman" w:hAnsi="Times New Roman" w:cs="Times New Roman"/>
          <w:sz w:val="24"/>
          <w:szCs w:val="24"/>
        </w:rPr>
        <w:t xml:space="preserve">, </w:t>
      </w:r>
    </w:p>
    <w:p w:rsidR="001C2C0B" w:rsidRPr="001C2C0B" w:rsidRDefault="001C2C0B" w:rsidP="001C2C0B">
      <w:pPr>
        <w:spacing w:after="0" w:line="240" w:lineRule="auto"/>
        <w:rPr>
          <w:rFonts w:ascii="Times New Roman" w:eastAsia="Times New Roman" w:hAnsi="Times New Roman" w:cs="Times New Roman"/>
          <w:sz w:val="24"/>
          <w:szCs w:val="24"/>
        </w:rPr>
      </w:pPr>
      <w:hyperlink r:id="rId5" w:tgtFrame="_blank" w:tooltip="Persistent link using digital object identifier" w:history="1">
        <w:r w:rsidRPr="001C2C0B">
          <w:rPr>
            <w:rFonts w:ascii="Times New Roman" w:eastAsia="Times New Roman" w:hAnsi="Times New Roman" w:cs="Times New Roman"/>
            <w:color w:val="0000FF"/>
            <w:sz w:val="24"/>
            <w:szCs w:val="24"/>
            <w:u w:val="single"/>
          </w:rPr>
          <w:t>https://doi.org/10.1016/j.gca.2005.08.006</w:t>
        </w:r>
      </w:hyperlink>
      <w:bookmarkStart w:id="0" w:name="_GoBack"/>
      <w:bookmarkEnd w:id="0"/>
      <w:r w:rsidRPr="001C2C0B">
        <w:rPr>
          <w:rFonts w:ascii="Times New Roman" w:eastAsia="Times New Roman" w:hAnsi="Times New Roman" w:cs="Times New Roman"/>
          <w:sz w:val="24"/>
          <w:szCs w:val="24"/>
        </w:rPr>
        <w:t xml:space="preserve"> </w:t>
      </w:r>
    </w:p>
    <w:p w:rsidR="001C2C0B" w:rsidRPr="001C2C0B" w:rsidRDefault="001C2C0B" w:rsidP="001C2C0B">
      <w:pPr>
        <w:spacing w:before="100" w:beforeAutospacing="1" w:after="100" w:afterAutospacing="1" w:line="240" w:lineRule="auto"/>
        <w:outlineLvl w:val="1"/>
        <w:rPr>
          <w:rFonts w:ascii="Times New Roman" w:eastAsia="Times New Roman" w:hAnsi="Times New Roman" w:cs="Times New Roman"/>
          <w:b/>
          <w:bCs/>
          <w:sz w:val="36"/>
          <w:szCs w:val="36"/>
        </w:rPr>
      </w:pPr>
      <w:r w:rsidRPr="001C2C0B">
        <w:rPr>
          <w:rFonts w:ascii="Times New Roman" w:eastAsia="Times New Roman" w:hAnsi="Times New Roman" w:cs="Times New Roman"/>
          <w:b/>
          <w:bCs/>
          <w:sz w:val="36"/>
          <w:szCs w:val="36"/>
        </w:rPr>
        <w:t>Abstract</w:t>
      </w:r>
    </w:p>
    <w:p w:rsidR="001C2C0B" w:rsidRPr="001C2C0B" w:rsidRDefault="001C2C0B" w:rsidP="001C2C0B">
      <w:pPr>
        <w:spacing w:before="100" w:beforeAutospacing="1" w:after="100" w:afterAutospacing="1" w:line="240" w:lineRule="auto"/>
        <w:rPr>
          <w:rFonts w:ascii="Times New Roman" w:eastAsia="Times New Roman" w:hAnsi="Times New Roman" w:cs="Times New Roman"/>
          <w:sz w:val="24"/>
          <w:szCs w:val="24"/>
        </w:rPr>
      </w:pPr>
      <w:r w:rsidRPr="001C2C0B">
        <w:rPr>
          <w:rFonts w:ascii="Times New Roman" w:eastAsia="Times New Roman" w:hAnsi="Times New Roman" w:cs="Times New Roman"/>
          <w:sz w:val="24"/>
          <w:szCs w:val="24"/>
        </w:rPr>
        <w:t xml:space="preserve">Intergranular pressure solution (IPS) is a coupled chemical-mechanical process of widespread importance that occurs during diagenesis and low-temperature deformation of sedimentary rocks. Laboratory experiments on IPS in </w:t>
      </w:r>
      <w:hyperlink r:id="rId6" w:tooltip="Learn more about halite from ScienceDirect's AI-generated Topic Pages" w:history="1">
        <w:r w:rsidRPr="001C2C0B">
          <w:rPr>
            <w:rFonts w:ascii="Times New Roman" w:eastAsia="Times New Roman" w:hAnsi="Times New Roman" w:cs="Times New Roman"/>
            <w:color w:val="0000FF"/>
            <w:sz w:val="24"/>
            <w:szCs w:val="24"/>
            <w:u w:val="single"/>
          </w:rPr>
          <w:t>halite</w:t>
        </w:r>
      </w:hyperlink>
      <w:r w:rsidRPr="001C2C0B">
        <w:rPr>
          <w:rFonts w:ascii="Times New Roman" w:eastAsia="Times New Roman" w:hAnsi="Times New Roman" w:cs="Times New Roman"/>
          <w:sz w:val="24"/>
          <w:szCs w:val="24"/>
        </w:rPr>
        <w:t xml:space="preserve">, quartz, and calcite have largely concentrated on the mechanical aspects of the process. In this study, we report the effects of pore fluid chemistry, specifically varying phosphate </w:t>
      </w:r>
      <w:hyperlink r:id="rId7" w:tooltip="Learn more about ion concentration from ScienceDirect's AI-generated Topic Pages" w:history="1">
        <w:r w:rsidRPr="001C2C0B">
          <w:rPr>
            <w:rFonts w:ascii="Times New Roman" w:eastAsia="Times New Roman" w:hAnsi="Times New Roman" w:cs="Times New Roman"/>
            <w:color w:val="0000FF"/>
            <w:sz w:val="24"/>
            <w:szCs w:val="24"/>
            <w:u w:val="single"/>
          </w:rPr>
          <w:t>ion concentration</w:t>
        </w:r>
      </w:hyperlink>
      <w:r w:rsidRPr="001C2C0B">
        <w:rPr>
          <w:rFonts w:ascii="Times New Roman" w:eastAsia="Times New Roman" w:hAnsi="Times New Roman" w:cs="Times New Roman"/>
          <w:sz w:val="24"/>
          <w:szCs w:val="24"/>
        </w:rPr>
        <w:t xml:space="preserve">, on the mechanical compaction by IPS of fine-grained calcite powders at room temperature and 1 to 4 MPa applied effective stress. Phosphate was investigated because of its importance as a biogenic constituent of sea and </w:t>
      </w:r>
      <w:hyperlink r:id="rId8" w:tooltip="Learn more about pore waters from ScienceDirect's AI-generated Topic Pages" w:history="1">
        <w:r w:rsidRPr="001C2C0B">
          <w:rPr>
            <w:rFonts w:ascii="Times New Roman" w:eastAsia="Times New Roman" w:hAnsi="Times New Roman" w:cs="Times New Roman"/>
            <w:color w:val="0000FF"/>
            <w:sz w:val="24"/>
            <w:szCs w:val="24"/>
            <w:u w:val="single"/>
          </w:rPr>
          <w:t>pore waters</w:t>
        </w:r>
      </w:hyperlink>
      <w:r w:rsidRPr="001C2C0B">
        <w:rPr>
          <w:rFonts w:ascii="Times New Roman" w:eastAsia="Times New Roman" w:hAnsi="Times New Roman" w:cs="Times New Roman"/>
          <w:sz w:val="24"/>
          <w:szCs w:val="24"/>
        </w:rPr>
        <w:t>. Increasing the pore fluid phosphate concentration from 0 to 10</w:t>
      </w:r>
      <w:r w:rsidRPr="001C2C0B">
        <w:rPr>
          <w:rFonts w:ascii="Times New Roman" w:eastAsia="Times New Roman" w:hAnsi="Times New Roman" w:cs="Times New Roman"/>
          <w:sz w:val="24"/>
          <w:szCs w:val="24"/>
          <w:vertAlign w:val="superscript"/>
        </w:rPr>
        <w:t>−3</w:t>
      </w:r>
      <w:r w:rsidRPr="001C2C0B">
        <w:rPr>
          <w:rFonts w:ascii="Times New Roman" w:eastAsia="Times New Roman" w:hAnsi="Times New Roman" w:cs="Times New Roman"/>
          <w:sz w:val="24"/>
          <w:szCs w:val="24"/>
        </w:rPr>
        <w:t xml:space="preserve"> mol/L systematically reduced compaction strain rates by up to two orders of magnitude. The sensitivity of the compaction strain rate to phosphate concentration was the same as the sensitivity of calcite precipitation rates to the addition of phosphate ions reported in the literature, suggesting that the rate of IPS in phosphate-bearing samples was controlled by calcite precipitation on pore walls. The results imply that IPS and associated porosity/permeability reduction rates in calcite sediments may be strongly reduced when pore fluids are enriched in phosphates, for example, through high biologic productivity or a seawater origin. Future modeling of IPS-related processes in carbonates must therefore take into account the effects of pore fluid chemistry, specifically the inhibition of interfacial reactions.</w:t>
      </w:r>
    </w:p>
    <w:p w:rsidR="001C2C0B" w:rsidRPr="001C2C0B" w:rsidRDefault="001C2C0B" w:rsidP="001C2C0B">
      <w:pPr>
        <w:spacing w:before="100" w:beforeAutospacing="1" w:after="100" w:afterAutospacing="1" w:line="240" w:lineRule="auto"/>
        <w:outlineLvl w:val="1"/>
        <w:rPr>
          <w:rFonts w:ascii="Times New Roman" w:eastAsia="Times New Roman" w:hAnsi="Times New Roman" w:cs="Times New Roman"/>
          <w:b/>
          <w:bCs/>
          <w:sz w:val="36"/>
          <w:szCs w:val="36"/>
        </w:rPr>
      </w:pPr>
      <w:r w:rsidRPr="001C2C0B">
        <w:rPr>
          <w:rFonts w:ascii="Times New Roman" w:eastAsia="Times New Roman" w:hAnsi="Times New Roman" w:cs="Times New Roman"/>
          <w:b/>
          <w:bCs/>
          <w:sz w:val="36"/>
          <w:szCs w:val="36"/>
        </w:rPr>
        <w:t>Introduction</w:t>
      </w:r>
    </w:p>
    <w:p w:rsidR="001C2C0B" w:rsidRPr="001C2C0B" w:rsidRDefault="001C2C0B" w:rsidP="001C2C0B">
      <w:pPr>
        <w:spacing w:before="100" w:beforeAutospacing="1" w:after="100" w:afterAutospacing="1" w:line="240" w:lineRule="auto"/>
        <w:rPr>
          <w:rFonts w:ascii="Times New Roman" w:eastAsia="Times New Roman" w:hAnsi="Times New Roman" w:cs="Times New Roman"/>
          <w:sz w:val="24"/>
          <w:szCs w:val="24"/>
        </w:rPr>
      </w:pPr>
      <w:r w:rsidRPr="001C2C0B">
        <w:rPr>
          <w:rFonts w:ascii="Times New Roman" w:eastAsia="Times New Roman" w:hAnsi="Times New Roman" w:cs="Times New Roman"/>
          <w:sz w:val="24"/>
          <w:szCs w:val="24"/>
        </w:rPr>
        <w:t xml:space="preserve">Aside from the direct mechanical effects of pore fluid pressure on the brittle/frictional and </w:t>
      </w:r>
      <w:proofErr w:type="spellStart"/>
      <w:r w:rsidRPr="001C2C0B">
        <w:rPr>
          <w:rFonts w:ascii="Times New Roman" w:eastAsia="Times New Roman" w:hAnsi="Times New Roman" w:cs="Times New Roman"/>
          <w:sz w:val="24"/>
          <w:szCs w:val="24"/>
        </w:rPr>
        <w:t>poroelastic</w:t>
      </w:r>
      <w:proofErr w:type="spellEnd"/>
      <w:r w:rsidRPr="001C2C0B">
        <w:rPr>
          <w:rFonts w:ascii="Times New Roman" w:eastAsia="Times New Roman" w:hAnsi="Times New Roman" w:cs="Times New Roman"/>
          <w:sz w:val="24"/>
          <w:szCs w:val="24"/>
        </w:rPr>
        <w:t xml:space="preserve"> </w:t>
      </w:r>
      <w:proofErr w:type="spellStart"/>
      <w:r w:rsidRPr="001C2C0B">
        <w:rPr>
          <w:rFonts w:ascii="Times New Roman" w:eastAsia="Times New Roman" w:hAnsi="Times New Roman" w:cs="Times New Roman"/>
          <w:sz w:val="24"/>
          <w:szCs w:val="24"/>
        </w:rPr>
        <w:t>behaviour</w:t>
      </w:r>
      <w:proofErr w:type="spellEnd"/>
      <w:r w:rsidRPr="001C2C0B">
        <w:rPr>
          <w:rFonts w:ascii="Times New Roman" w:eastAsia="Times New Roman" w:hAnsi="Times New Roman" w:cs="Times New Roman"/>
          <w:sz w:val="24"/>
          <w:szCs w:val="24"/>
        </w:rPr>
        <w:t xml:space="preserve"> of rocks (Hubbert and </w:t>
      </w:r>
      <w:proofErr w:type="spellStart"/>
      <w:r w:rsidRPr="001C2C0B">
        <w:rPr>
          <w:rFonts w:ascii="Times New Roman" w:eastAsia="Times New Roman" w:hAnsi="Times New Roman" w:cs="Times New Roman"/>
          <w:sz w:val="24"/>
          <w:szCs w:val="24"/>
        </w:rPr>
        <w:t>Rubey</w:t>
      </w:r>
      <w:proofErr w:type="spellEnd"/>
      <w:r w:rsidRPr="001C2C0B">
        <w:rPr>
          <w:rFonts w:ascii="Times New Roman" w:eastAsia="Times New Roman" w:hAnsi="Times New Roman" w:cs="Times New Roman"/>
          <w:sz w:val="24"/>
          <w:szCs w:val="24"/>
        </w:rPr>
        <w:t xml:space="preserve"> 1959, </w:t>
      </w:r>
      <w:proofErr w:type="spellStart"/>
      <w:r w:rsidRPr="001C2C0B">
        <w:rPr>
          <w:rFonts w:ascii="Times New Roman" w:eastAsia="Times New Roman" w:hAnsi="Times New Roman" w:cs="Times New Roman"/>
          <w:sz w:val="24"/>
          <w:szCs w:val="24"/>
        </w:rPr>
        <w:t>Byerlee</w:t>
      </w:r>
      <w:proofErr w:type="spellEnd"/>
      <w:r w:rsidRPr="001C2C0B">
        <w:rPr>
          <w:rFonts w:ascii="Times New Roman" w:eastAsia="Times New Roman" w:hAnsi="Times New Roman" w:cs="Times New Roman"/>
          <w:sz w:val="24"/>
          <w:szCs w:val="24"/>
        </w:rPr>
        <w:t xml:space="preserve"> 1993, Sibson 1994, Wang 2000), pore fluid plays a crucial chemical role in controlling time-dependent rock compaction and deformation. One of the most important mechanisms of fluid-rock interaction in upper crustal environments is intergranular pressure solution (IPS) (Weyl 1959, Paterson 1973, Rutter 1976, Raj and </w:t>
      </w:r>
      <w:proofErr w:type="spellStart"/>
      <w:r w:rsidRPr="001C2C0B">
        <w:rPr>
          <w:rFonts w:ascii="Times New Roman" w:eastAsia="Times New Roman" w:hAnsi="Times New Roman" w:cs="Times New Roman"/>
          <w:sz w:val="24"/>
          <w:szCs w:val="24"/>
        </w:rPr>
        <w:t>Chyung</w:t>
      </w:r>
      <w:proofErr w:type="spellEnd"/>
      <w:r w:rsidRPr="001C2C0B">
        <w:rPr>
          <w:rFonts w:ascii="Times New Roman" w:eastAsia="Times New Roman" w:hAnsi="Times New Roman" w:cs="Times New Roman"/>
          <w:sz w:val="24"/>
          <w:szCs w:val="24"/>
        </w:rPr>
        <w:t xml:space="preserve"> 1981, Raj 1982, Rutter 1983, Lehner 1990, Spiers and </w:t>
      </w:r>
      <w:proofErr w:type="spellStart"/>
      <w:r w:rsidRPr="001C2C0B">
        <w:rPr>
          <w:rFonts w:ascii="Times New Roman" w:eastAsia="Times New Roman" w:hAnsi="Times New Roman" w:cs="Times New Roman"/>
          <w:sz w:val="24"/>
          <w:szCs w:val="24"/>
        </w:rPr>
        <w:t>Schutjens</w:t>
      </w:r>
      <w:proofErr w:type="spellEnd"/>
      <w:r w:rsidRPr="001C2C0B">
        <w:rPr>
          <w:rFonts w:ascii="Times New Roman" w:eastAsia="Times New Roman" w:hAnsi="Times New Roman" w:cs="Times New Roman"/>
          <w:sz w:val="24"/>
          <w:szCs w:val="24"/>
        </w:rPr>
        <w:t xml:space="preserve"> 1990, Spiers and </w:t>
      </w:r>
      <w:proofErr w:type="spellStart"/>
      <w:r w:rsidRPr="001C2C0B">
        <w:rPr>
          <w:rFonts w:ascii="Times New Roman" w:eastAsia="Times New Roman" w:hAnsi="Times New Roman" w:cs="Times New Roman"/>
          <w:sz w:val="24"/>
          <w:szCs w:val="24"/>
        </w:rPr>
        <w:t>Brzesowsky</w:t>
      </w:r>
      <w:proofErr w:type="spellEnd"/>
      <w:r w:rsidRPr="001C2C0B">
        <w:rPr>
          <w:rFonts w:ascii="Times New Roman" w:eastAsia="Times New Roman" w:hAnsi="Times New Roman" w:cs="Times New Roman"/>
          <w:sz w:val="24"/>
          <w:szCs w:val="24"/>
        </w:rPr>
        <w:t xml:space="preserve"> 1993, Spiers et al 1990, </w:t>
      </w:r>
      <w:proofErr w:type="spellStart"/>
      <w:r w:rsidRPr="001C2C0B">
        <w:rPr>
          <w:rFonts w:ascii="Times New Roman" w:eastAsia="Times New Roman" w:hAnsi="Times New Roman" w:cs="Times New Roman"/>
          <w:sz w:val="24"/>
          <w:szCs w:val="24"/>
        </w:rPr>
        <w:t>Dewers</w:t>
      </w:r>
      <w:proofErr w:type="spellEnd"/>
      <w:r w:rsidRPr="001C2C0B">
        <w:rPr>
          <w:rFonts w:ascii="Times New Roman" w:eastAsia="Times New Roman" w:hAnsi="Times New Roman" w:cs="Times New Roman"/>
          <w:sz w:val="24"/>
          <w:szCs w:val="24"/>
        </w:rPr>
        <w:t xml:space="preserve"> and </w:t>
      </w:r>
      <w:proofErr w:type="spellStart"/>
      <w:r w:rsidRPr="001C2C0B">
        <w:rPr>
          <w:rFonts w:ascii="Times New Roman" w:eastAsia="Times New Roman" w:hAnsi="Times New Roman" w:cs="Times New Roman"/>
          <w:sz w:val="24"/>
          <w:szCs w:val="24"/>
        </w:rPr>
        <w:t>Hajash</w:t>
      </w:r>
      <w:proofErr w:type="spellEnd"/>
      <w:r w:rsidRPr="001C2C0B">
        <w:rPr>
          <w:rFonts w:ascii="Times New Roman" w:eastAsia="Times New Roman" w:hAnsi="Times New Roman" w:cs="Times New Roman"/>
          <w:sz w:val="24"/>
          <w:szCs w:val="24"/>
        </w:rPr>
        <w:t xml:space="preserve"> 1995, Hickman et al 1995, Lehner 1995, Paterson 1995, Renard et al 1997, De Meer and Spiers 1999, </w:t>
      </w:r>
      <w:proofErr w:type="spellStart"/>
      <w:r w:rsidRPr="001C2C0B">
        <w:rPr>
          <w:rFonts w:ascii="Times New Roman" w:eastAsia="Times New Roman" w:hAnsi="Times New Roman" w:cs="Times New Roman"/>
          <w:sz w:val="24"/>
          <w:szCs w:val="24"/>
        </w:rPr>
        <w:t>Dysthe</w:t>
      </w:r>
      <w:proofErr w:type="spellEnd"/>
      <w:r w:rsidRPr="001C2C0B">
        <w:rPr>
          <w:rFonts w:ascii="Times New Roman" w:eastAsia="Times New Roman" w:hAnsi="Times New Roman" w:cs="Times New Roman"/>
          <w:sz w:val="24"/>
          <w:szCs w:val="24"/>
        </w:rPr>
        <w:t xml:space="preserve"> et al 2002a, </w:t>
      </w:r>
      <w:proofErr w:type="spellStart"/>
      <w:r w:rsidRPr="001C2C0B">
        <w:rPr>
          <w:rFonts w:ascii="Times New Roman" w:eastAsia="Times New Roman" w:hAnsi="Times New Roman" w:cs="Times New Roman"/>
          <w:sz w:val="24"/>
          <w:szCs w:val="24"/>
        </w:rPr>
        <w:t>Dysthe</w:t>
      </w:r>
      <w:proofErr w:type="spellEnd"/>
      <w:r w:rsidRPr="001C2C0B">
        <w:rPr>
          <w:rFonts w:ascii="Times New Roman" w:eastAsia="Times New Roman" w:hAnsi="Times New Roman" w:cs="Times New Roman"/>
          <w:sz w:val="24"/>
          <w:szCs w:val="24"/>
        </w:rPr>
        <w:t xml:space="preserve"> et al 2002b, Gundersen et al 2002, Spiers et al 2004. Intergranular pressure solution is possible in wet rock systems where grain-to-grain contacts are penetrated by water in thin film form or in a nonequilibrium island-channel network (Rutter 1983, Lehner 1990, Lehner 1995, </w:t>
      </w:r>
      <w:proofErr w:type="spellStart"/>
      <w:r w:rsidRPr="001C2C0B">
        <w:rPr>
          <w:rFonts w:ascii="Times New Roman" w:eastAsia="Times New Roman" w:hAnsi="Times New Roman" w:cs="Times New Roman"/>
          <w:sz w:val="24"/>
          <w:szCs w:val="24"/>
        </w:rPr>
        <w:t>DenBrok</w:t>
      </w:r>
      <w:proofErr w:type="spellEnd"/>
      <w:r w:rsidRPr="001C2C0B">
        <w:rPr>
          <w:rFonts w:ascii="Times New Roman" w:eastAsia="Times New Roman" w:hAnsi="Times New Roman" w:cs="Times New Roman"/>
          <w:sz w:val="24"/>
          <w:szCs w:val="24"/>
        </w:rPr>
        <w:t xml:space="preserve"> and Morel 2001, </w:t>
      </w:r>
      <w:proofErr w:type="spellStart"/>
      <w:r w:rsidRPr="001C2C0B">
        <w:rPr>
          <w:rFonts w:ascii="Times New Roman" w:eastAsia="Times New Roman" w:hAnsi="Times New Roman" w:cs="Times New Roman"/>
          <w:sz w:val="24"/>
          <w:szCs w:val="24"/>
        </w:rPr>
        <w:t>Revil</w:t>
      </w:r>
      <w:proofErr w:type="spellEnd"/>
      <w:r w:rsidRPr="001C2C0B">
        <w:rPr>
          <w:rFonts w:ascii="Times New Roman" w:eastAsia="Times New Roman" w:hAnsi="Times New Roman" w:cs="Times New Roman"/>
          <w:sz w:val="24"/>
          <w:szCs w:val="24"/>
        </w:rPr>
        <w:t xml:space="preserve"> 2001). It is a coupled chemical-mechanical process involving dissolution of solids within stressed grain contacts and diffusion through the grain boundary fluid into the pores, followed by removal of the dissolved material through long-range transport or by precipitation on low-stress interfaces and free pore walls (Spiers et al., 2004). In a chemically open two-component </w:t>
      </w:r>
      <w:r w:rsidRPr="001C2C0B">
        <w:rPr>
          <w:rFonts w:ascii="Times New Roman" w:eastAsia="Times New Roman" w:hAnsi="Times New Roman" w:cs="Times New Roman"/>
          <w:sz w:val="24"/>
          <w:szCs w:val="24"/>
        </w:rPr>
        <w:lastRenderedPageBreak/>
        <w:t xml:space="preserve">fluid-rock system in which long-range advective or diffusive transport occurs, the thermodynamic driving force for compaction by IPS is given: </w:t>
      </w:r>
    </w:p>
    <w:p w:rsidR="001C2C0B" w:rsidRPr="001C2C0B" w:rsidRDefault="001C2C0B" w:rsidP="001C2C0B">
      <w:pPr>
        <w:spacing w:after="0" w:line="240" w:lineRule="auto"/>
        <w:rPr>
          <w:rFonts w:ascii="Times New Roman" w:eastAsia="Times New Roman" w:hAnsi="Times New Roman" w:cs="Times New Roman"/>
          <w:sz w:val="24"/>
          <w:szCs w:val="24"/>
        </w:rPr>
      </w:pPr>
      <w:r w:rsidRPr="001C2C0B">
        <w:rPr>
          <w:rFonts w:ascii="Times New Roman" w:eastAsia="Times New Roman" w:hAnsi="Times New Roman" w:cs="Times New Roman"/>
          <w:sz w:val="24"/>
          <w:szCs w:val="24"/>
        </w:rPr>
        <w:t xml:space="preserve">as discussed by Lehner (1995) and Spiers et al. (2004). Here, </w:t>
      </w:r>
      <w:proofErr w:type="spellStart"/>
      <w:r w:rsidRPr="001C2C0B">
        <w:rPr>
          <w:rFonts w:ascii="Times New Roman" w:eastAsia="Times New Roman" w:hAnsi="Times New Roman" w:cs="Times New Roman"/>
          <w:sz w:val="24"/>
          <w:szCs w:val="24"/>
        </w:rPr>
        <w:t>Δμ</w:t>
      </w:r>
      <w:proofErr w:type="spellEnd"/>
      <w:r w:rsidRPr="001C2C0B">
        <w:rPr>
          <w:rFonts w:ascii="Times New Roman" w:eastAsia="Times New Roman" w:hAnsi="Times New Roman" w:cs="Times New Roman"/>
          <w:sz w:val="24"/>
          <w:szCs w:val="24"/>
        </w:rPr>
        <w:t xml:space="preserve"> is the chemical potential difference between the solid phase within stressed grain contacts and dissolved solid present in the open pore fluid, </w:t>
      </w:r>
      <w:proofErr w:type="spellStart"/>
      <w:r w:rsidRPr="001C2C0B">
        <w:rPr>
          <w:rFonts w:ascii="Times New Roman" w:eastAsia="Times New Roman" w:hAnsi="Times New Roman" w:cs="Times New Roman"/>
          <w:sz w:val="24"/>
          <w:szCs w:val="24"/>
        </w:rPr>
        <w:t>σ</w:t>
      </w:r>
      <w:r w:rsidRPr="001C2C0B">
        <w:rPr>
          <w:rFonts w:ascii="Times New Roman" w:eastAsia="Times New Roman" w:hAnsi="Times New Roman" w:cs="Times New Roman"/>
          <w:i/>
          <w:iCs/>
          <w:sz w:val="24"/>
          <w:szCs w:val="24"/>
          <w:vertAlign w:val="subscript"/>
        </w:rPr>
        <w:t>n</w:t>
      </w:r>
      <w:proofErr w:type="spellEnd"/>
      <w:r w:rsidRPr="001C2C0B">
        <w:rPr>
          <w:rFonts w:ascii="Times New Roman" w:eastAsia="Times New Roman" w:hAnsi="Times New Roman" w:cs="Times New Roman"/>
          <w:sz w:val="24"/>
          <w:szCs w:val="24"/>
        </w:rPr>
        <w:t xml:space="preserve"> is the normal stress acting across grain contacts, </w:t>
      </w:r>
      <w:proofErr w:type="spellStart"/>
      <w:r w:rsidRPr="001C2C0B">
        <w:rPr>
          <w:rFonts w:ascii="Times New Roman" w:eastAsia="Times New Roman" w:hAnsi="Times New Roman" w:cs="Times New Roman"/>
          <w:i/>
          <w:iCs/>
          <w:sz w:val="24"/>
          <w:szCs w:val="24"/>
        </w:rPr>
        <w:t>P</w:t>
      </w:r>
      <w:r w:rsidRPr="001C2C0B">
        <w:rPr>
          <w:rFonts w:ascii="Times New Roman" w:eastAsia="Times New Roman" w:hAnsi="Times New Roman" w:cs="Times New Roman"/>
          <w:i/>
          <w:iCs/>
          <w:sz w:val="24"/>
          <w:szCs w:val="24"/>
          <w:vertAlign w:val="subscript"/>
        </w:rPr>
        <w:t>f</w:t>
      </w:r>
      <w:proofErr w:type="spellEnd"/>
      <w:r w:rsidRPr="001C2C0B">
        <w:rPr>
          <w:rFonts w:ascii="Times New Roman" w:eastAsia="Times New Roman" w:hAnsi="Times New Roman" w:cs="Times New Roman"/>
          <w:sz w:val="24"/>
          <w:szCs w:val="24"/>
        </w:rPr>
        <w:t xml:space="preserve"> is the pore fluid pressure, Ω is the molar volume of the solid, Δ</w:t>
      </w:r>
      <w:r w:rsidRPr="001C2C0B">
        <w:rPr>
          <w:rFonts w:ascii="Times New Roman" w:eastAsia="Times New Roman" w:hAnsi="Times New Roman" w:cs="Times New Roman"/>
          <w:i/>
          <w:iCs/>
          <w:sz w:val="24"/>
          <w:szCs w:val="24"/>
        </w:rPr>
        <w:t>C</w:t>
      </w:r>
      <w:r w:rsidRPr="001C2C0B">
        <w:rPr>
          <w:rFonts w:ascii="Times New Roman" w:eastAsia="Times New Roman" w:hAnsi="Times New Roman" w:cs="Times New Roman"/>
          <w:sz w:val="24"/>
          <w:szCs w:val="24"/>
        </w:rPr>
        <w:t xml:space="preserve"> is the undersaturation of the pore fluid (undersaturation taken positive) with respect to the solubility (</w:t>
      </w:r>
      <w:r w:rsidRPr="001C2C0B">
        <w:rPr>
          <w:rFonts w:ascii="Times New Roman" w:eastAsia="Times New Roman" w:hAnsi="Times New Roman" w:cs="Times New Roman"/>
          <w:i/>
          <w:iCs/>
          <w:sz w:val="24"/>
          <w:szCs w:val="24"/>
        </w:rPr>
        <w:t>C</w:t>
      </w:r>
      <w:r w:rsidRPr="001C2C0B">
        <w:rPr>
          <w:rFonts w:ascii="Times New Roman" w:eastAsia="Times New Roman" w:hAnsi="Times New Roman" w:cs="Times New Roman"/>
          <w:i/>
          <w:iCs/>
          <w:sz w:val="24"/>
          <w:szCs w:val="24"/>
          <w:vertAlign w:val="subscript"/>
        </w:rPr>
        <w:t>0</w:t>
      </w:r>
      <w:r w:rsidRPr="001C2C0B">
        <w:rPr>
          <w:rFonts w:ascii="Times New Roman" w:eastAsia="Times New Roman" w:hAnsi="Times New Roman" w:cs="Times New Roman"/>
          <w:sz w:val="24"/>
          <w:szCs w:val="24"/>
        </w:rPr>
        <w:t>) of the solid under hydrostatic reference conditions (</w:t>
      </w:r>
      <w:proofErr w:type="spellStart"/>
      <w:r w:rsidRPr="001C2C0B">
        <w:rPr>
          <w:rFonts w:ascii="Times New Roman" w:eastAsia="Times New Roman" w:hAnsi="Times New Roman" w:cs="Times New Roman"/>
          <w:i/>
          <w:iCs/>
          <w:sz w:val="24"/>
          <w:szCs w:val="24"/>
        </w:rPr>
        <w:t>P</w:t>
      </w:r>
      <w:r w:rsidRPr="001C2C0B">
        <w:rPr>
          <w:rFonts w:ascii="Times New Roman" w:eastAsia="Times New Roman" w:hAnsi="Times New Roman" w:cs="Times New Roman"/>
          <w:i/>
          <w:iCs/>
          <w:sz w:val="24"/>
          <w:szCs w:val="24"/>
          <w:vertAlign w:val="subscript"/>
        </w:rPr>
        <w:t>f</w:t>
      </w:r>
      <w:proofErr w:type="spellEnd"/>
      <w:r w:rsidRPr="001C2C0B">
        <w:rPr>
          <w:rFonts w:ascii="Times New Roman" w:eastAsia="Times New Roman" w:hAnsi="Times New Roman" w:cs="Times New Roman"/>
          <w:sz w:val="24"/>
          <w:szCs w:val="24"/>
        </w:rPr>
        <w:t xml:space="preserve">, </w:t>
      </w:r>
      <w:r w:rsidRPr="001C2C0B">
        <w:rPr>
          <w:rFonts w:ascii="Times New Roman" w:eastAsia="Times New Roman" w:hAnsi="Times New Roman" w:cs="Times New Roman"/>
          <w:i/>
          <w:iCs/>
          <w:sz w:val="24"/>
          <w:szCs w:val="24"/>
        </w:rPr>
        <w:t>T</w:t>
      </w:r>
      <w:r w:rsidRPr="001C2C0B">
        <w:rPr>
          <w:rFonts w:ascii="Times New Roman" w:eastAsia="Times New Roman" w:hAnsi="Times New Roman" w:cs="Times New Roman"/>
          <w:sz w:val="24"/>
          <w:szCs w:val="24"/>
        </w:rPr>
        <w:t xml:space="preserve">), </w:t>
      </w:r>
      <w:r w:rsidRPr="001C2C0B">
        <w:rPr>
          <w:rFonts w:ascii="Times New Roman" w:eastAsia="Times New Roman" w:hAnsi="Times New Roman" w:cs="Times New Roman"/>
          <w:i/>
          <w:iCs/>
          <w:sz w:val="24"/>
          <w:szCs w:val="24"/>
        </w:rPr>
        <w:t>R</w:t>
      </w:r>
      <w:r w:rsidRPr="001C2C0B">
        <w:rPr>
          <w:rFonts w:ascii="Times New Roman" w:eastAsia="Times New Roman" w:hAnsi="Times New Roman" w:cs="Times New Roman"/>
          <w:sz w:val="24"/>
          <w:szCs w:val="24"/>
        </w:rPr>
        <w:t xml:space="preserve"> is the gas constant, and </w:t>
      </w:r>
      <w:r w:rsidRPr="001C2C0B">
        <w:rPr>
          <w:rFonts w:ascii="Times New Roman" w:eastAsia="Times New Roman" w:hAnsi="Times New Roman" w:cs="Times New Roman"/>
          <w:i/>
          <w:iCs/>
          <w:sz w:val="24"/>
          <w:szCs w:val="24"/>
        </w:rPr>
        <w:t>T</w:t>
      </w:r>
      <w:r w:rsidRPr="001C2C0B">
        <w:rPr>
          <w:rFonts w:ascii="Times New Roman" w:eastAsia="Times New Roman" w:hAnsi="Times New Roman" w:cs="Times New Roman"/>
          <w:sz w:val="24"/>
          <w:szCs w:val="24"/>
        </w:rPr>
        <w:t xml:space="preserve"> is temperature (K). Given a positive driving force (</w:t>
      </w:r>
      <w:proofErr w:type="spellStart"/>
      <w:r w:rsidRPr="001C2C0B">
        <w:rPr>
          <w:rFonts w:ascii="Times New Roman" w:eastAsia="Times New Roman" w:hAnsi="Times New Roman" w:cs="Times New Roman"/>
          <w:sz w:val="24"/>
          <w:szCs w:val="24"/>
        </w:rPr>
        <w:t>Δμ</w:t>
      </w:r>
      <w:proofErr w:type="spellEnd"/>
      <w:r w:rsidRPr="001C2C0B">
        <w:rPr>
          <w:rFonts w:ascii="Times New Roman" w:eastAsia="Times New Roman" w:hAnsi="Times New Roman" w:cs="Times New Roman"/>
          <w:sz w:val="24"/>
          <w:szCs w:val="24"/>
        </w:rPr>
        <w:t xml:space="preserve"> &gt; 0), the rate of IPS, and hence of deformation, is controlled by the serial kinetic processes of dissolution and diffusion from grain contacts to pores (Lehner 1995, Spiers et al 2004). In a chemically closed system (no long-range advective/diffusive transport of dissolved solid), Eqn. 1 reduces to </w:t>
      </w:r>
    </w:p>
    <w:p w:rsidR="001C2C0B" w:rsidRPr="001C2C0B" w:rsidRDefault="001C2C0B" w:rsidP="001C2C0B">
      <w:pPr>
        <w:spacing w:before="100" w:beforeAutospacing="1" w:after="100" w:afterAutospacing="1" w:line="240" w:lineRule="auto"/>
        <w:rPr>
          <w:rFonts w:ascii="Times New Roman" w:eastAsia="Times New Roman" w:hAnsi="Times New Roman" w:cs="Times New Roman"/>
          <w:sz w:val="24"/>
          <w:szCs w:val="24"/>
        </w:rPr>
      </w:pPr>
      <w:r w:rsidRPr="001C2C0B">
        <w:rPr>
          <w:rFonts w:ascii="Times New Roman" w:eastAsia="Times New Roman" w:hAnsi="Times New Roman" w:cs="Times New Roman"/>
          <w:sz w:val="24"/>
          <w:szCs w:val="24"/>
        </w:rPr>
        <w:t xml:space="preserve">where </w:t>
      </w:r>
      <w:proofErr w:type="spellStart"/>
      <w:r w:rsidRPr="001C2C0B">
        <w:rPr>
          <w:rFonts w:ascii="Times New Roman" w:eastAsia="Times New Roman" w:hAnsi="Times New Roman" w:cs="Times New Roman"/>
          <w:sz w:val="24"/>
          <w:szCs w:val="24"/>
        </w:rPr>
        <w:t>Δμ</w:t>
      </w:r>
      <w:proofErr w:type="spellEnd"/>
      <w:r w:rsidRPr="001C2C0B">
        <w:rPr>
          <w:rFonts w:ascii="Times New Roman" w:eastAsia="Times New Roman" w:hAnsi="Times New Roman" w:cs="Times New Roman"/>
          <w:sz w:val="24"/>
          <w:szCs w:val="24"/>
        </w:rPr>
        <w:t xml:space="preserve"> now represents the potential difference between the stressed solid within grain boundaries and at free pore walls (Lehner 1995, Spiers et al 2004). Under steady-state conditions, the rate of compaction by IPS is now controlled by the kinetics of dissolution at grain contacts, diffusion through the grain boundary fluid phase, and precipitation on pore walls, with the rate-limiting step being slowest (Lehner 1995, De Meer and Spiers 1997, De Meer and Spiers 1999, Spiers et al 2004). The driving force is partitioned among the three serial processes such that the slowest process (rate-limiting) consumes the bulk of the available potential, and is thus the principal dissipative process (Raj 1982, Lehner 1995).</w:t>
      </w:r>
    </w:p>
    <w:p w:rsidR="001C2C0B" w:rsidRPr="001C2C0B" w:rsidRDefault="001C2C0B" w:rsidP="001C2C0B">
      <w:pPr>
        <w:spacing w:before="100" w:beforeAutospacing="1" w:after="100" w:afterAutospacing="1" w:line="240" w:lineRule="auto"/>
        <w:rPr>
          <w:rFonts w:ascii="Times New Roman" w:eastAsia="Times New Roman" w:hAnsi="Times New Roman" w:cs="Times New Roman"/>
          <w:sz w:val="24"/>
          <w:szCs w:val="24"/>
        </w:rPr>
      </w:pPr>
      <w:r w:rsidRPr="001C2C0B">
        <w:rPr>
          <w:rFonts w:ascii="Times New Roman" w:eastAsia="Times New Roman" w:hAnsi="Times New Roman" w:cs="Times New Roman"/>
          <w:sz w:val="24"/>
          <w:szCs w:val="24"/>
        </w:rPr>
        <w:t xml:space="preserve">Alongside purely mechanical processes of grain breakage and rearrangement (Chester et al., 2004), IPS is an important mechanism of compaction, diagenetic lithification, and porosity/permeability reduction in sedimentary rocks (Weyl 1959, </w:t>
      </w:r>
      <w:proofErr w:type="spellStart"/>
      <w:r w:rsidRPr="001C2C0B">
        <w:rPr>
          <w:rFonts w:ascii="Times New Roman" w:eastAsia="Times New Roman" w:hAnsi="Times New Roman" w:cs="Times New Roman"/>
          <w:sz w:val="24"/>
          <w:szCs w:val="24"/>
        </w:rPr>
        <w:t>Durney</w:t>
      </w:r>
      <w:proofErr w:type="spellEnd"/>
      <w:r w:rsidRPr="001C2C0B">
        <w:rPr>
          <w:rFonts w:ascii="Times New Roman" w:eastAsia="Times New Roman" w:hAnsi="Times New Roman" w:cs="Times New Roman"/>
          <w:sz w:val="24"/>
          <w:szCs w:val="24"/>
        </w:rPr>
        <w:t xml:space="preserve"> 1972, Tada and </w:t>
      </w:r>
      <w:proofErr w:type="spellStart"/>
      <w:r w:rsidRPr="001C2C0B">
        <w:rPr>
          <w:rFonts w:ascii="Times New Roman" w:eastAsia="Times New Roman" w:hAnsi="Times New Roman" w:cs="Times New Roman"/>
          <w:sz w:val="24"/>
          <w:szCs w:val="24"/>
        </w:rPr>
        <w:t>Siever</w:t>
      </w:r>
      <w:proofErr w:type="spellEnd"/>
      <w:r w:rsidRPr="001C2C0B">
        <w:rPr>
          <w:rFonts w:ascii="Times New Roman" w:eastAsia="Times New Roman" w:hAnsi="Times New Roman" w:cs="Times New Roman"/>
          <w:sz w:val="24"/>
          <w:szCs w:val="24"/>
        </w:rPr>
        <w:t xml:space="preserve"> 1989, Aydin 2000). It is an effective mechanism of both strength recovery and creep in active fault zones (Hickman et al 1995, </w:t>
      </w:r>
      <w:proofErr w:type="spellStart"/>
      <w:r w:rsidRPr="001C2C0B">
        <w:rPr>
          <w:rFonts w:ascii="Times New Roman" w:eastAsia="Times New Roman" w:hAnsi="Times New Roman" w:cs="Times New Roman"/>
          <w:sz w:val="24"/>
          <w:szCs w:val="24"/>
        </w:rPr>
        <w:t>Karner</w:t>
      </w:r>
      <w:proofErr w:type="spellEnd"/>
      <w:r w:rsidRPr="001C2C0B">
        <w:rPr>
          <w:rFonts w:ascii="Times New Roman" w:eastAsia="Times New Roman" w:hAnsi="Times New Roman" w:cs="Times New Roman"/>
          <w:sz w:val="24"/>
          <w:szCs w:val="24"/>
        </w:rPr>
        <w:t xml:space="preserve"> et al 1997, Bos and Spiers 2002a, Bos and Spiers 2002b, Nakatani and Scholz 2004) and a widespread mechanism of deformation under low-temperature metamorphic conditions (Elliot 1973, Rutter 1976, Rutter 1983, </w:t>
      </w:r>
      <w:proofErr w:type="spellStart"/>
      <w:r w:rsidRPr="001C2C0B">
        <w:rPr>
          <w:rFonts w:ascii="Times New Roman" w:eastAsia="Times New Roman" w:hAnsi="Times New Roman" w:cs="Times New Roman"/>
          <w:sz w:val="24"/>
          <w:szCs w:val="24"/>
        </w:rPr>
        <w:t>Stöckhert</w:t>
      </w:r>
      <w:proofErr w:type="spellEnd"/>
      <w:r w:rsidRPr="001C2C0B">
        <w:rPr>
          <w:rFonts w:ascii="Times New Roman" w:eastAsia="Times New Roman" w:hAnsi="Times New Roman" w:cs="Times New Roman"/>
          <w:sz w:val="24"/>
          <w:szCs w:val="24"/>
        </w:rPr>
        <w:t xml:space="preserve"> et al 1999). Together with processes such as clay smearing and </w:t>
      </w:r>
      <w:proofErr w:type="spellStart"/>
      <w:r w:rsidRPr="001C2C0B">
        <w:rPr>
          <w:rFonts w:ascii="Times New Roman" w:eastAsia="Times New Roman" w:hAnsi="Times New Roman" w:cs="Times New Roman"/>
          <w:sz w:val="24"/>
          <w:szCs w:val="24"/>
        </w:rPr>
        <w:t>cataclastic</w:t>
      </w:r>
      <w:proofErr w:type="spellEnd"/>
      <w:r w:rsidRPr="001C2C0B">
        <w:rPr>
          <w:rFonts w:ascii="Times New Roman" w:eastAsia="Times New Roman" w:hAnsi="Times New Roman" w:cs="Times New Roman"/>
          <w:sz w:val="24"/>
          <w:szCs w:val="24"/>
        </w:rPr>
        <w:t xml:space="preserve"> grain size reduction, IPS is also an efficient mechanism of fault sealing, shear band sealing, and compaction band sealing in hydrocarbon reservoirs (Smith 1966, Aydin 2000). In carbonate rocks, intergranular pressure solution and localized pressure solution seams, or </w:t>
      </w:r>
      <w:proofErr w:type="spellStart"/>
      <w:r w:rsidRPr="001C2C0B">
        <w:rPr>
          <w:rFonts w:ascii="Times New Roman" w:eastAsia="Times New Roman" w:hAnsi="Times New Roman" w:cs="Times New Roman"/>
          <w:sz w:val="24"/>
          <w:szCs w:val="24"/>
        </w:rPr>
        <w:t>stylolites</w:t>
      </w:r>
      <w:proofErr w:type="spellEnd"/>
      <w:r w:rsidRPr="001C2C0B">
        <w:rPr>
          <w:rFonts w:ascii="Times New Roman" w:eastAsia="Times New Roman" w:hAnsi="Times New Roman" w:cs="Times New Roman"/>
          <w:sz w:val="24"/>
          <w:szCs w:val="24"/>
        </w:rPr>
        <w:t xml:space="preserve">, are particularly widespread and important in controlling porosity/permeability evolution and fluid transport (Bathurst 1958, </w:t>
      </w:r>
      <w:proofErr w:type="spellStart"/>
      <w:r w:rsidRPr="001C2C0B">
        <w:rPr>
          <w:rFonts w:ascii="Times New Roman" w:eastAsia="Times New Roman" w:hAnsi="Times New Roman" w:cs="Times New Roman"/>
          <w:sz w:val="24"/>
          <w:szCs w:val="24"/>
        </w:rPr>
        <w:t>Leythaeuser</w:t>
      </w:r>
      <w:proofErr w:type="spellEnd"/>
      <w:r w:rsidRPr="001C2C0B">
        <w:rPr>
          <w:rFonts w:ascii="Times New Roman" w:eastAsia="Times New Roman" w:hAnsi="Times New Roman" w:cs="Times New Roman"/>
          <w:sz w:val="24"/>
          <w:szCs w:val="24"/>
        </w:rPr>
        <w:t xml:space="preserve"> et al 1995, </w:t>
      </w:r>
      <w:proofErr w:type="spellStart"/>
      <w:r w:rsidRPr="001C2C0B">
        <w:rPr>
          <w:rFonts w:ascii="Times New Roman" w:eastAsia="Times New Roman" w:hAnsi="Times New Roman" w:cs="Times New Roman"/>
          <w:sz w:val="24"/>
          <w:szCs w:val="24"/>
        </w:rPr>
        <w:t>Heydari</w:t>
      </w:r>
      <w:proofErr w:type="spellEnd"/>
      <w:r w:rsidRPr="001C2C0B">
        <w:rPr>
          <w:rFonts w:ascii="Times New Roman" w:eastAsia="Times New Roman" w:hAnsi="Times New Roman" w:cs="Times New Roman"/>
          <w:sz w:val="24"/>
          <w:szCs w:val="24"/>
        </w:rPr>
        <w:t xml:space="preserve"> 2000). Moreover, recent work by </w:t>
      </w:r>
      <w:proofErr w:type="spellStart"/>
      <w:r w:rsidRPr="001C2C0B">
        <w:rPr>
          <w:rFonts w:ascii="Times New Roman" w:eastAsia="Times New Roman" w:hAnsi="Times New Roman" w:cs="Times New Roman"/>
          <w:sz w:val="24"/>
          <w:szCs w:val="24"/>
        </w:rPr>
        <w:t>Leythaeuser</w:t>
      </w:r>
      <w:proofErr w:type="spellEnd"/>
      <w:r w:rsidRPr="001C2C0B">
        <w:rPr>
          <w:rFonts w:ascii="Times New Roman" w:eastAsia="Times New Roman" w:hAnsi="Times New Roman" w:cs="Times New Roman"/>
          <w:sz w:val="24"/>
          <w:szCs w:val="24"/>
        </w:rPr>
        <w:t xml:space="preserve"> et al. (1995) has shown that pressure solution within </w:t>
      </w:r>
      <w:proofErr w:type="spellStart"/>
      <w:r w:rsidRPr="001C2C0B">
        <w:rPr>
          <w:rFonts w:ascii="Times New Roman" w:eastAsia="Times New Roman" w:hAnsi="Times New Roman" w:cs="Times New Roman"/>
          <w:sz w:val="24"/>
          <w:szCs w:val="24"/>
        </w:rPr>
        <w:t>stylolites</w:t>
      </w:r>
      <w:proofErr w:type="spellEnd"/>
      <w:r w:rsidRPr="001C2C0B">
        <w:rPr>
          <w:rFonts w:ascii="Times New Roman" w:eastAsia="Times New Roman" w:hAnsi="Times New Roman" w:cs="Times New Roman"/>
          <w:sz w:val="24"/>
          <w:szCs w:val="24"/>
        </w:rPr>
        <w:t xml:space="preserve"> may play a crucial role in the concentration of organic materials and the generation of hydrocarbons. Realistic modeling of processes such as diagenetic compaction, petroleum generation, fault sealing, and other mass transport processes in carbonate sediments accordingly requires quantitative data on the process and kinetics of intergranular pressure solution in calcite and on the influence of (bio)geochemical environment.</w:t>
      </w:r>
    </w:p>
    <w:p w:rsidR="001C2C0B" w:rsidRPr="001C2C0B" w:rsidRDefault="001C2C0B" w:rsidP="001C2C0B">
      <w:pPr>
        <w:spacing w:before="100" w:beforeAutospacing="1" w:after="100" w:afterAutospacing="1" w:line="240" w:lineRule="auto"/>
        <w:rPr>
          <w:rFonts w:ascii="Times New Roman" w:eastAsia="Times New Roman" w:hAnsi="Times New Roman" w:cs="Times New Roman"/>
          <w:sz w:val="24"/>
          <w:szCs w:val="24"/>
        </w:rPr>
      </w:pPr>
      <w:r w:rsidRPr="001C2C0B">
        <w:rPr>
          <w:rFonts w:ascii="Times New Roman" w:eastAsia="Times New Roman" w:hAnsi="Times New Roman" w:cs="Times New Roman"/>
          <w:sz w:val="24"/>
          <w:szCs w:val="24"/>
        </w:rPr>
        <w:t xml:space="preserve">In an attempt to provide such data, laboratory investigations of pressure solution in carbonates have aimed at reproducing the IPS microstructures widely seen in nature and at understanding the processes and the parameters governing the rate of the process. Baker et al. (1980) carried out compaction experiments on deep-sea sediments (i.e., low magnesium calcite), crushed Iceland spar, and reagent-grade calcite powder at 25 to 100 MPa effective stress, pore fluid pressures of 15 to 50 MPa, and temperatures 22 to 180°C for 1 to 10 days. Significant porosity reduction was obtained in 10 days in their experiments. Uniaxial compaction experiments carried out under chemically closed system conditions by Shinn and Robbin (1983) at room temperature, a fluid pressure of 0.1 MPa, </w:t>
      </w:r>
      <w:r w:rsidRPr="001C2C0B">
        <w:rPr>
          <w:rFonts w:ascii="Times New Roman" w:eastAsia="Times New Roman" w:hAnsi="Times New Roman" w:cs="Times New Roman"/>
          <w:sz w:val="24"/>
          <w:szCs w:val="24"/>
        </w:rPr>
        <w:lastRenderedPageBreak/>
        <w:t xml:space="preserve">and applied effective stresses from 6.5 to 95 MPa on cores of modern carbonate sediments resulted in features such as incipient </w:t>
      </w:r>
      <w:proofErr w:type="spellStart"/>
      <w:r w:rsidRPr="001C2C0B">
        <w:rPr>
          <w:rFonts w:ascii="Times New Roman" w:eastAsia="Times New Roman" w:hAnsi="Times New Roman" w:cs="Times New Roman"/>
          <w:sz w:val="24"/>
          <w:szCs w:val="24"/>
        </w:rPr>
        <w:t>stylolites</w:t>
      </w:r>
      <w:proofErr w:type="spellEnd"/>
      <w:r w:rsidRPr="001C2C0B">
        <w:rPr>
          <w:rFonts w:ascii="Times New Roman" w:eastAsia="Times New Roman" w:hAnsi="Times New Roman" w:cs="Times New Roman"/>
          <w:sz w:val="24"/>
          <w:szCs w:val="24"/>
        </w:rPr>
        <w:t xml:space="preserve"> and truncated fossils, indicating the operation of pressure solution. These authors used a pore fluid consisting of marine pore water. High-quality triaxial deformation experiments performed on chalk by Hellmann et al. (2002) also showed that pressure solution was probably operating under their experimental conditions in a closed system at 20 to 100°C, 4 MPa differential effective stress, and pore pressure &lt;0.3 MPa. In this case, the pore fluids were pure water and saline fluid (0.5 M NaCl + 0.05 M MgSO</w:t>
      </w:r>
      <w:r w:rsidRPr="001C2C0B">
        <w:rPr>
          <w:rFonts w:ascii="Times New Roman" w:eastAsia="Times New Roman" w:hAnsi="Times New Roman" w:cs="Times New Roman"/>
          <w:sz w:val="24"/>
          <w:szCs w:val="24"/>
          <w:vertAlign w:val="subscript"/>
        </w:rPr>
        <w:t>4</w:t>
      </w:r>
      <w:r w:rsidRPr="001C2C0B">
        <w:rPr>
          <w:rFonts w:ascii="Times New Roman" w:eastAsia="Times New Roman" w:hAnsi="Times New Roman" w:cs="Times New Roman"/>
          <w:sz w:val="24"/>
          <w:szCs w:val="24"/>
        </w:rPr>
        <w:t> · 7H</w:t>
      </w:r>
      <w:r w:rsidRPr="001C2C0B">
        <w:rPr>
          <w:rFonts w:ascii="Times New Roman" w:eastAsia="Times New Roman" w:hAnsi="Times New Roman" w:cs="Times New Roman"/>
          <w:sz w:val="24"/>
          <w:szCs w:val="24"/>
          <w:vertAlign w:val="subscript"/>
        </w:rPr>
        <w:t>2</w:t>
      </w:r>
      <w:r w:rsidRPr="001C2C0B">
        <w:rPr>
          <w:rFonts w:ascii="Times New Roman" w:eastAsia="Times New Roman" w:hAnsi="Times New Roman" w:cs="Times New Roman"/>
          <w:sz w:val="24"/>
          <w:szCs w:val="24"/>
        </w:rPr>
        <w:t>O).</w:t>
      </w:r>
    </w:p>
    <w:p w:rsidR="001C2C0B" w:rsidRPr="001C2C0B" w:rsidRDefault="001C2C0B" w:rsidP="001C2C0B">
      <w:pPr>
        <w:spacing w:before="100" w:beforeAutospacing="1" w:after="100" w:afterAutospacing="1" w:line="240" w:lineRule="auto"/>
        <w:rPr>
          <w:rFonts w:ascii="Times New Roman" w:eastAsia="Times New Roman" w:hAnsi="Times New Roman" w:cs="Times New Roman"/>
          <w:sz w:val="24"/>
          <w:szCs w:val="24"/>
        </w:rPr>
      </w:pPr>
      <w:r w:rsidRPr="001C2C0B">
        <w:rPr>
          <w:rFonts w:ascii="Times New Roman" w:eastAsia="Times New Roman" w:hAnsi="Times New Roman" w:cs="Times New Roman"/>
          <w:sz w:val="24"/>
          <w:szCs w:val="24"/>
        </w:rPr>
        <w:t>Though many of the above experimental studies exhibited clear evidence for IPS and related processes, none allowed the (very low) rate of IPS to be systematically quantified, nor were sufficient data obtained to allow comparison with IPS models or identification of the rate-controlling mechanism. Our more recent compaction creep experiments, performed on wet fine-grained calcite at 22°C and 1 to 4 MPa effective stress (Zhang et al 2002, Zhang and Spiers 2005), yielded measurable compaction rates (10</w:t>
      </w:r>
      <w:r w:rsidRPr="001C2C0B">
        <w:rPr>
          <w:rFonts w:ascii="Times New Roman" w:eastAsia="Times New Roman" w:hAnsi="Times New Roman" w:cs="Times New Roman"/>
          <w:sz w:val="24"/>
          <w:szCs w:val="24"/>
          <w:vertAlign w:val="superscript"/>
        </w:rPr>
        <w:t>−6</w:t>
      </w:r>
      <w:r w:rsidRPr="001C2C0B">
        <w:rPr>
          <w:rFonts w:ascii="Times New Roman" w:eastAsia="Times New Roman" w:hAnsi="Times New Roman" w:cs="Times New Roman"/>
          <w:sz w:val="24"/>
          <w:szCs w:val="24"/>
        </w:rPr>
        <w:t>–10</w:t>
      </w:r>
      <w:r w:rsidRPr="001C2C0B">
        <w:rPr>
          <w:rFonts w:ascii="Times New Roman" w:eastAsia="Times New Roman" w:hAnsi="Times New Roman" w:cs="Times New Roman"/>
          <w:sz w:val="24"/>
          <w:szCs w:val="24"/>
          <w:vertAlign w:val="superscript"/>
        </w:rPr>
        <w:t>−10</w:t>
      </w:r>
      <w:r w:rsidRPr="001C2C0B">
        <w:rPr>
          <w:rFonts w:ascii="Times New Roman" w:eastAsia="Times New Roman" w:hAnsi="Times New Roman" w:cs="Times New Roman"/>
          <w:sz w:val="24"/>
          <w:szCs w:val="24"/>
        </w:rPr>
        <w:t>s</w:t>
      </w:r>
      <w:r w:rsidRPr="001C2C0B">
        <w:rPr>
          <w:rFonts w:ascii="Times New Roman" w:eastAsia="Times New Roman" w:hAnsi="Times New Roman" w:cs="Times New Roman"/>
          <w:sz w:val="24"/>
          <w:szCs w:val="24"/>
          <w:vertAlign w:val="superscript"/>
        </w:rPr>
        <w:t>−1</w:t>
      </w:r>
      <w:r w:rsidRPr="001C2C0B">
        <w:rPr>
          <w:rFonts w:ascii="Times New Roman" w:eastAsia="Times New Roman" w:hAnsi="Times New Roman" w:cs="Times New Roman"/>
          <w:sz w:val="24"/>
          <w:szCs w:val="24"/>
        </w:rPr>
        <w:t>) plus a systematic dependence of creep rate on stress, grain size, and pore fluid composition (Mg</w:t>
      </w:r>
      <w:r w:rsidRPr="001C2C0B">
        <w:rPr>
          <w:rFonts w:ascii="Times New Roman" w:eastAsia="Times New Roman" w:hAnsi="Times New Roman" w:cs="Times New Roman"/>
          <w:sz w:val="24"/>
          <w:szCs w:val="24"/>
          <w:vertAlign w:val="superscript"/>
        </w:rPr>
        <w:t>2+</w:t>
      </w:r>
      <w:r w:rsidRPr="001C2C0B">
        <w:rPr>
          <w:rFonts w:ascii="Times New Roman" w:eastAsia="Times New Roman" w:hAnsi="Times New Roman" w:cs="Times New Roman"/>
          <w:sz w:val="24"/>
          <w:szCs w:val="24"/>
        </w:rPr>
        <w:t xml:space="preserve"> content) that broadly resembles the predictions of IPS theory. Effects of pore fluid chemistry have also been investigated in some of the aforementioned studies (Hellmann et al., 2002). However, the results produced to date are of preliminary nature only and much remains unknown, notably regarding the rate-controlling process of IPS in calcite and the influence of (bio)geochemical conditions. Recent experimental work on the diffusion of ions in thin aqueous films (De Meer et al 2002, De Meer et al 2005, </w:t>
      </w:r>
      <w:proofErr w:type="spellStart"/>
      <w:r w:rsidRPr="001C2C0B">
        <w:rPr>
          <w:rFonts w:ascii="Times New Roman" w:eastAsia="Times New Roman" w:hAnsi="Times New Roman" w:cs="Times New Roman"/>
          <w:sz w:val="24"/>
          <w:szCs w:val="24"/>
        </w:rPr>
        <w:t>Alcantar</w:t>
      </w:r>
      <w:proofErr w:type="spellEnd"/>
      <w:r w:rsidRPr="001C2C0B">
        <w:rPr>
          <w:rFonts w:ascii="Times New Roman" w:eastAsia="Times New Roman" w:hAnsi="Times New Roman" w:cs="Times New Roman"/>
          <w:sz w:val="24"/>
          <w:szCs w:val="24"/>
        </w:rPr>
        <w:t xml:space="preserve"> et al 2003, Spiers et al 2004) as well as molecular dynamic simulations (</w:t>
      </w:r>
      <w:proofErr w:type="spellStart"/>
      <w:r w:rsidRPr="001C2C0B">
        <w:rPr>
          <w:rFonts w:ascii="Times New Roman" w:eastAsia="Times New Roman" w:hAnsi="Times New Roman" w:cs="Times New Roman"/>
          <w:sz w:val="24"/>
          <w:szCs w:val="24"/>
        </w:rPr>
        <w:t>Dysthe</w:t>
      </w:r>
      <w:proofErr w:type="spellEnd"/>
      <w:r w:rsidRPr="001C2C0B">
        <w:rPr>
          <w:rFonts w:ascii="Times New Roman" w:eastAsia="Times New Roman" w:hAnsi="Times New Roman" w:cs="Times New Roman"/>
          <w:sz w:val="24"/>
          <w:szCs w:val="24"/>
        </w:rPr>
        <w:t xml:space="preserve"> et al., 2002b) indicates that the diffusion coefficient (</w:t>
      </w:r>
      <w:r w:rsidRPr="001C2C0B">
        <w:rPr>
          <w:rFonts w:ascii="Times New Roman" w:eastAsia="Times New Roman" w:hAnsi="Times New Roman" w:cs="Times New Roman"/>
          <w:i/>
          <w:iCs/>
          <w:sz w:val="24"/>
          <w:szCs w:val="24"/>
        </w:rPr>
        <w:t>D</w:t>
      </w:r>
      <w:r w:rsidRPr="001C2C0B">
        <w:rPr>
          <w:rFonts w:ascii="Times New Roman" w:eastAsia="Times New Roman" w:hAnsi="Times New Roman" w:cs="Times New Roman"/>
          <w:sz w:val="24"/>
          <w:szCs w:val="24"/>
        </w:rPr>
        <w:t xml:space="preserve">) in thin intergranular films, during IPS, is not strongly reduced as proposed by Rutter 1976, Rutter 1983), but is similar to, or perhaps one order of magnitude lower than, that in bulk solution (see also Renard et al 1997, </w:t>
      </w:r>
      <w:proofErr w:type="spellStart"/>
      <w:r w:rsidRPr="001C2C0B">
        <w:rPr>
          <w:rFonts w:ascii="Times New Roman" w:eastAsia="Times New Roman" w:hAnsi="Times New Roman" w:cs="Times New Roman"/>
          <w:sz w:val="24"/>
          <w:szCs w:val="24"/>
        </w:rPr>
        <w:t>Revil</w:t>
      </w:r>
      <w:proofErr w:type="spellEnd"/>
      <w:r w:rsidRPr="001C2C0B">
        <w:rPr>
          <w:rFonts w:ascii="Times New Roman" w:eastAsia="Times New Roman" w:hAnsi="Times New Roman" w:cs="Times New Roman"/>
          <w:sz w:val="24"/>
          <w:szCs w:val="24"/>
        </w:rPr>
        <w:t xml:space="preserve"> 2001). Provided intergranular fluid film is at least 1 nm in thickness (</w:t>
      </w:r>
      <w:r w:rsidRPr="001C2C0B">
        <w:rPr>
          <w:rFonts w:ascii="Times New Roman" w:eastAsia="Times New Roman" w:hAnsi="Times New Roman" w:cs="Times New Roman"/>
          <w:i/>
          <w:iCs/>
          <w:sz w:val="24"/>
          <w:szCs w:val="24"/>
        </w:rPr>
        <w:t>S</w:t>
      </w:r>
      <w:r w:rsidRPr="001C2C0B">
        <w:rPr>
          <w:rFonts w:ascii="Times New Roman" w:eastAsia="Times New Roman" w:hAnsi="Times New Roman" w:cs="Times New Roman"/>
          <w:sz w:val="24"/>
          <w:szCs w:val="24"/>
        </w:rPr>
        <w:t xml:space="preserve">), which is the minimum value generally assumed (Renard et al. 1997), this implies that interfacial reactions may control rates of IPS in calcite rocks, since precipitation and dissolution reaction rates are strongly retarded by common pore fluid ions like phosphate and magnesium (Reddy 1977, Dove and </w:t>
      </w:r>
      <w:proofErr w:type="spellStart"/>
      <w:r w:rsidRPr="001C2C0B">
        <w:rPr>
          <w:rFonts w:ascii="Times New Roman" w:eastAsia="Times New Roman" w:hAnsi="Times New Roman" w:cs="Times New Roman"/>
          <w:sz w:val="24"/>
          <w:szCs w:val="24"/>
        </w:rPr>
        <w:t>Hochella</w:t>
      </w:r>
      <w:proofErr w:type="spellEnd"/>
      <w:r w:rsidRPr="001C2C0B">
        <w:rPr>
          <w:rFonts w:ascii="Times New Roman" w:eastAsia="Times New Roman" w:hAnsi="Times New Roman" w:cs="Times New Roman"/>
          <w:sz w:val="24"/>
          <w:szCs w:val="24"/>
        </w:rPr>
        <w:t xml:space="preserve"> 1993, Davis et al 2000, Spiers et al 2004). Pore fluid chemistry can accordingly be expected to play a major role in determining the rate-controlling mechanism of IPS in natural carbonate systems.</w:t>
      </w:r>
    </w:p>
    <w:p w:rsidR="001C2C0B" w:rsidRPr="001C2C0B" w:rsidRDefault="001C2C0B" w:rsidP="001C2C0B">
      <w:pPr>
        <w:spacing w:before="100" w:beforeAutospacing="1" w:after="100" w:afterAutospacing="1" w:line="240" w:lineRule="auto"/>
        <w:rPr>
          <w:rFonts w:ascii="Times New Roman" w:eastAsia="Times New Roman" w:hAnsi="Times New Roman" w:cs="Times New Roman"/>
          <w:sz w:val="24"/>
          <w:szCs w:val="24"/>
        </w:rPr>
      </w:pPr>
      <w:r w:rsidRPr="001C2C0B">
        <w:rPr>
          <w:rFonts w:ascii="Times New Roman" w:eastAsia="Times New Roman" w:hAnsi="Times New Roman" w:cs="Times New Roman"/>
          <w:sz w:val="24"/>
          <w:szCs w:val="24"/>
        </w:rPr>
        <w:t xml:space="preserve">The purpose of this study is to investigate experimentally the effects of pore fluid chemistry on the mechanical compaction </w:t>
      </w:r>
      <w:proofErr w:type="spellStart"/>
      <w:r w:rsidRPr="001C2C0B">
        <w:rPr>
          <w:rFonts w:ascii="Times New Roman" w:eastAsia="Times New Roman" w:hAnsi="Times New Roman" w:cs="Times New Roman"/>
          <w:sz w:val="24"/>
          <w:szCs w:val="24"/>
        </w:rPr>
        <w:t>behaviour</w:t>
      </w:r>
      <w:proofErr w:type="spellEnd"/>
      <w:r w:rsidRPr="001C2C0B">
        <w:rPr>
          <w:rFonts w:ascii="Times New Roman" w:eastAsia="Times New Roman" w:hAnsi="Times New Roman" w:cs="Times New Roman"/>
          <w:sz w:val="24"/>
          <w:szCs w:val="24"/>
        </w:rPr>
        <w:t xml:space="preserve"> of granular calcite under conditions where our previous work (Zhang et al 2002, Zhang and Spiers 2005) suggests that IPS is the dominant deformation mechanism. Our broad aim is twofold: (1) to better constrain the likely rate-controlling process of IPS through observing the effects of pore fluid additives and (2) to gain insight into the magnitude of the effects of geologically important pore fluid impurities. We chose dissolved phosphate as our pore fluid impurity since it is a well-known calcite precipitation and dissolution inhibitor (Reddy 1977, Meyer 1984, Dove and </w:t>
      </w:r>
      <w:proofErr w:type="spellStart"/>
      <w:r w:rsidRPr="001C2C0B">
        <w:rPr>
          <w:rFonts w:ascii="Times New Roman" w:eastAsia="Times New Roman" w:hAnsi="Times New Roman" w:cs="Times New Roman"/>
          <w:sz w:val="24"/>
          <w:szCs w:val="24"/>
        </w:rPr>
        <w:t>Hochella</w:t>
      </w:r>
      <w:proofErr w:type="spellEnd"/>
      <w:r w:rsidRPr="001C2C0B">
        <w:rPr>
          <w:rFonts w:ascii="Times New Roman" w:eastAsia="Times New Roman" w:hAnsi="Times New Roman" w:cs="Times New Roman"/>
          <w:sz w:val="24"/>
          <w:szCs w:val="24"/>
        </w:rPr>
        <w:t xml:space="preserve"> 1993, </w:t>
      </w:r>
      <w:proofErr w:type="spellStart"/>
      <w:r w:rsidRPr="001C2C0B">
        <w:rPr>
          <w:rFonts w:ascii="Times New Roman" w:eastAsia="Times New Roman" w:hAnsi="Times New Roman" w:cs="Times New Roman"/>
          <w:sz w:val="24"/>
          <w:szCs w:val="24"/>
        </w:rPr>
        <w:t>Jonasson</w:t>
      </w:r>
      <w:proofErr w:type="spellEnd"/>
      <w:r w:rsidRPr="001C2C0B">
        <w:rPr>
          <w:rFonts w:ascii="Times New Roman" w:eastAsia="Times New Roman" w:hAnsi="Times New Roman" w:cs="Times New Roman"/>
          <w:sz w:val="24"/>
          <w:szCs w:val="24"/>
        </w:rPr>
        <w:t xml:space="preserve"> et al 1996, </w:t>
      </w:r>
      <w:proofErr w:type="spellStart"/>
      <w:r w:rsidRPr="001C2C0B">
        <w:rPr>
          <w:rFonts w:ascii="Times New Roman" w:eastAsia="Times New Roman" w:hAnsi="Times New Roman" w:cs="Times New Roman"/>
          <w:sz w:val="24"/>
          <w:szCs w:val="24"/>
        </w:rPr>
        <w:t>Katsifaras</w:t>
      </w:r>
      <w:proofErr w:type="spellEnd"/>
      <w:r w:rsidRPr="001C2C0B">
        <w:rPr>
          <w:rFonts w:ascii="Times New Roman" w:eastAsia="Times New Roman" w:hAnsi="Times New Roman" w:cs="Times New Roman"/>
          <w:sz w:val="24"/>
          <w:szCs w:val="24"/>
        </w:rPr>
        <w:t xml:space="preserve"> and Spanos 1999, Plant and House 2002), and so, theoretically, should slow down intergranular pressure solution. In addition, biogenic phosphate ions are a principal constituent of seawater and many upper crustal pore fluids. We show that increasing the phosphate ion concentration from 10</w:t>
      </w:r>
      <w:r w:rsidRPr="001C2C0B">
        <w:rPr>
          <w:rFonts w:ascii="Times New Roman" w:eastAsia="Times New Roman" w:hAnsi="Times New Roman" w:cs="Times New Roman"/>
          <w:sz w:val="24"/>
          <w:szCs w:val="24"/>
          <w:vertAlign w:val="superscript"/>
        </w:rPr>
        <w:t>-6</w:t>
      </w:r>
      <w:r w:rsidRPr="001C2C0B">
        <w:rPr>
          <w:rFonts w:ascii="Times New Roman" w:eastAsia="Times New Roman" w:hAnsi="Times New Roman" w:cs="Times New Roman"/>
          <w:sz w:val="24"/>
          <w:szCs w:val="24"/>
        </w:rPr>
        <w:t xml:space="preserve"> to 10</w:t>
      </w:r>
      <w:r w:rsidRPr="001C2C0B">
        <w:rPr>
          <w:rFonts w:ascii="Times New Roman" w:eastAsia="Times New Roman" w:hAnsi="Times New Roman" w:cs="Times New Roman"/>
          <w:sz w:val="24"/>
          <w:szCs w:val="24"/>
          <w:vertAlign w:val="superscript"/>
        </w:rPr>
        <w:t>-3</w:t>
      </w:r>
      <w:r w:rsidRPr="001C2C0B">
        <w:rPr>
          <w:rFonts w:ascii="Times New Roman" w:eastAsia="Times New Roman" w:hAnsi="Times New Roman" w:cs="Times New Roman"/>
          <w:sz w:val="24"/>
          <w:szCs w:val="24"/>
        </w:rPr>
        <w:t xml:space="preserve"> mol/L systematically and drastically reduces compaction strain rates in calcite, suggesting major effects of pore fluid phosphate concentrations on carbonate compaction and diagenesis rates in nature.</w:t>
      </w:r>
    </w:p>
    <w:p w:rsidR="001C2C0B" w:rsidRPr="001C2C0B" w:rsidRDefault="001C2C0B" w:rsidP="001C2C0B">
      <w:pPr>
        <w:spacing w:before="100" w:beforeAutospacing="1" w:after="100" w:afterAutospacing="1" w:line="240" w:lineRule="auto"/>
        <w:outlineLvl w:val="1"/>
        <w:rPr>
          <w:rFonts w:ascii="Times New Roman" w:eastAsia="Times New Roman" w:hAnsi="Times New Roman" w:cs="Times New Roman"/>
          <w:b/>
          <w:bCs/>
          <w:sz w:val="36"/>
          <w:szCs w:val="36"/>
        </w:rPr>
      </w:pPr>
      <w:r w:rsidRPr="001C2C0B">
        <w:rPr>
          <w:rFonts w:ascii="Times New Roman" w:eastAsia="Times New Roman" w:hAnsi="Times New Roman" w:cs="Times New Roman"/>
          <w:b/>
          <w:bCs/>
          <w:sz w:val="36"/>
          <w:szCs w:val="36"/>
        </w:rPr>
        <w:t>Section snippets</w:t>
      </w:r>
    </w:p>
    <w:p w:rsidR="001C2C0B" w:rsidRPr="001C2C0B" w:rsidRDefault="001C2C0B" w:rsidP="001C2C0B">
      <w:pPr>
        <w:spacing w:before="100" w:beforeAutospacing="1" w:after="100" w:afterAutospacing="1" w:line="240" w:lineRule="auto"/>
        <w:outlineLvl w:val="1"/>
        <w:rPr>
          <w:rFonts w:ascii="Times New Roman" w:eastAsia="Times New Roman" w:hAnsi="Times New Roman" w:cs="Times New Roman"/>
          <w:b/>
          <w:bCs/>
          <w:sz w:val="36"/>
          <w:szCs w:val="36"/>
        </w:rPr>
      </w:pPr>
      <w:r w:rsidRPr="001C2C0B">
        <w:rPr>
          <w:rFonts w:ascii="Times New Roman" w:eastAsia="Times New Roman" w:hAnsi="Times New Roman" w:cs="Times New Roman"/>
          <w:b/>
          <w:bCs/>
          <w:sz w:val="36"/>
          <w:szCs w:val="36"/>
        </w:rPr>
        <w:t>Experimental methods</w:t>
      </w:r>
    </w:p>
    <w:p w:rsidR="001C2C0B" w:rsidRPr="001C2C0B" w:rsidRDefault="001C2C0B" w:rsidP="001C2C0B">
      <w:pPr>
        <w:spacing w:before="100" w:beforeAutospacing="1" w:after="100" w:afterAutospacing="1" w:line="240" w:lineRule="auto"/>
        <w:rPr>
          <w:rFonts w:ascii="Times New Roman" w:eastAsia="Times New Roman" w:hAnsi="Times New Roman" w:cs="Times New Roman"/>
          <w:sz w:val="24"/>
          <w:szCs w:val="24"/>
        </w:rPr>
      </w:pPr>
      <w:r w:rsidRPr="001C2C0B">
        <w:rPr>
          <w:rFonts w:ascii="Times New Roman" w:eastAsia="Times New Roman" w:hAnsi="Times New Roman" w:cs="Times New Roman"/>
          <w:sz w:val="24"/>
          <w:szCs w:val="24"/>
        </w:rPr>
        <w:lastRenderedPageBreak/>
        <w:t xml:space="preserve">The test materials used in this study were </w:t>
      </w:r>
      <w:proofErr w:type="spellStart"/>
      <w:r w:rsidRPr="001C2C0B">
        <w:rPr>
          <w:rFonts w:ascii="Times New Roman" w:eastAsia="Times New Roman" w:hAnsi="Times New Roman" w:cs="Times New Roman"/>
          <w:sz w:val="24"/>
          <w:szCs w:val="24"/>
        </w:rPr>
        <w:t>superpure</w:t>
      </w:r>
      <w:proofErr w:type="spellEnd"/>
      <w:r w:rsidRPr="001C2C0B">
        <w:rPr>
          <w:rFonts w:ascii="Times New Roman" w:eastAsia="Times New Roman" w:hAnsi="Times New Roman" w:cs="Times New Roman"/>
          <w:sz w:val="24"/>
          <w:szCs w:val="24"/>
        </w:rPr>
        <w:t xml:space="preserve"> granular calcite (Merck 99.95% pure) with an average grain size of 15 </w:t>
      </w:r>
      <w:proofErr w:type="spellStart"/>
      <w:r w:rsidRPr="001C2C0B">
        <w:rPr>
          <w:rFonts w:ascii="Times New Roman" w:eastAsia="Times New Roman" w:hAnsi="Times New Roman" w:cs="Times New Roman"/>
          <w:sz w:val="24"/>
          <w:szCs w:val="24"/>
        </w:rPr>
        <w:t>μm</w:t>
      </w:r>
      <w:proofErr w:type="spellEnd"/>
      <w:r w:rsidRPr="001C2C0B">
        <w:rPr>
          <w:rFonts w:ascii="Times New Roman" w:eastAsia="Times New Roman" w:hAnsi="Times New Roman" w:cs="Times New Roman"/>
          <w:sz w:val="24"/>
          <w:szCs w:val="24"/>
        </w:rPr>
        <w:t xml:space="preserve"> (0–45 </w:t>
      </w:r>
      <w:proofErr w:type="spellStart"/>
      <w:r w:rsidRPr="001C2C0B">
        <w:rPr>
          <w:rFonts w:ascii="Times New Roman" w:eastAsia="Times New Roman" w:hAnsi="Times New Roman" w:cs="Times New Roman"/>
          <w:sz w:val="24"/>
          <w:szCs w:val="24"/>
        </w:rPr>
        <w:t>μm</w:t>
      </w:r>
      <w:proofErr w:type="spellEnd"/>
      <w:r w:rsidRPr="001C2C0B">
        <w:rPr>
          <w:rFonts w:ascii="Times New Roman" w:eastAsia="Times New Roman" w:hAnsi="Times New Roman" w:cs="Times New Roman"/>
          <w:sz w:val="24"/>
          <w:szCs w:val="24"/>
        </w:rPr>
        <w:t xml:space="preserve">) and reagent grade granular calcite (Merck 99% pure) with an average grain size of 14 </w:t>
      </w:r>
      <w:proofErr w:type="spellStart"/>
      <w:r w:rsidRPr="001C2C0B">
        <w:rPr>
          <w:rFonts w:ascii="Times New Roman" w:eastAsia="Times New Roman" w:hAnsi="Times New Roman" w:cs="Times New Roman"/>
          <w:sz w:val="24"/>
          <w:szCs w:val="24"/>
        </w:rPr>
        <w:t>μm</w:t>
      </w:r>
      <w:proofErr w:type="spellEnd"/>
      <w:r w:rsidRPr="001C2C0B">
        <w:rPr>
          <w:rFonts w:ascii="Times New Roman" w:eastAsia="Times New Roman" w:hAnsi="Times New Roman" w:cs="Times New Roman"/>
          <w:sz w:val="24"/>
          <w:szCs w:val="24"/>
        </w:rPr>
        <w:t xml:space="preserve"> (0–28 </w:t>
      </w:r>
      <w:proofErr w:type="spellStart"/>
      <w:r w:rsidRPr="001C2C0B">
        <w:rPr>
          <w:rFonts w:ascii="Times New Roman" w:eastAsia="Times New Roman" w:hAnsi="Times New Roman" w:cs="Times New Roman"/>
          <w:sz w:val="24"/>
          <w:szCs w:val="24"/>
        </w:rPr>
        <w:t>μm</w:t>
      </w:r>
      <w:proofErr w:type="spellEnd"/>
      <w:r w:rsidRPr="001C2C0B">
        <w:rPr>
          <w:rFonts w:ascii="Times New Roman" w:eastAsia="Times New Roman" w:hAnsi="Times New Roman" w:cs="Times New Roman"/>
          <w:sz w:val="24"/>
          <w:szCs w:val="24"/>
        </w:rPr>
        <w:t xml:space="preserve">). The main impurities in the reagent grade calcite were Sr &lt;0.1%, Na &lt;0.2%, and Mg &lt;0.05%. It was necessary to use these two sources of calcite to obtain appropriate grain size fractions. The reagent grade material (0–28 </w:t>
      </w:r>
      <w:proofErr w:type="spellStart"/>
      <w:r w:rsidRPr="001C2C0B">
        <w:rPr>
          <w:rFonts w:ascii="Times New Roman" w:eastAsia="Times New Roman" w:hAnsi="Times New Roman" w:cs="Times New Roman"/>
          <w:sz w:val="24"/>
          <w:szCs w:val="24"/>
        </w:rPr>
        <w:t>μm</w:t>
      </w:r>
      <w:proofErr w:type="spellEnd"/>
      <w:r w:rsidRPr="001C2C0B">
        <w:rPr>
          <w:rFonts w:ascii="Times New Roman" w:eastAsia="Times New Roman" w:hAnsi="Times New Roman" w:cs="Times New Roman"/>
          <w:sz w:val="24"/>
          <w:szCs w:val="24"/>
        </w:rPr>
        <w:t xml:space="preserve">, mean 14 </w:t>
      </w:r>
      <w:proofErr w:type="spellStart"/>
      <w:r w:rsidRPr="001C2C0B">
        <w:rPr>
          <w:rFonts w:ascii="Times New Roman" w:eastAsia="Times New Roman" w:hAnsi="Times New Roman" w:cs="Times New Roman"/>
          <w:sz w:val="24"/>
          <w:szCs w:val="24"/>
        </w:rPr>
        <w:t>μm</w:t>
      </w:r>
      <w:proofErr w:type="spellEnd"/>
      <w:r w:rsidRPr="001C2C0B">
        <w:rPr>
          <w:rFonts w:ascii="Times New Roman" w:eastAsia="Times New Roman" w:hAnsi="Times New Roman" w:cs="Times New Roman"/>
          <w:sz w:val="24"/>
          <w:szCs w:val="24"/>
        </w:rPr>
        <w:t>) was used without further</w:t>
      </w:r>
    </w:p>
    <w:p w:rsidR="001C2C0B" w:rsidRPr="001C2C0B" w:rsidRDefault="001C2C0B" w:rsidP="001C2C0B">
      <w:pPr>
        <w:spacing w:before="100" w:beforeAutospacing="1" w:after="100" w:afterAutospacing="1" w:line="240" w:lineRule="auto"/>
        <w:outlineLvl w:val="1"/>
        <w:rPr>
          <w:rFonts w:ascii="Times New Roman" w:eastAsia="Times New Roman" w:hAnsi="Times New Roman" w:cs="Times New Roman"/>
          <w:b/>
          <w:bCs/>
          <w:sz w:val="36"/>
          <w:szCs w:val="36"/>
        </w:rPr>
      </w:pPr>
      <w:r w:rsidRPr="001C2C0B">
        <w:rPr>
          <w:rFonts w:ascii="Times New Roman" w:eastAsia="Times New Roman" w:hAnsi="Times New Roman" w:cs="Times New Roman"/>
          <w:b/>
          <w:bCs/>
          <w:sz w:val="36"/>
          <w:szCs w:val="36"/>
        </w:rPr>
        <w:t>Mechanical results and microstructure</w:t>
      </w:r>
    </w:p>
    <w:p w:rsidR="001C2C0B" w:rsidRPr="001C2C0B" w:rsidRDefault="001C2C0B" w:rsidP="001C2C0B">
      <w:pPr>
        <w:spacing w:before="100" w:beforeAutospacing="1" w:after="100" w:afterAutospacing="1" w:line="240" w:lineRule="auto"/>
        <w:rPr>
          <w:rFonts w:ascii="Times New Roman" w:eastAsia="Times New Roman" w:hAnsi="Times New Roman" w:cs="Times New Roman"/>
          <w:sz w:val="24"/>
          <w:szCs w:val="24"/>
        </w:rPr>
      </w:pPr>
      <w:r w:rsidRPr="001C2C0B">
        <w:rPr>
          <w:rFonts w:ascii="Times New Roman" w:eastAsia="Times New Roman" w:hAnsi="Times New Roman" w:cs="Times New Roman"/>
          <w:sz w:val="24"/>
          <w:szCs w:val="24"/>
        </w:rPr>
        <w:t xml:space="preserve">All 32 experiments performed in this study are listed in Table 1. Dry </w:t>
      </w:r>
      <w:proofErr w:type="spellStart"/>
      <w:r w:rsidRPr="001C2C0B">
        <w:rPr>
          <w:rFonts w:ascii="Times New Roman" w:eastAsia="Times New Roman" w:hAnsi="Times New Roman" w:cs="Times New Roman"/>
          <w:sz w:val="24"/>
          <w:szCs w:val="24"/>
        </w:rPr>
        <w:t>precompaction</w:t>
      </w:r>
      <w:proofErr w:type="spellEnd"/>
      <w:r w:rsidRPr="001C2C0B">
        <w:rPr>
          <w:rFonts w:ascii="Times New Roman" w:eastAsia="Times New Roman" w:hAnsi="Times New Roman" w:cs="Times New Roman"/>
          <w:sz w:val="24"/>
          <w:szCs w:val="24"/>
        </w:rPr>
        <w:t xml:space="preserve"> at 8 MPa produced a few percent of instantaneous strain in all cases. Samples subsequently loaded at 1 to 4 MPa and then flooded with chemically inert </w:t>
      </w:r>
      <w:proofErr w:type="spellStart"/>
      <w:r w:rsidRPr="001C2C0B">
        <w:rPr>
          <w:rFonts w:ascii="Times New Roman" w:eastAsia="Times New Roman" w:hAnsi="Times New Roman" w:cs="Times New Roman"/>
          <w:sz w:val="24"/>
          <w:szCs w:val="24"/>
        </w:rPr>
        <w:t>decane</w:t>
      </w:r>
      <w:proofErr w:type="spellEnd"/>
      <w:r w:rsidRPr="001C2C0B">
        <w:rPr>
          <w:rFonts w:ascii="Times New Roman" w:eastAsia="Times New Roman" w:hAnsi="Times New Roman" w:cs="Times New Roman"/>
          <w:sz w:val="24"/>
          <w:szCs w:val="24"/>
        </w:rPr>
        <w:t xml:space="preserve">, or loaded dry, showed no measurable compaction creep (Fig. 2, Fig. 3a). However, those flooded with </w:t>
      </w:r>
      <w:proofErr w:type="spellStart"/>
      <w:r w:rsidRPr="001C2C0B">
        <w:rPr>
          <w:rFonts w:ascii="Times New Roman" w:eastAsia="Times New Roman" w:hAnsi="Times New Roman" w:cs="Times New Roman"/>
          <w:sz w:val="24"/>
          <w:szCs w:val="24"/>
        </w:rPr>
        <w:t>presaturated</w:t>
      </w:r>
      <w:proofErr w:type="spellEnd"/>
      <w:r w:rsidRPr="001C2C0B">
        <w:rPr>
          <w:rFonts w:ascii="Times New Roman" w:eastAsia="Times New Roman" w:hAnsi="Times New Roman" w:cs="Times New Roman"/>
          <w:sz w:val="24"/>
          <w:szCs w:val="24"/>
        </w:rPr>
        <w:t xml:space="preserve"> CaCO</w:t>
      </w:r>
      <w:r w:rsidRPr="001C2C0B">
        <w:rPr>
          <w:rFonts w:ascii="Times New Roman" w:eastAsia="Times New Roman" w:hAnsi="Times New Roman" w:cs="Times New Roman"/>
          <w:sz w:val="24"/>
          <w:szCs w:val="24"/>
          <w:vertAlign w:val="subscript"/>
        </w:rPr>
        <w:t>3</w:t>
      </w:r>
      <w:r w:rsidRPr="001C2C0B">
        <w:rPr>
          <w:rFonts w:ascii="Times New Roman" w:eastAsia="Times New Roman" w:hAnsi="Times New Roman" w:cs="Times New Roman"/>
          <w:sz w:val="24"/>
          <w:szCs w:val="24"/>
        </w:rPr>
        <w:t xml:space="preserve"> solutions typically compacted by 0.5 to 1.5% within 2 to 14 days, as illustrated in Figure 2 and Figure 3. Figure 2 shows results for</w:t>
      </w:r>
    </w:p>
    <w:p w:rsidR="001C2C0B" w:rsidRPr="001C2C0B" w:rsidRDefault="001C2C0B" w:rsidP="001C2C0B">
      <w:pPr>
        <w:spacing w:before="100" w:beforeAutospacing="1" w:after="100" w:afterAutospacing="1" w:line="240" w:lineRule="auto"/>
        <w:outlineLvl w:val="1"/>
        <w:rPr>
          <w:rFonts w:ascii="Times New Roman" w:eastAsia="Times New Roman" w:hAnsi="Times New Roman" w:cs="Times New Roman"/>
          <w:b/>
          <w:bCs/>
          <w:sz w:val="36"/>
          <w:szCs w:val="36"/>
        </w:rPr>
      </w:pPr>
      <w:proofErr w:type="spellStart"/>
      <w:r w:rsidRPr="001C2C0B">
        <w:rPr>
          <w:rFonts w:ascii="Times New Roman" w:eastAsia="Times New Roman" w:hAnsi="Times New Roman" w:cs="Times New Roman"/>
          <w:b/>
          <w:bCs/>
          <w:sz w:val="36"/>
          <w:szCs w:val="36"/>
        </w:rPr>
        <w:t>Behaviour</w:t>
      </w:r>
      <w:proofErr w:type="spellEnd"/>
      <w:r w:rsidRPr="001C2C0B">
        <w:rPr>
          <w:rFonts w:ascii="Times New Roman" w:eastAsia="Times New Roman" w:hAnsi="Times New Roman" w:cs="Times New Roman"/>
          <w:b/>
          <w:bCs/>
          <w:sz w:val="36"/>
          <w:szCs w:val="36"/>
        </w:rPr>
        <w:t xml:space="preserve"> During Dry Compaction</w:t>
      </w:r>
    </w:p>
    <w:p w:rsidR="001C2C0B" w:rsidRPr="001C2C0B" w:rsidRDefault="001C2C0B" w:rsidP="001C2C0B">
      <w:pPr>
        <w:spacing w:before="100" w:beforeAutospacing="1" w:after="100" w:afterAutospacing="1" w:line="240" w:lineRule="auto"/>
        <w:rPr>
          <w:rFonts w:ascii="Times New Roman" w:eastAsia="Times New Roman" w:hAnsi="Times New Roman" w:cs="Times New Roman"/>
          <w:sz w:val="24"/>
          <w:szCs w:val="24"/>
        </w:rPr>
      </w:pPr>
      <w:proofErr w:type="spellStart"/>
      <w:r w:rsidRPr="001C2C0B">
        <w:rPr>
          <w:rFonts w:ascii="Times New Roman" w:eastAsia="Times New Roman" w:hAnsi="Times New Roman" w:cs="Times New Roman"/>
          <w:sz w:val="24"/>
          <w:szCs w:val="24"/>
        </w:rPr>
        <w:t>Precompaction</w:t>
      </w:r>
      <w:proofErr w:type="spellEnd"/>
      <w:r w:rsidRPr="001C2C0B">
        <w:rPr>
          <w:rFonts w:ascii="Times New Roman" w:eastAsia="Times New Roman" w:hAnsi="Times New Roman" w:cs="Times New Roman"/>
          <w:sz w:val="24"/>
          <w:szCs w:val="24"/>
        </w:rPr>
        <w:t xml:space="preserve"> under dry conditions, at an axial stress of 8 MPa, caused a few percent (2%–3%) of the instantaneous strains. This presumably involves grain rearrangement and intergranular sliding, </w:t>
      </w:r>
      <w:proofErr w:type="spellStart"/>
      <w:r w:rsidRPr="001C2C0B">
        <w:rPr>
          <w:rFonts w:ascii="Times New Roman" w:eastAsia="Times New Roman" w:hAnsi="Times New Roman" w:cs="Times New Roman"/>
          <w:sz w:val="24"/>
          <w:szCs w:val="24"/>
        </w:rPr>
        <w:t>microcataclasis</w:t>
      </w:r>
      <w:proofErr w:type="spellEnd"/>
      <w:r w:rsidRPr="001C2C0B">
        <w:rPr>
          <w:rFonts w:ascii="Times New Roman" w:eastAsia="Times New Roman" w:hAnsi="Times New Roman" w:cs="Times New Roman"/>
          <w:sz w:val="24"/>
          <w:szCs w:val="24"/>
        </w:rPr>
        <w:t xml:space="preserve"> (grain contact crushing/granulation), and minor crystal plastic deformation or twinning, as well as an elastic contribution (see also Zhang et al 2002, Zhang and Spiers 2005). When samples were reloaded dry at the lower axial stress of 1 to 4 MPa, almost no instantaneous compaction or</w:t>
      </w:r>
    </w:p>
    <w:p w:rsidR="001C2C0B" w:rsidRPr="001C2C0B" w:rsidRDefault="001C2C0B" w:rsidP="001C2C0B">
      <w:pPr>
        <w:spacing w:before="100" w:beforeAutospacing="1" w:after="100" w:afterAutospacing="1" w:line="240" w:lineRule="auto"/>
        <w:outlineLvl w:val="1"/>
        <w:rPr>
          <w:rFonts w:ascii="Times New Roman" w:eastAsia="Times New Roman" w:hAnsi="Times New Roman" w:cs="Times New Roman"/>
          <w:b/>
          <w:bCs/>
          <w:sz w:val="36"/>
          <w:szCs w:val="36"/>
        </w:rPr>
      </w:pPr>
      <w:r w:rsidRPr="001C2C0B">
        <w:rPr>
          <w:rFonts w:ascii="Times New Roman" w:eastAsia="Times New Roman" w:hAnsi="Times New Roman" w:cs="Times New Roman"/>
          <w:b/>
          <w:bCs/>
          <w:sz w:val="36"/>
          <w:szCs w:val="36"/>
        </w:rPr>
        <w:t>Summary and conclusions</w:t>
      </w:r>
    </w:p>
    <w:p w:rsidR="001C2C0B" w:rsidRPr="001C2C0B" w:rsidRDefault="001C2C0B" w:rsidP="001C2C0B">
      <w:pPr>
        <w:spacing w:before="100" w:beforeAutospacing="1" w:after="100" w:afterAutospacing="1" w:line="240" w:lineRule="auto"/>
        <w:rPr>
          <w:rFonts w:ascii="Times New Roman" w:eastAsia="Times New Roman" w:hAnsi="Times New Roman" w:cs="Times New Roman"/>
          <w:sz w:val="24"/>
          <w:szCs w:val="24"/>
        </w:rPr>
      </w:pPr>
      <w:r w:rsidRPr="001C2C0B">
        <w:rPr>
          <w:rFonts w:ascii="Times New Roman" w:eastAsia="Times New Roman" w:hAnsi="Times New Roman" w:cs="Times New Roman"/>
          <w:sz w:val="24"/>
          <w:szCs w:val="24"/>
        </w:rPr>
        <w:t>Uniaxial compaction creep experiments have been carried out on fine-grained calcite powders at applied stress of 1 to 4 MPa, at room temperature, and with various phosphate ion concentrations in the pore fluid from zero through 10</w:t>
      </w:r>
      <w:r w:rsidRPr="001C2C0B">
        <w:rPr>
          <w:rFonts w:ascii="Times New Roman" w:eastAsia="Times New Roman" w:hAnsi="Times New Roman" w:cs="Times New Roman"/>
          <w:sz w:val="24"/>
          <w:szCs w:val="24"/>
          <w:vertAlign w:val="superscript"/>
        </w:rPr>
        <w:t>−6</w:t>
      </w:r>
      <w:r w:rsidRPr="001C2C0B">
        <w:rPr>
          <w:rFonts w:ascii="Times New Roman" w:eastAsia="Times New Roman" w:hAnsi="Times New Roman" w:cs="Times New Roman"/>
          <w:sz w:val="24"/>
          <w:szCs w:val="24"/>
        </w:rPr>
        <w:t xml:space="preserve"> to 10</w:t>
      </w:r>
      <w:r w:rsidRPr="001C2C0B">
        <w:rPr>
          <w:rFonts w:ascii="Times New Roman" w:eastAsia="Times New Roman" w:hAnsi="Times New Roman" w:cs="Times New Roman"/>
          <w:sz w:val="24"/>
          <w:szCs w:val="24"/>
          <w:vertAlign w:val="superscript"/>
        </w:rPr>
        <w:t>−3</w:t>
      </w:r>
      <w:r w:rsidRPr="001C2C0B">
        <w:rPr>
          <w:rFonts w:ascii="Times New Roman" w:eastAsia="Times New Roman" w:hAnsi="Times New Roman" w:cs="Times New Roman"/>
          <w:sz w:val="24"/>
          <w:szCs w:val="24"/>
        </w:rPr>
        <w:t xml:space="preserve"> mol/L. The following main conclusions can be drawn. </w:t>
      </w:r>
    </w:p>
    <w:p w:rsidR="001C2C0B" w:rsidRPr="001C2C0B" w:rsidRDefault="001C2C0B" w:rsidP="001C2C0B">
      <w:pPr>
        <w:numPr>
          <w:ilvl w:val="0"/>
          <w:numId w:val="1"/>
        </w:numPr>
        <w:spacing w:before="100" w:beforeAutospacing="1" w:after="100" w:afterAutospacing="1" w:line="240" w:lineRule="auto"/>
        <w:rPr>
          <w:rFonts w:ascii="Times New Roman" w:eastAsia="Times New Roman" w:hAnsi="Times New Roman" w:cs="Times New Roman"/>
          <w:sz w:val="24"/>
          <w:szCs w:val="24"/>
        </w:rPr>
      </w:pPr>
      <w:r w:rsidRPr="001C2C0B">
        <w:rPr>
          <w:rFonts w:ascii="Times New Roman" w:eastAsia="Times New Roman" w:hAnsi="Times New Roman" w:cs="Times New Roman"/>
          <w:sz w:val="24"/>
          <w:szCs w:val="24"/>
        </w:rPr>
        <w:t>1</w:t>
      </w:r>
    </w:p>
    <w:p w:rsidR="001C2C0B" w:rsidRPr="001C2C0B" w:rsidRDefault="001C2C0B" w:rsidP="001C2C0B">
      <w:pPr>
        <w:spacing w:before="100" w:beforeAutospacing="1" w:after="100" w:afterAutospacing="1" w:line="240" w:lineRule="auto"/>
        <w:ind w:left="720"/>
        <w:rPr>
          <w:rFonts w:ascii="Times New Roman" w:eastAsia="Times New Roman" w:hAnsi="Times New Roman" w:cs="Times New Roman"/>
          <w:sz w:val="24"/>
          <w:szCs w:val="24"/>
        </w:rPr>
      </w:pPr>
      <w:r w:rsidRPr="001C2C0B">
        <w:rPr>
          <w:rFonts w:ascii="Times New Roman" w:eastAsia="Times New Roman" w:hAnsi="Times New Roman" w:cs="Times New Roman"/>
          <w:sz w:val="24"/>
          <w:szCs w:val="24"/>
        </w:rPr>
        <w:t>Measurable rates of time-dependent compaction occur in wet, fine-grained material under the experimental conditions employed. On the basis of the main effects and trends seen in our mechanical data (effect</w:t>
      </w:r>
    </w:p>
    <w:p w:rsidR="001C2C0B" w:rsidRPr="001C2C0B" w:rsidRDefault="001C2C0B" w:rsidP="001C2C0B">
      <w:pPr>
        <w:spacing w:before="100" w:beforeAutospacing="1" w:after="100" w:afterAutospacing="1" w:line="240" w:lineRule="auto"/>
        <w:outlineLvl w:val="1"/>
        <w:rPr>
          <w:rFonts w:ascii="Times New Roman" w:eastAsia="Times New Roman" w:hAnsi="Times New Roman" w:cs="Times New Roman"/>
          <w:b/>
          <w:bCs/>
          <w:sz w:val="36"/>
          <w:szCs w:val="36"/>
        </w:rPr>
      </w:pPr>
      <w:r w:rsidRPr="001C2C0B">
        <w:rPr>
          <w:rFonts w:ascii="Times New Roman" w:eastAsia="Times New Roman" w:hAnsi="Times New Roman" w:cs="Times New Roman"/>
          <w:b/>
          <w:bCs/>
          <w:sz w:val="36"/>
          <w:szCs w:val="36"/>
        </w:rPr>
        <w:t>Acknowledgments</w:t>
      </w:r>
    </w:p>
    <w:p w:rsidR="001C2C0B" w:rsidRPr="001C2C0B" w:rsidRDefault="001C2C0B" w:rsidP="001C2C0B">
      <w:pPr>
        <w:spacing w:before="100" w:beforeAutospacing="1" w:after="100" w:afterAutospacing="1" w:line="240" w:lineRule="auto"/>
        <w:rPr>
          <w:rFonts w:ascii="Times New Roman" w:eastAsia="Times New Roman" w:hAnsi="Times New Roman" w:cs="Times New Roman"/>
          <w:sz w:val="24"/>
          <w:szCs w:val="24"/>
        </w:rPr>
      </w:pPr>
      <w:r w:rsidRPr="001C2C0B">
        <w:rPr>
          <w:rFonts w:ascii="Times New Roman" w:eastAsia="Times New Roman" w:hAnsi="Times New Roman" w:cs="Times New Roman"/>
          <w:sz w:val="24"/>
          <w:szCs w:val="24"/>
        </w:rPr>
        <w:t xml:space="preserve">This project was funded by Shell Research (SIEP, Rijswijk). We thank F. </w:t>
      </w:r>
      <w:proofErr w:type="spellStart"/>
      <w:r w:rsidRPr="001C2C0B">
        <w:rPr>
          <w:rFonts w:ascii="Times New Roman" w:eastAsia="Times New Roman" w:hAnsi="Times New Roman" w:cs="Times New Roman"/>
          <w:sz w:val="24"/>
          <w:szCs w:val="24"/>
        </w:rPr>
        <w:t>Dula</w:t>
      </w:r>
      <w:proofErr w:type="spellEnd"/>
      <w:r w:rsidRPr="001C2C0B">
        <w:rPr>
          <w:rFonts w:ascii="Times New Roman" w:eastAsia="Times New Roman" w:hAnsi="Times New Roman" w:cs="Times New Roman"/>
          <w:sz w:val="24"/>
          <w:szCs w:val="24"/>
        </w:rPr>
        <w:t xml:space="preserve"> and J. </w:t>
      </w:r>
      <w:proofErr w:type="spellStart"/>
      <w:r w:rsidRPr="001C2C0B">
        <w:rPr>
          <w:rFonts w:ascii="Times New Roman" w:eastAsia="Times New Roman" w:hAnsi="Times New Roman" w:cs="Times New Roman"/>
          <w:sz w:val="24"/>
          <w:szCs w:val="24"/>
        </w:rPr>
        <w:t>Constanty</w:t>
      </w:r>
      <w:proofErr w:type="spellEnd"/>
      <w:r w:rsidRPr="001C2C0B">
        <w:rPr>
          <w:rFonts w:ascii="Times New Roman" w:eastAsia="Times New Roman" w:hAnsi="Times New Roman" w:cs="Times New Roman"/>
          <w:sz w:val="24"/>
          <w:szCs w:val="24"/>
        </w:rPr>
        <w:t xml:space="preserve"> of Shell for many valuable discussions and for granting permission to publish this article. P. van </w:t>
      </w:r>
      <w:proofErr w:type="spellStart"/>
      <w:r w:rsidRPr="001C2C0B">
        <w:rPr>
          <w:rFonts w:ascii="Times New Roman" w:eastAsia="Times New Roman" w:hAnsi="Times New Roman" w:cs="Times New Roman"/>
          <w:sz w:val="24"/>
          <w:szCs w:val="24"/>
        </w:rPr>
        <w:t>Krieken</w:t>
      </w:r>
      <w:proofErr w:type="spellEnd"/>
      <w:r w:rsidRPr="001C2C0B">
        <w:rPr>
          <w:rFonts w:ascii="Times New Roman" w:eastAsia="Times New Roman" w:hAnsi="Times New Roman" w:cs="Times New Roman"/>
          <w:sz w:val="24"/>
          <w:szCs w:val="24"/>
        </w:rPr>
        <w:t xml:space="preserve"> is thanked for technical support. Eric </w:t>
      </w:r>
      <w:proofErr w:type="spellStart"/>
      <w:r w:rsidRPr="001C2C0B">
        <w:rPr>
          <w:rFonts w:ascii="Times New Roman" w:eastAsia="Times New Roman" w:hAnsi="Times New Roman" w:cs="Times New Roman"/>
          <w:sz w:val="24"/>
          <w:szCs w:val="24"/>
        </w:rPr>
        <w:t>Oelkers</w:t>
      </w:r>
      <w:proofErr w:type="spellEnd"/>
      <w:r w:rsidRPr="001C2C0B">
        <w:rPr>
          <w:rFonts w:ascii="Times New Roman" w:eastAsia="Times New Roman" w:hAnsi="Times New Roman" w:cs="Times New Roman"/>
          <w:sz w:val="24"/>
          <w:szCs w:val="24"/>
        </w:rPr>
        <w:t xml:space="preserve">, Daniel Koehn, Roland Hellman, and Jean Pierre </w:t>
      </w:r>
      <w:proofErr w:type="spellStart"/>
      <w:r w:rsidRPr="001C2C0B">
        <w:rPr>
          <w:rFonts w:ascii="Times New Roman" w:eastAsia="Times New Roman" w:hAnsi="Times New Roman" w:cs="Times New Roman"/>
          <w:sz w:val="24"/>
          <w:szCs w:val="24"/>
        </w:rPr>
        <w:t>Gratier</w:t>
      </w:r>
      <w:proofErr w:type="spellEnd"/>
      <w:r w:rsidRPr="001C2C0B">
        <w:rPr>
          <w:rFonts w:ascii="Times New Roman" w:eastAsia="Times New Roman" w:hAnsi="Times New Roman" w:cs="Times New Roman"/>
          <w:sz w:val="24"/>
          <w:szCs w:val="24"/>
        </w:rPr>
        <w:t xml:space="preserve"> are gratefully acknowledged for feedback during the review stage that greatly improved the paper</w:t>
      </w:r>
    </w:p>
    <w:p w:rsidR="00BB0D98" w:rsidRDefault="00BB0D98"/>
    <w:sectPr w:rsidR="00BB0D98">
      <w:pgSz w:w="12240" w:h="15840"/>
      <w:pgMar w:top="1134" w:right="850" w:bottom="1134" w:left="170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9E74C9F"/>
    <w:multiLevelType w:val="multilevel"/>
    <w:tmpl w:val="82FA31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C2C0B"/>
    <w:rsid w:val="001C2C0B"/>
    <w:rsid w:val="00BB0D9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1CC328"/>
  <w15:chartTrackingRefBased/>
  <w15:docId w15:val="{31A07696-1B83-4F4D-89BA-420FEC8D33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link w:val="10"/>
    <w:uiPriority w:val="9"/>
    <w:qFormat/>
    <w:rsid w:val="001C2C0B"/>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2">
    <w:name w:val="heading 2"/>
    <w:basedOn w:val="a"/>
    <w:link w:val="20"/>
    <w:uiPriority w:val="9"/>
    <w:qFormat/>
    <w:rsid w:val="001C2C0B"/>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1C2C0B"/>
    <w:rPr>
      <w:rFonts w:ascii="Times New Roman" w:eastAsia="Times New Roman" w:hAnsi="Times New Roman" w:cs="Times New Roman"/>
      <w:b/>
      <w:bCs/>
      <w:kern w:val="36"/>
      <w:sz w:val="48"/>
      <w:szCs w:val="48"/>
    </w:rPr>
  </w:style>
  <w:style w:type="character" w:customStyle="1" w:styleId="20">
    <w:name w:val="Заголовок 2 Знак"/>
    <w:basedOn w:val="a0"/>
    <w:link w:val="2"/>
    <w:uiPriority w:val="9"/>
    <w:rsid w:val="001C2C0B"/>
    <w:rPr>
      <w:rFonts w:ascii="Times New Roman" w:eastAsia="Times New Roman" w:hAnsi="Times New Roman" w:cs="Times New Roman"/>
      <w:b/>
      <w:bCs/>
      <w:sz w:val="36"/>
      <w:szCs w:val="36"/>
    </w:rPr>
  </w:style>
  <w:style w:type="character" w:customStyle="1" w:styleId="title-text">
    <w:name w:val="title-text"/>
    <w:basedOn w:val="a0"/>
    <w:rsid w:val="001C2C0B"/>
  </w:style>
  <w:style w:type="character" w:customStyle="1" w:styleId="sr-only">
    <w:name w:val="sr-only"/>
    <w:basedOn w:val="a0"/>
    <w:rsid w:val="001C2C0B"/>
  </w:style>
  <w:style w:type="character" w:styleId="a3">
    <w:name w:val="Hyperlink"/>
    <w:basedOn w:val="a0"/>
    <w:uiPriority w:val="99"/>
    <w:semiHidden/>
    <w:unhideWhenUsed/>
    <w:rsid w:val="001C2C0B"/>
    <w:rPr>
      <w:color w:val="0000FF"/>
      <w:u w:val="single"/>
    </w:rPr>
  </w:style>
  <w:style w:type="character" w:customStyle="1" w:styleId="anchor-text">
    <w:name w:val="anchor-text"/>
    <w:basedOn w:val="a0"/>
    <w:rsid w:val="001C2C0B"/>
  </w:style>
  <w:style w:type="paragraph" w:styleId="a4">
    <w:name w:val="Normal (Web)"/>
    <w:basedOn w:val="a"/>
    <w:uiPriority w:val="99"/>
    <w:semiHidden/>
    <w:unhideWhenUsed/>
    <w:rsid w:val="001C2C0B"/>
    <w:pPr>
      <w:spacing w:before="100" w:beforeAutospacing="1" w:after="100" w:afterAutospacing="1" w:line="240" w:lineRule="auto"/>
    </w:pPr>
    <w:rPr>
      <w:rFonts w:ascii="Times New Roman" w:eastAsia="Times New Roman" w:hAnsi="Times New Roman" w:cs="Times New Roman"/>
      <w:sz w:val="24"/>
      <w:szCs w:val="24"/>
    </w:rPr>
  </w:style>
  <w:style w:type="character" w:styleId="a5">
    <w:name w:val="Emphasis"/>
    <w:basedOn w:val="a0"/>
    <w:uiPriority w:val="20"/>
    <w:qFormat/>
    <w:rsid w:val="001C2C0B"/>
    <w:rPr>
      <w:i/>
      <w:iCs/>
    </w:rPr>
  </w:style>
  <w:style w:type="paragraph" w:customStyle="1" w:styleId="react-xocs-list-item">
    <w:name w:val="react-xocs-list-item"/>
    <w:basedOn w:val="a"/>
    <w:rsid w:val="001C2C0B"/>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list-label">
    <w:name w:val="list-label"/>
    <w:basedOn w:val="a0"/>
    <w:rsid w:val="001C2C0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461419527">
      <w:bodyDiv w:val="1"/>
      <w:marLeft w:val="0"/>
      <w:marRight w:val="0"/>
      <w:marTop w:val="0"/>
      <w:marBottom w:val="0"/>
      <w:divBdr>
        <w:top w:val="none" w:sz="0" w:space="0" w:color="auto"/>
        <w:left w:val="none" w:sz="0" w:space="0" w:color="auto"/>
        <w:bottom w:val="none" w:sz="0" w:space="0" w:color="auto"/>
        <w:right w:val="none" w:sz="0" w:space="0" w:color="auto"/>
      </w:divBdr>
      <w:divsChild>
        <w:div w:id="1938321217">
          <w:marLeft w:val="0"/>
          <w:marRight w:val="0"/>
          <w:marTop w:val="0"/>
          <w:marBottom w:val="0"/>
          <w:divBdr>
            <w:top w:val="none" w:sz="0" w:space="0" w:color="auto"/>
            <w:left w:val="none" w:sz="0" w:space="0" w:color="auto"/>
            <w:bottom w:val="none" w:sz="0" w:space="0" w:color="auto"/>
            <w:right w:val="none" w:sz="0" w:space="0" w:color="auto"/>
          </w:divBdr>
          <w:divsChild>
            <w:div w:id="1087577129">
              <w:marLeft w:val="0"/>
              <w:marRight w:val="0"/>
              <w:marTop w:val="0"/>
              <w:marBottom w:val="0"/>
              <w:divBdr>
                <w:top w:val="none" w:sz="0" w:space="0" w:color="auto"/>
                <w:left w:val="none" w:sz="0" w:space="0" w:color="auto"/>
                <w:bottom w:val="none" w:sz="0" w:space="0" w:color="auto"/>
                <w:right w:val="none" w:sz="0" w:space="0" w:color="auto"/>
              </w:divBdr>
              <w:divsChild>
                <w:div w:id="219437080">
                  <w:marLeft w:val="0"/>
                  <w:marRight w:val="0"/>
                  <w:marTop w:val="0"/>
                  <w:marBottom w:val="0"/>
                  <w:divBdr>
                    <w:top w:val="none" w:sz="0" w:space="0" w:color="auto"/>
                    <w:left w:val="none" w:sz="0" w:space="0" w:color="auto"/>
                    <w:bottom w:val="none" w:sz="0" w:space="0" w:color="auto"/>
                    <w:right w:val="none" w:sz="0" w:space="0" w:color="auto"/>
                  </w:divBdr>
                  <w:divsChild>
                    <w:div w:id="191613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4088682">
          <w:marLeft w:val="0"/>
          <w:marRight w:val="0"/>
          <w:marTop w:val="0"/>
          <w:marBottom w:val="0"/>
          <w:divBdr>
            <w:top w:val="none" w:sz="0" w:space="0" w:color="auto"/>
            <w:left w:val="none" w:sz="0" w:space="0" w:color="auto"/>
            <w:bottom w:val="none" w:sz="0" w:space="0" w:color="auto"/>
            <w:right w:val="none" w:sz="0" w:space="0" w:color="auto"/>
          </w:divBdr>
          <w:divsChild>
            <w:div w:id="1320691178">
              <w:marLeft w:val="0"/>
              <w:marRight w:val="0"/>
              <w:marTop w:val="0"/>
              <w:marBottom w:val="0"/>
              <w:divBdr>
                <w:top w:val="none" w:sz="0" w:space="0" w:color="auto"/>
                <w:left w:val="none" w:sz="0" w:space="0" w:color="auto"/>
                <w:bottom w:val="none" w:sz="0" w:space="0" w:color="auto"/>
                <w:right w:val="none" w:sz="0" w:space="0" w:color="auto"/>
              </w:divBdr>
              <w:divsChild>
                <w:div w:id="476142487">
                  <w:marLeft w:val="0"/>
                  <w:marRight w:val="0"/>
                  <w:marTop w:val="0"/>
                  <w:marBottom w:val="0"/>
                  <w:divBdr>
                    <w:top w:val="none" w:sz="0" w:space="0" w:color="auto"/>
                    <w:left w:val="none" w:sz="0" w:space="0" w:color="auto"/>
                    <w:bottom w:val="none" w:sz="0" w:space="0" w:color="auto"/>
                    <w:right w:val="none" w:sz="0" w:space="0" w:color="auto"/>
                  </w:divBdr>
                  <w:divsChild>
                    <w:div w:id="12212858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0541284">
          <w:marLeft w:val="0"/>
          <w:marRight w:val="0"/>
          <w:marTop w:val="0"/>
          <w:marBottom w:val="0"/>
          <w:divBdr>
            <w:top w:val="none" w:sz="0" w:space="0" w:color="auto"/>
            <w:left w:val="none" w:sz="0" w:space="0" w:color="auto"/>
            <w:bottom w:val="none" w:sz="0" w:space="0" w:color="auto"/>
            <w:right w:val="none" w:sz="0" w:space="0" w:color="auto"/>
          </w:divBdr>
          <w:divsChild>
            <w:div w:id="684331421">
              <w:marLeft w:val="0"/>
              <w:marRight w:val="0"/>
              <w:marTop w:val="0"/>
              <w:marBottom w:val="0"/>
              <w:divBdr>
                <w:top w:val="none" w:sz="0" w:space="0" w:color="auto"/>
                <w:left w:val="none" w:sz="0" w:space="0" w:color="auto"/>
                <w:bottom w:val="none" w:sz="0" w:space="0" w:color="auto"/>
                <w:right w:val="none" w:sz="0" w:space="0" w:color="auto"/>
              </w:divBdr>
            </w:div>
          </w:divsChild>
        </w:div>
        <w:div w:id="252664949">
          <w:marLeft w:val="0"/>
          <w:marRight w:val="0"/>
          <w:marTop w:val="0"/>
          <w:marBottom w:val="0"/>
          <w:divBdr>
            <w:top w:val="none" w:sz="0" w:space="0" w:color="auto"/>
            <w:left w:val="none" w:sz="0" w:space="0" w:color="auto"/>
            <w:bottom w:val="none" w:sz="0" w:space="0" w:color="auto"/>
            <w:right w:val="none" w:sz="0" w:space="0" w:color="auto"/>
          </w:divBdr>
          <w:divsChild>
            <w:div w:id="2077042848">
              <w:marLeft w:val="0"/>
              <w:marRight w:val="0"/>
              <w:marTop w:val="0"/>
              <w:marBottom w:val="0"/>
              <w:divBdr>
                <w:top w:val="none" w:sz="0" w:space="0" w:color="auto"/>
                <w:left w:val="none" w:sz="0" w:space="0" w:color="auto"/>
                <w:bottom w:val="none" w:sz="0" w:space="0" w:color="auto"/>
                <w:right w:val="none" w:sz="0" w:space="0" w:color="auto"/>
              </w:divBdr>
            </w:div>
          </w:divsChild>
        </w:div>
        <w:div w:id="2006085245">
          <w:marLeft w:val="0"/>
          <w:marRight w:val="0"/>
          <w:marTop w:val="0"/>
          <w:marBottom w:val="0"/>
          <w:divBdr>
            <w:top w:val="none" w:sz="0" w:space="0" w:color="auto"/>
            <w:left w:val="none" w:sz="0" w:space="0" w:color="auto"/>
            <w:bottom w:val="none" w:sz="0" w:space="0" w:color="auto"/>
            <w:right w:val="none" w:sz="0" w:space="0" w:color="auto"/>
          </w:divBdr>
          <w:divsChild>
            <w:div w:id="17570490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earth-and-planetary-sciences/porewater" TargetMode="External"/><Relationship Id="rId3" Type="http://schemas.openxmlformats.org/officeDocument/2006/relationships/settings" Target="settings.xml"/><Relationship Id="rId7" Type="http://schemas.openxmlformats.org/officeDocument/2006/relationships/hyperlink" Target="https://www.sciencedirect.com/topics/earth-and-planetary-sciences/ion-concentration"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sciencedirect.com/topics/earth-and-planetary-sciences/halite" TargetMode="External"/><Relationship Id="rId5" Type="http://schemas.openxmlformats.org/officeDocument/2006/relationships/hyperlink" Target="https://doi.org/10.1016/j.gca.2005.08.006" TargetMode="Externa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2172</Words>
  <Characters>12386</Characters>
  <Application>Microsoft Office Word</Application>
  <DocSecurity>0</DocSecurity>
  <Lines>103</Lines>
  <Paragraphs>29</Paragraphs>
  <ScaleCrop>false</ScaleCrop>
  <Company/>
  <LinksUpToDate>false</LinksUpToDate>
  <CharactersWithSpaces>14529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Mike</dc:creator>
  <cp:keywords/>
  <dc:description/>
  <cp:lastModifiedBy>Mike</cp:lastModifiedBy>
  <cp:revision>1</cp:revision>
  <dcterms:created xsi:type="dcterms:W3CDTF">2023-11-11T03:43:00Z</dcterms:created>
  <dcterms:modified xsi:type="dcterms:W3CDTF">2023-11-11T03:44:00Z</dcterms:modified>
</cp:coreProperties>
</file>