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B3D8A" w:rsidRPr="006B3D8A" w:rsidRDefault="006B3D8A" w:rsidP="006B3D8A">
      <w:pPr>
        <w:spacing w:before="100" w:beforeAutospacing="1" w:after="100" w:afterAutospacing="1" w:line="240" w:lineRule="auto"/>
        <w:outlineLvl w:val="0"/>
        <w:rPr>
          <w:rFonts w:ascii="Times New Roman" w:eastAsia="Times New Roman" w:hAnsi="Times New Roman" w:cs="Times New Roman"/>
          <w:b/>
          <w:bCs/>
          <w:kern w:val="36"/>
          <w:sz w:val="48"/>
          <w:szCs w:val="48"/>
        </w:rPr>
      </w:pPr>
      <w:proofErr w:type="gramStart"/>
      <w:r w:rsidRPr="006B3D8A">
        <w:rPr>
          <w:rFonts w:ascii="Times New Roman" w:eastAsia="Times New Roman" w:hAnsi="Times New Roman" w:cs="Times New Roman"/>
          <w:b/>
          <w:bCs/>
          <w:kern w:val="36"/>
          <w:sz w:val="48"/>
          <w:szCs w:val="48"/>
        </w:rPr>
        <w:t>Palladium(</w:t>
      </w:r>
      <w:proofErr w:type="gramEnd"/>
      <w:r w:rsidRPr="006B3D8A">
        <w:rPr>
          <w:rFonts w:ascii="Times New Roman" w:eastAsia="Times New Roman" w:hAnsi="Times New Roman" w:cs="Times New Roman"/>
          <w:b/>
          <w:bCs/>
          <w:kern w:val="36"/>
          <w:sz w:val="48"/>
          <w:szCs w:val="48"/>
        </w:rPr>
        <w:t>II) chloride complexation: Spectrophotometric investigation in aqueous solutions from 5 to 125°C and theoretical insight into Pd-Cl and Pd-OH</w:t>
      </w:r>
      <w:r w:rsidRPr="006B3D8A">
        <w:rPr>
          <w:rFonts w:ascii="Times New Roman" w:eastAsia="Times New Roman" w:hAnsi="Times New Roman" w:cs="Times New Roman"/>
          <w:b/>
          <w:bCs/>
          <w:kern w:val="36"/>
          <w:sz w:val="48"/>
          <w:szCs w:val="48"/>
          <w:vertAlign w:val="subscript"/>
        </w:rPr>
        <w:t>2</w:t>
      </w:r>
      <w:r w:rsidRPr="006B3D8A">
        <w:rPr>
          <w:rFonts w:ascii="Times New Roman" w:eastAsia="Times New Roman" w:hAnsi="Times New Roman" w:cs="Times New Roman"/>
          <w:b/>
          <w:bCs/>
          <w:kern w:val="36"/>
          <w:sz w:val="48"/>
          <w:szCs w:val="48"/>
        </w:rPr>
        <w:t xml:space="preserve"> interactions</w:t>
      </w:r>
    </w:p>
    <w:p w:rsidR="006B3D8A" w:rsidRPr="006B3D8A" w:rsidRDefault="006B3D8A" w:rsidP="006B3D8A">
      <w:pPr>
        <w:spacing w:after="0"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Author links open overlay panel</w:t>
      </w:r>
    </w:p>
    <w:p w:rsidR="006B3D8A" w:rsidRPr="006B3D8A" w:rsidRDefault="006B3D8A" w:rsidP="006B3D8A">
      <w:pPr>
        <w:spacing w:after="0"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 </w:t>
      </w:r>
    </w:p>
    <w:p w:rsidR="006B3D8A" w:rsidRPr="006B3D8A" w:rsidRDefault="006B3D8A" w:rsidP="006B3D8A">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B3D8A">
          <w:rPr>
            <w:rFonts w:ascii="Times New Roman" w:eastAsia="Times New Roman" w:hAnsi="Times New Roman" w:cs="Times New Roman"/>
            <w:color w:val="0000FF"/>
            <w:sz w:val="24"/>
            <w:szCs w:val="24"/>
            <w:u w:val="single"/>
          </w:rPr>
          <w:t>https://doi.org/10.1016/j.gca.2005.03.015</w:t>
        </w:r>
      </w:hyperlink>
      <w:bookmarkStart w:id="0" w:name="_GoBack"/>
      <w:bookmarkEnd w:id="0"/>
      <w:r w:rsidRPr="006B3D8A">
        <w:rPr>
          <w:rFonts w:ascii="Times New Roman" w:eastAsia="Times New Roman" w:hAnsi="Times New Roman" w:cs="Times New Roman"/>
          <w:sz w:val="24"/>
          <w:szCs w:val="24"/>
        </w:rPr>
        <w:t xml:space="preserve"> </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Abstract</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Monomeric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 xml:space="preserve">II) </w:t>
      </w:r>
      <w:proofErr w:type="spellStart"/>
      <w:r w:rsidRPr="006B3D8A">
        <w:rPr>
          <w:rFonts w:ascii="Times New Roman" w:eastAsia="Times New Roman" w:hAnsi="Times New Roman" w:cs="Times New Roman"/>
          <w:sz w:val="24"/>
          <w:szCs w:val="24"/>
        </w:rPr>
        <w:t>chloro</w:t>
      </w:r>
      <w:proofErr w:type="spellEnd"/>
      <w:r w:rsidRPr="006B3D8A">
        <w:rPr>
          <w:rFonts w:ascii="Times New Roman" w:eastAsia="Times New Roman" w:hAnsi="Times New Roman" w:cs="Times New Roman"/>
          <w:sz w:val="24"/>
          <w:szCs w:val="24"/>
        </w:rPr>
        <w:t xml:space="preserve"> aqua complexes of the form </w:t>
      </w:r>
      <w:proofErr w:type="spellStart"/>
      <w:r w:rsidRPr="006B3D8A">
        <w:rPr>
          <w:rFonts w:ascii="Times New Roman" w:eastAsia="Times New Roman" w:hAnsi="Times New Roman" w:cs="Times New Roman"/>
          <w:sz w:val="24"/>
          <w:szCs w:val="24"/>
        </w:rPr>
        <w:t>PdCl</w:t>
      </w:r>
      <w:r w:rsidRPr="006B3D8A">
        <w:rPr>
          <w:rFonts w:ascii="Times New Roman" w:eastAsia="Times New Roman" w:hAnsi="Times New Roman" w:cs="Times New Roman"/>
          <w:sz w:val="24"/>
          <w:szCs w:val="24"/>
          <w:vertAlign w:val="subscript"/>
        </w:rPr>
        <w:t>r</w:t>
      </w:r>
      <w:proofErr w:type="spellEnd"/>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4-r</w:t>
      </w:r>
      <w:r w:rsidRPr="006B3D8A">
        <w:rPr>
          <w:rFonts w:ascii="Times New Roman" w:eastAsia="Times New Roman" w:hAnsi="Times New Roman" w:cs="Times New Roman"/>
          <w:sz w:val="24"/>
          <w:szCs w:val="24"/>
          <w:vertAlign w:val="superscript"/>
        </w:rPr>
        <w:t>2-r</w:t>
      </w:r>
      <w:r w:rsidRPr="006B3D8A">
        <w:rPr>
          <w:rFonts w:ascii="Times New Roman" w:eastAsia="Times New Roman" w:hAnsi="Times New Roman" w:cs="Times New Roman"/>
          <w:sz w:val="24"/>
          <w:szCs w:val="24"/>
        </w:rPr>
        <w:t xml:space="preserve"> (</w:t>
      </w:r>
      <w:r w:rsidRPr="006B3D8A">
        <w:rPr>
          <w:rFonts w:ascii="Times New Roman" w:eastAsia="Times New Roman" w:hAnsi="Times New Roman" w:cs="Times New Roman"/>
          <w:i/>
          <w:iCs/>
          <w:sz w:val="24"/>
          <w:szCs w:val="24"/>
        </w:rPr>
        <w:t>r</w:t>
      </w:r>
      <w:r w:rsidRPr="006B3D8A">
        <w:rPr>
          <w:rFonts w:ascii="Times New Roman" w:eastAsia="Times New Roman" w:hAnsi="Times New Roman" w:cs="Times New Roman"/>
          <w:sz w:val="24"/>
          <w:szCs w:val="24"/>
        </w:rPr>
        <w:t xml:space="preserve"> = [0,4]) were studied both experimentally and theoretically to gain insight on both the stabilities and the nature of palladium-chloride interactions.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The thermodynamic stabilities of these complexes were studied in aqueous solutions from 5 to 125°C with UV-vis </w:t>
      </w:r>
      <w:hyperlink r:id="rId5" w:tooltip="Learn more about spectrophotometry from ScienceDirect's AI-generated Topic Pages" w:history="1">
        <w:r w:rsidRPr="006B3D8A">
          <w:rPr>
            <w:rFonts w:ascii="Times New Roman" w:eastAsia="Times New Roman" w:hAnsi="Times New Roman" w:cs="Times New Roman"/>
            <w:color w:val="0000FF"/>
            <w:sz w:val="24"/>
            <w:szCs w:val="24"/>
            <w:u w:val="single"/>
          </w:rPr>
          <w:t>spectrophotometry</w:t>
        </w:r>
      </w:hyperlink>
      <w:r w:rsidRPr="006B3D8A">
        <w:rPr>
          <w:rFonts w:ascii="Times New Roman" w:eastAsia="Times New Roman" w:hAnsi="Times New Roman" w:cs="Times New Roman"/>
          <w:sz w:val="24"/>
          <w:szCs w:val="24"/>
        </w:rPr>
        <w:t xml:space="preserve"> using a quartz flow-through cell. Tentative measurements up to 200°C were also carried out in </w:t>
      </w:r>
      <w:proofErr w:type="spellStart"/>
      <w:r w:rsidRPr="006B3D8A">
        <w:rPr>
          <w:rFonts w:ascii="Times New Roman" w:eastAsia="Times New Roman" w:hAnsi="Times New Roman" w:cs="Times New Roman"/>
          <w:sz w:val="24"/>
          <w:szCs w:val="24"/>
        </w:rPr>
        <w:t>pressurised</w:t>
      </w:r>
      <w:proofErr w:type="spellEnd"/>
      <w:r w:rsidRPr="006B3D8A">
        <w:rPr>
          <w:rFonts w:ascii="Times New Roman" w:eastAsia="Times New Roman" w:hAnsi="Times New Roman" w:cs="Times New Roman"/>
          <w:sz w:val="24"/>
          <w:szCs w:val="24"/>
        </w:rPr>
        <w:t xml:space="preserve"> titanium and gold-lined optical cells but revealed important losses in soluble palladium. The strong ligand-to-metal charge transfer bands of the palladium complexes below 350 nm were used to constrain the stepwise thermodynamic formation constants at each temperature, using results of singular value decompositions of the spectra over a broad range of </w:t>
      </w:r>
      <w:proofErr w:type="spellStart"/>
      <w:r w:rsidRPr="006B3D8A">
        <w:rPr>
          <w:rFonts w:ascii="Times New Roman" w:eastAsia="Times New Roman" w:hAnsi="Times New Roman" w:cs="Times New Roman"/>
          <w:sz w:val="24"/>
          <w:szCs w:val="24"/>
        </w:rPr>
        <w:t>palladium:chloride</w:t>
      </w:r>
      <w:proofErr w:type="spellEnd"/>
      <w:r w:rsidRPr="006B3D8A">
        <w:rPr>
          <w:rFonts w:ascii="Times New Roman" w:eastAsia="Times New Roman" w:hAnsi="Times New Roman" w:cs="Times New Roman"/>
          <w:sz w:val="24"/>
          <w:szCs w:val="24"/>
        </w:rPr>
        <w:t xml:space="preserve"> ratios and wavelengths. The temperature-dependent constants were used to obtain changes in enthalpy and in entropy for each reaction. The thermodynamic stabilities of </w:t>
      </w:r>
      <w:proofErr w:type="spellStart"/>
      <w:proofErr w:type="gramStart"/>
      <w:r w:rsidRPr="006B3D8A">
        <w:rPr>
          <w:rFonts w:ascii="Times New Roman" w:eastAsia="Times New Roman" w:hAnsi="Times New Roman" w:cs="Times New Roman"/>
          <w:sz w:val="24"/>
          <w:szCs w:val="24"/>
        </w:rPr>
        <w:t>PdCl</w:t>
      </w:r>
      <w:proofErr w:type="spellEnd"/>
      <w:r w:rsidRPr="006B3D8A">
        <w:rPr>
          <w:rFonts w:ascii="Times New Roman" w:eastAsia="Times New Roman" w:hAnsi="Times New Roman" w:cs="Times New Roman"/>
          <w:sz w:val="24"/>
          <w:szCs w:val="24"/>
        </w:rPr>
        <w:t>(</w:t>
      </w:r>
      <w:proofErr w:type="gramEnd"/>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3</w:t>
      </w:r>
      <w:r w:rsidRPr="006B3D8A">
        <w:rPr>
          <w:rFonts w:ascii="Times New Roman" w:eastAsia="Times New Roman" w:hAnsi="Times New Roman" w:cs="Times New Roman"/>
          <w:sz w:val="24"/>
          <w:szCs w:val="24"/>
          <w:vertAlign w:val="superscript"/>
        </w:rPr>
        <w:t>+</w:t>
      </w:r>
      <w:r w:rsidRPr="006B3D8A">
        <w:rPr>
          <w:rFonts w:ascii="Times New Roman" w:eastAsia="Times New Roman" w:hAnsi="Times New Roman" w:cs="Times New Roman"/>
          <w:sz w:val="24"/>
          <w:szCs w:val="24"/>
        </w:rPr>
        <w:t>, PdCl</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vertAlign w:val="superscript"/>
        </w:rPr>
        <w:t>0</w:t>
      </w:r>
      <w:r w:rsidRPr="006B3D8A">
        <w:rPr>
          <w:rFonts w:ascii="Times New Roman" w:eastAsia="Times New Roman" w:hAnsi="Times New Roman" w:cs="Times New Roman"/>
          <w:sz w:val="24"/>
          <w:szCs w:val="24"/>
        </w:rPr>
        <w:t>, and PdCl</w:t>
      </w:r>
      <w:r w:rsidRPr="006B3D8A">
        <w:rPr>
          <w:rFonts w:ascii="Times New Roman" w:eastAsia="Times New Roman" w:hAnsi="Times New Roman" w:cs="Times New Roman"/>
          <w:sz w:val="24"/>
          <w:szCs w:val="24"/>
          <w:vertAlign w:val="subscript"/>
        </w:rPr>
        <w:t>3</w:t>
      </w:r>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perscript"/>
        </w:rPr>
        <w:t>-</w:t>
      </w:r>
      <w:r w:rsidRPr="006B3D8A">
        <w:rPr>
          <w:rFonts w:ascii="Times New Roman" w:eastAsia="Times New Roman" w:hAnsi="Times New Roman" w:cs="Times New Roman"/>
          <w:sz w:val="24"/>
          <w:szCs w:val="24"/>
        </w:rPr>
        <w:t xml:space="preserve"> are larger at higher temperatures, whilst the one of PdCl</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vertAlign w:val="superscript"/>
        </w:rPr>
        <w:t>2-</w:t>
      </w:r>
      <w:r w:rsidRPr="006B3D8A">
        <w:rPr>
          <w:rFonts w:ascii="Times New Roman" w:eastAsia="Times New Roman" w:hAnsi="Times New Roman" w:cs="Times New Roman"/>
          <w:sz w:val="24"/>
          <w:szCs w:val="24"/>
        </w:rPr>
        <w:t xml:space="preserve"> is smaller. All changes in entropies are positive for the former three species, but negative for the latter, presumably due to a larger solvent </w:t>
      </w:r>
      <w:proofErr w:type="spellStart"/>
      <w:r w:rsidRPr="006B3D8A">
        <w:rPr>
          <w:rFonts w:ascii="Times New Roman" w:eastAsia="Times New Roman" w:hAnsi="Times New Roman" w:cs="Times New Roman"/>
          <w:sz w:val="24"/>
          <w:szCs w:val="24"/>
        </w:rPr>
        <w:t>reorganisation</w:t>
      </w:r>
      <w:proofErr w:type="spellEnd"/>
      <w:r w:rsidRPr="006B3D8A">
        <w:rPr>
          <w:rFonts w:ascii="Times New Roman" w:eastAsia="Times New Roman" w:hAnsi="Times New Roman" w:cs="Times New Roman"/>
          <w:sz w:val="24"/>
          <w:szCs w:val="24"/>
        </w:rPr>
        <w:t xml:space="preserve"> around the doubly charged PdCl</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vertAlign w:val="superscript"/>
        </w:rPr>
        <w:t>2-</w:t>
      </w:r>
      <w:r w:rsidRPr="006B3D8A">
        <w:rPr>
          <w:rFonts w:ascii="Times New Roman" w:eastAsia="Times New Roman" w:hAnsi="Times New Roman" w:cs="Times New Roman"/>
          <w:sz w:val="24"/>
          <w:szCs w:val="24"/>
        </w:rPr>
        <w:t xml:space="preserve"> species. The room temperature thermodynamic values derived from this study are also in agreement with previously published calorimetric data.</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Theoretical calculations on the intramolecular distributions of electrons in the different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 xml:space="preserve">II) </w:t>
      </w:r>
      <w:proofErr w:type="spellStart"/>
      <w:r w:rsidRPr="006B3D8A">
        <w:rPr>
          <w:rFonts w:ascii="Times New Roman" w:eastAsia="Times New Roman" w:hAnsi="Times New Roman" w:cs="Times New Roman"/>
          <w:sz w:val="24"/>
          <w:szCs w:val="24"/>
        </w:rPr>
        <w:t>chloro</w:t>
      </w:r>
      <w:proofErr w:type="spellEnd"/>
      <w:r w:rsidRPr="006B3D8A">
        <w:rPr>
          <w:rFonts w:ascii="Times New Roman" w:eastAsia="Times New Roman" w:hAnsi="Times New Roman" w:cs="Times New Roman"/>
          <w:sz w:val="24"/>
          <w:szCs w:val="24"/>
        </w:rPr>
        <w:t xml:space="preserve"> aqua complexes, using the methods of atoms in molecules and of the electron </w:t>
      </w:r>
      <w:proofErr w:type="spellStart"/>
      <w:r w:rsidRPr="006B3D8A">
        <w:rPr>
          <w:rFonts w:ascii="Times New Roman" w:eastAsia="Times New Roman" w:hAnsi="Times New Roman" w:cs="Times New Roman"/>
          <w:sz w:val="24"/>
          <w:szCs w:val="24"/>
        </w:rPr>
        <w:t>localisation</w:t>
      </w:r>
      <w:proofErr w:type="spellEnd"/>
      <w:r w:rsidRPr="006B3D8A">
        <w:rPr>
          <w:rFonts w:ascii="Times New Roman" w:eastAsia="Times New Roman" w:hAnsi="Times New Roman" w:cs="Times New Roman"/>
          <w:sz w:val="24"/>
          <w:szCs w:val="24"/>
        </w:rPr>
        <w:t xml:space="preserve"> function, showed Pd-Cl and Pd-OH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interactions to be of largely closed-shell/ionic nature. These interactions induce an important distortion of the outer core shell electrons of Pd, as well as stable accumulations of electrons between adjacent Pd-Cl and Pd-OH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bonds known as ligand opposed core charge concentrations.</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Introduction</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The aqueous speciation of palladium is of central importance to a number of geochemical processes in crustal fluids, including the formation of platinum group element deposits in placer (</w:t>
      </w:r>
      <w:proofErr w:type="spellStart"/>
      <w:r w:rsidRPr="006B3D8A">
        <w:rPr>
          <w:rFonts w:ascii="Times New Roman" w:eastAsia="Times New Roman" w:hAnsi="Times New Roman" w:cs="Times New Roman"/>
          <w:sz w:val="24"/>
          <w:szCs w:val="24"/>
        </w:rPr>
        <w:t>Cabri</w:t>
      </w:r>
      <w:proofErr w:type="spellEnd"/>
      <w:r w:rsidRPr="006B3D8A">
        <w:rPr>
          <w:rFonts w:ascii="Times New Roman" w:eastAsia="Times New Roman" w:hAnsi="Times New Roman" w:cs="Times New Roman"/>
          <w:sz w:val="24"/>
          <w:szCs w:val="24"/>
        </w:rPr>
        <w:t xml:space="preserve">, 1981), hydrothermal (Rowell and Edgar 1986, Crocket 1990, Watkinson and </w:t>
      </w:r>
      <w:proofErr w:type="spellStart"/>
      <w:r w:rsidRPr="006B3D8A">
        <w:rPr>
          <w:rFonts w:ascii="Times New Roman" w:eastAsia="Times New Roman" w:hAnsi="Times New Roman" w:cs="Times New Roman"/>
          <w:sz w:val="24"/>
          <w:szCs w:val="24"/>
        </w:rPr>
        <w:t>Ohnenstetter</w:t>
      </w:r>
      <w:proofErr w:type="spellEnd"/>
      <w:r w:rsidRPr="006B3D8A">
        <w:rPr>
          <w:rFonts w:ascii="Times New Roman" w:eastAsia="Times New Roman" w:hAnsi="Times New Roman" w:cs="Times New Roman"/>
          <w:sz w:val="24"/>
          <w:szCs w:val="24"/>
        </w:rPr>
        <w:t xml:space="preserve"> 1992, </w:t>
      </w:r>
      <w:proofErr w:type="spellStart"/>
      <w:r w:rsidRPr="006B3D8A">
        <w:rPr>
          <w:rFonts w:ascii="Times New Roman" w:eastAsia="Times New Roman" w:hAnsi="Times New Roman" w:cs="Times New Roman"/>
          <w:sz w:val="24"/>
          <w:szCs w:val="24"/>
        </w:rPr>
        <w:t>Mernagh</w:t>
      </w:r>
      <w:proofErr w:type="spellEnd"/>
      <w:r w:rsidRPr="006B3D8A">
        <w:rPr>
          <w:rFonts w:ascii="Times New Roman" w:eastAsia="Times New Roman" w:hAnsi="Times New Roman" w:cs="Times New Roman"/>
          <w:sz w:val="24"/>
          <w:szCs w:val="24"/>
        </w:rPr>
        <w:t xml:space="preserve"> et al 1994, Farrow and Watkinson 1997) and magmatic hydrothermal systems (Boudreau et al 1986, </w:t>
      </w:r>
      <w:proofErr w:type="spellStart"/>
      <w:r w:rsidRPr="006B3D8A">
        <w:rPr>
          <w:rFonts w:ascii="Times New Roman" w:eastAsia="Times New Roman" w:hAnsi="Times New Roman" w:cs="Times New Roman"/>
          <w:sz w:val="24"/>
          <w:szCs w:val="24"/>
        </w:rPr>
        <w:t>Molnár</w:t>
      </w:r>
      <w:proofErr w:type="spellEnd"/>
      <w:r w:rsidRPr="006B3D8A">
        <w:rPr>
          <w:rFonts w:ascii="Times New Roman" w:eastAsia="Times New Roman" w:hAnsi="Times New Roman" w:cs="Times New Roman"/>
          <w:sz w:val="24"/>
          <w:szCs w:val="24"/>
        </w:rPr>
        <w:t xml:space="preserve"> et al 1997), but also in the column waters and sediments of freshwater and saline systems (Lee, 1983). Palladium is one of the strongest hydrolysable metals (Baes and Mesmer, 1976) and </w:t>
      </w:r>
      <w:r w:rsidRPr="006B3D8A">
        <w:rPr>
          <w:rFonts w:ascii="Times New Roman" w:eastAsia="Times New Roman" w:hAnsi="Times New Roman" w:cs="Times New Roman"/>
          <w:sz w:val="24"/>
          <w:szCs w:val="24"/>
        </w:rPr>
        <w:lastRenderedPageBreak/>
        <w:t>thereby forms highly insoluble (</w:t>
      </w:r>
      <w:proofErr w:type="spellStart"/>
      <w:r w:rsidRPr="006B3D8A">
        <w:rPr>
          <w:rFonts w:ascii="Times New Roman" w:eastAsia="Times New Roman" w:hAnsi="Times New Roman" w:cs="Times New Roman"/>
          <w:sz w:val="24"/>
          <w:szCs w:val="24"/>
        </w:rPr>
        <w:t>hydr</w:t>
      </w:r>
      <w:proofErr w:type="spellEnd"/>
      <w:r w:rsidRPr="006B3D8A">
        <w:rPr>
          <w:rFonts w:ascii="Times New Roman" w:eastAsia="Times New Roman" w:hAnsi="Times New Roman" w:cs="Times New Roman"/>
          <w:sz w:val="24"/>
          <w:szCs w:val="24"/>
        </w:rPr>
        <w:t xml:space="preserve">)oxides that can, however, be readily </w:t>
      </w:r>
      <w:proofErr w:type="spellStart"/>
      <w:r w:rsidRPr="006B3D8A">
        <w:rPr>
          <w:rFonts w:ascii="Times New Roman" w:eastAsia="Times New Roman" w:hAnsi="Times New Roman" w:cs="Times New Roman"/>
          <w:sz w:val="24"/>
          <w:szCs w:val="24"/>
        </w:rPr>
        <w:t>resolubilised</w:t>
      </w:r>
      <w:proofErr w:type="spellEnd"/>
      <w:r w:rsidRPr="006B3D8A">
        <w:rPr>
          <w:rFonts w:ascii="Times New Roman" w:eastAsia="Times New Roman" w:hAnsi="Times New Roman" w:cs="Times New Roman"/>
          <w:sz w:val="24"/>
          <w:szCs w:val="24"/>
        </w:rPr>
        <w:t xml:space="preserve"> as aqueous palladium complexes with a number of ligands, including chloride, hydroxide, and low and high molecular weight organic acids (e.g., </w:t>
      </w:r>
      <w:proofErr w:type="spellStart"/>
      <w:r w:rsidRPr="006B3D8A">
        <w:rPr>
          <w:rFonts w:ascii="Times New Roman" w:eastAsia="Times New Roman" w:hAnsi="Times New Roman" w:cs="Times New Roman"/>
          <w:sz w:val="24"/>
          <w:szCs w:val="24"/>
        </w:rPr>
        <w:t>Milić</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Bugarčić</w:t>
      </w:r>
      <w:proofErr w:type="spellEnd"/>
      <w:r w:rsidRPr="006B3D8A">
        <w:rPr>
          <w:rFonts w:ascii="Times New Roman" w:eastAsia="Times New Roman" w:hAnsi="Times New Roman" w:cs="Times New Roman"/>
          <w:sz w:val="24"/>
          <w:szCs w:val="24"/>
        </w:rPr>
        <w:t xml:space="preserve"> 1984, Wood et al 1994, van </w:t>
      </w:r>
      <w:proofErr w:type="spellStart"/>
      <w:r w:rsidRPr="006B3D8A">
        <w:rPr>
          <w:rFonts w:ascii="Times New Roman" w:eastAsia="Times New Roman" w:hAnsi="Times New Roman" w:cs="Times New Roman"/>
          <w:sz w:val="24"/>
          <w:szCs w:val="24"/>
        </w:rPr>
        <w:t>Middlesworth</w:t>
      </w:r>
      <w:proofErr w:type="spellEnd"/>
      <w:r w:rsidRPr="006B3D8A">
        <w:rPr>
          <w:rFonts w:ascii="Times New Roman" w:eastAsia="Times New Roman" w:hAnsi="Times New Roman" w:cs="Times New Roman"/>
          <w:sz w:val="24"/>
          <w:szCs w:val="24"/>
        </w:rPr>
        <w:t xml:space="preserve"> and Wood 1999, Byrne and Yao 2000, Wood and van </w:t>
      </w:r>
      <w:proofErr w:type="spellStart"/>
      <w:r w:rsidRPr="006B3D8A">
        <w:rPr>
          <w:rFonts w:ascii="Times New Roman" w:eastAsia="Times New Roman" w:hAnsi="Times New Roman" w:cs="Times New Roman"/>
          <w:sz w:val="24"/>
          <w:szCs w:val="24"/>
        </w:rPr>
        <w:t>Middlesworth</w:t>
      </w:r>
      <w:proofErr w:type="spellEnd"/>
      <w:r w:rsidRPr="006B3D8A">
        <w:rPr>
          <w:rFonts w:ascii="Times New Roman" w:eastAsia="Times New Roman" w:hAnsi="Times New Roman" w:cs="Times New Roman"/>
          <w:sz w:val="24"/>
          <w:szCs w:val="24"/>
        </w:rPr>
        <w:t xml:space="preserve"> 2004). Palladium chloride complexes, in particular, are likely to play a central role in the mobility of palladium in chloride-containing water/rock systems having low to moderate reduced </w:t>
      </w:r>
      <w:proofErr w:type="spellStart"/>
      <w:r w:rsidRPr="006B3D8A">
        <w:rPr>
          <w:rFonts w:ascii="Times New Roman" w:eastAsia="Times New Roman" w:hAnsi="Times New Roman" w:cs="Times New Roman"/>
          <w:sz w:val="24"/>
          <w:szCs w:val="24"/>
        </w:rPr>
        <w:t>sulphur</w:t>
      </w:r>
      <w:proofErr w:type="spellEnd"/>
      <w:r w:rsidRPr="006B3D8A">
        <w:rPr>
          <w:rFonts w:ascii="Times New Roman" w:eastAsia="Times New Roman" w:hAnsi="Times New Roman" w:cs="Times New Roman"/>
          <w:sz w:val="24"/>
          <w:szCs w:val="24"/>
        </w:rPr>
        <w:t xml:space="preserve"> concentrations. Knowledge of their thermodynamic stabilities as a function of temperature and pressure and of their molecular properties are therefore fundamental to the understanding of a number of geochemical processes where these conditions predominate.</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A number of sets of low temperature complexation constants for the monomeric </w:t>
      </w:r>
      <w:proofErr w:type="spellStart"/>
      <w:r w:rsidRPr="006B3D8A">
        <w:rPr>
          <w:rFonts w:ascii="Times New Roman" w:eastAsia="Times New Roman" w:hAnsi="Times New Roman" w:cs="Times New Roman"/>
          <w:sz w:val="24"/>
          <w:szCs w:val="24"/>
        </w:rPr>
        <w:t>PdCl</w:t>
      </w:r>
      <w:r w:rsidRPr="006B3D8A">
        <w:rPr>
          <w:rFonts w:ascii="Times New Roman" w:eastAsia="Times New Roman" w:hAnsi="Times New Roman" w:cs="Times New Roman"/>
          <w:sz w:val="24"/>
          <w:szCs w:val="24"/>
          <w:vertAlign w:val="subscript"/>
        </w:rPr>
        <w:t>r</w:t>
      </w:r>
      <w:proofErr w:type="spellEnd"/>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4-r</w:t>
      </w:r>
      <w:r w:rsidRPr="006B3D8A">
        <w:rPr>
          <w:rFonts w:ascii="Times New Roman" w:eastAsia="Times New Roman" w:hAnsi="Times New Roman" w:cs="Times New Roman"/>
          <w:sz w:val="24"/>
          <w:szCs w:val="24"/>
          <w:vertAlign w:val="superscript"/>
        </w:rPr>
        <w:t>2-r</w:t>
      </w:r>
      <w:r w:rsidRPr="006B3D8A">
        <w:rPr>
          <w:rFonts w:ascii="Times New Roman" w:eastAsia="Times New Roman" w:hAnsi="Times New Roman" w:cs="Times New Roman"/>
          <w:sz w:val="24"/>
          <w:szCs w:val="24"/>
        </w:rPr>
        <w:t xml:space="preserve"> species (</w:t>
      </w:r>
      <w:r w:rsidRPr="006B3D8A">
        <w:rPr>
          <w:rFonts w:ascii="Times New Roman" w:eastAsia="Times New Roman" w:hAnsi="Times New Roman" w:cs="Times New Roman"/>
          <w:i/>
          <w:iCs/>
          <w:sz w:val="24"/>
          <w:szCs w:val="24"/>
        </w:rPr>
        <w:t>r</w:t>
      </w:r>
      <w:r w:rsidRPr="006B3D8A">
        <w:rPr>
          <w:rFonts w:ascii="Times New Roman" w:eastAsia="Times New Roman" w:hAnsi="Times New Roman" w:cs="Times New Roman"/>
          <w:sz w:val="24"/>
          <w:szCs w:val="24"/>
        </w:rPr>
        <w:t xml:space="preserve"> = [0,4]) have already been proposed, mainly from potentiometric, solubility, and spectrophotometric studies (Sundaram and </w:t>
      </w:r>
      <w:proofErr w:type="spellStart"/>
      <w:r w:rsidRPr="006B3D8A">
        <w:rPr>
          <w:rFonts w:ascii="Times New Roman" w:eastAsia="Times New Roman" w:hAnsi="Times New Roman" w:cs="Times New Roman"/>
          <w:sz w:val="24"/>
          <w:szCs w:val="24"/>
        </w:rPr>
        <w:t>Sandell</w:t>
      </w:r>
      <w:proofErr w:type="spellEnd"/>
      <w:r w:rsidRPr="006B3D8A">
        <w:rPr>
          <w:rFonts w:ascii="Times New Roman" w:eastAsia="Times New Roman" w:hAnsi="Times New Roman" w:cs="Times New Roman"/>
          <w:sz w:val="24"/>
          <w:szCs w:val="24"/>
        </w:rPr>
        <w:t xml:space="preserve"> 1955, Droll et al 1957, </w:t>
      </w:r>
      <w:proofErr w:type="spellStart"/>
      <w:r w:rsidRPr="006B3D8A">
        <w:rPr>
          <w:rFonts w:ascii="Times New Roman" w:eastAsia="Times New Roman" w:hAnsi="Times New Roman" w:cs="Times New Roman"/>
          <w:sz w:val="24"/>
          <w:szCs w:val="24"/>
        </w:rPr>
        <w:t>Schukarev</w:t>
      </w:r>
      <w:proofErr w:type="spellEnd"/>
      <w:r w:rsidRPr="006B3D8A">
        <w:rPr>
          <w:rFonts w:ascii="Times New Roman" w:eastAsia="Times New Roman" w:hAnsi="Times New Roman" w:cs="Times New Roman"/>
          <w:sz w:val="24"/>
          <w:szCs w:val="24"/>
        </w:rPr>
        <w:t xml:space="preserve"> et al 1961, </w:t>
      </w:r>
      <w:proofErr w:type="spellStart"/>
      <w:r w:rsidRPr="006B3D8A">
        <w:rPr>
          <w:rFonts w:ascii="Times New Roman" w:eastAsia="Times New Roman" w:hAnsi="Times New Roman" w:cs="Times New Roman"/>
          <w:sz w:val="24"/>
          <w:szCs w:val="24"/>
        </w:rPr>
        <w:t>Jørgensen</w:t>
      </w:r>
      <w:proofErr w:type="spellEnd"/>
      <w:r w:rsidRPr="006B3D8A">
        <w:rPr>
          <w:rFonts w:ascii="Times New Roman" w:eastAsia="Times New Roman" w:hAnsi="Times New Roman" w:cs="Times New Roman"/>
          <w:sz w:val="24"/>
          <w:szCs w:val="24"/>
        </w:rPr>
        <w:t xml:space="preserve"> 1962, Burger and </w:t>
      </w:r>
      <w:proofErr w:type="spellStart"/>
      <w:r w:rsidRPr="006B3D8A">
        <w:rPr>
          <w:rFonts w:ascii="Times New Roman" w:eastAsia="Times New Roman" w:hAnsi="Times New Roman" w:cs="Times New Roman"/>
          <w:sz w:val="24"/>
          <w:szCs w:val="24"/>
        </w:rPr>
        <w:t>Dyrssen</w:t>
      </w:r>
      <w:proofErr w:type="spellEnd"/>
      <w:r w:rsidRPr="006B3D8A">
        <w:rPr>
          <w:rFonts w:ascii="Times New Roman" w:eastAsia="Times New Roman" w:hAnsi="Times New Roman" w:cs="Times New Roman"/>
          <w:sz w:val="24"/>
          <w:szCs w:val="24"/>
        </w:rPr>
        <w:t xml:space="preserve"> 1963, Grinberg et al 1963,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1964a,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1964b, Burger 1964a, Burger 1964b,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1964, Weed 1964, </w:t>
      </w:r>
      <w:proofErr w:type="spellStart"/>
      <w:r w:rsidRPr="006B3D8A">
        <w:rPr>
          <w:rFonts w:ascii="Times New Roman" w:eastAsia="Times New Roman" w:hAnsi="Times New Roman" w:cs="Times New Roman"/>
          <w:sz w:val="24"/>
          <w:szCs w:val="24"/>
        </w:rPr>
        <w:t>Fasman</w:t>
      </w:r>
      <w:proofErr w:type="spellEnd"/>
      <w:r w:rsidRPr="006B3D8A">
        <w:rPr>
          <w:rFonts w:ascii="Times New Roman" w:eastAsia="Times New Roman" w:hAnsi="Times New Roman" w:cs="Times New Roman"/>
          <w:sz w:val="24"/>
          <w:szCs w:val="24"/>
        </w:rPr>
        <w:t xml:space="preserve"> et al 1965,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1966,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et al 1966, </w:t>
      </w:r>
      <w:proofErr w:type="spellStart"/>
      <w:r w:rsidRPr="006B3D8A">
        <w:rPr>
          <w:rFonts w:ascii="Times New Roman" w:eastAsia="Times New Roman" w:hAnsi="Times New Roman" w:cs="Times New Roman"/>
          <w:sz w:val="24"/>
          <w:szCs w:val="24"/>
        </w:rPr>
        <w:t>Levanda</w:t>
      </w:r>
      <w:proofErr w:type="spellEnd"/>
      <w:r w:rsidRPr="006B3D8A">
        <w:rPr>
          <w:rFonts w:ascii="Times New Roman" w:eastAsia="Times New Roman" w:hAnsi="Times New Roman" w:cs="Times New Roman"/>
          <w:sz w:val="24"/>
          <w:szCs w:val="24"/>
        </w:rPr>
        <w:t xml:space="preserve"> 1968, </w:t>
      </w:r>
      <w:proofErr w:type="spellStart"/>
      <w:r w:rsidRPr="006B3D8A">
        <w:rPr>
          <w:rFonts w:ascii="Times New Roman" w:eastAsia="Times New Roman" w:hAnsi="Times New Roman" w:cs="Times New Roman"/>
          <w:sz w:val="24"/>
          <w:szCs w:val="24"/>
        </w:rPr>
        <w:t>Gel’fman</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Kiseleva</w:t>
      </w:r>
      <w:proofErr w:type="spellEnd"/>
      <w:r w:rsidRPr="006B3D8A">
        <w:rPr>
          <w:rFonts w:ascii="Times New Roman" w:eastAsia="Times New Roman" w:hAnsi="Times New Roman" w:cs="Times New Roman"/>
          <w:sz w:val="24"/>
          <w:szCs w:val="24"/>
        </w:rPr>
        <w:t xml:space="preserve"> 1969, </w:t>
      </w:r>
      <w:proofErr w:type="spellStart"/>
      <w:r w:rsidRPr="006B3D8A">
        <w:rPr>
          <w:rFonts w:ascii="Times New Roman" w:eastAsia="Times New Roman" w:hAnsi="Times New Roman" w:cs="Times New Roman"/>
          <w:sz w:val="24"/>
          <w:szCs w:val="24"/>
        </w:rPr>
        <w:t>Rittner</w:t>
      </w:r>
      <w:proofErr w:type="spellEnd"/>
      <w:r w:rsidRPr="006B3D8A">
        <w:rPr>
          <w:rFonts w:ascii="Times New Roman" w:eastAsia="Times New Roman" w:hAnsi="Times New Roman" w:cs="Times New Roman"/>
          <w:sz w:val="24"/>
          <w:szCs w:val="24"/>
        </w:rPr>
        <w:t xml:space="preserve"> et al 1970, </w:t>
      </w:r>
      <w:proofErr w:type="spellStart"/>
      <w:r w:rsidRPr="006B3D8A">
        <w:rPr>
          <w:rFonts w:ascii="Times New Roman" w:eastAsia="Times New Roman" w:hAnsi="Times New Roman" w:cs="Times New Roman"/>
          <w:sz w:val="24"/>
          <w:szCs w:val="24"/>
        </w:rPr>
        <w:t>Kravtsov</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Martynova</w:t>
      </w:r>
      <w:proofErr w:type="spellEnd"/>
      <w:r w:rsidRPr="006B3D8A">
        <w:rPr>
          <w:rFonts w:ascii="Times New Roman" w:eastAsia="Times New Roman" w:hAnsi="Times New Roman" w:cs="Times New Roman"/>
          <w:sz w:val="24"/>
          <w:szCs w:val="24"/>
        </w:rPr>
        <w:t xml:space="preserve"> 1971,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1972b, </w:t>
      </w:r>
      <w:proofErr w:type="spellStart"/>
      <w:r w:rsidRPr="006B3D8A">
        <w:rPr>
          <w:rFonts w:ascii="Times New Roman" w:eastAsia="Times New Roman" w:hAnsi="Times New Roman" w:cs="Times New Roman"/>
          <w:sz w:val="24"/>
          <w:szCs w:val="24"/>
        </w:rPr>
        <w:t>Gulko</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Schmuckler</w:t>
      </w:r>
      <w:proofErr w:type="spellEnd"/>
      <w:r w:rsidRPr="006B3D8A">
        <w:rPr>
          <w:rFonts w:ascii="Times New Roman" w:eastAsia="Times New Roman" w:hAnsi="Times New Roman" w:cs="Times New Roman"/>
          <w:sz w:val="24"/>
          <w:szCs w:val="24"/>
        </w:rPr>
        <w:t xml:space="preserve"> 1973, Hsu et al 1991, Tait et al 1991, van </w:t>
      </w:r>
      <w:proofErr w:type="spellStart"/>
      <w:r w:rsidRPr="006B3D8A">
        <w:rPr>
          <w:rFonts w:ascii="Times New Roman" w:eastAsia="Times New Roman" w:hAnsi="Times New Roman" w:cs="Times New Roman"/>
          <w:sz w:val="24"/>
          <w:szCs w:val="24"/>
        </w:rPr>
        <w:t>Middlesworth</w:t>
      </w:r>
      <w:proofErr w:type="spellEnd"/>
      <w:r w:rsidRPr="006B3D8A">
        <w:rPr>
          <w:rFonts w:ascii="Times New Roman" w:eastAsia="Times New Roman" w:hAnsi="Times New Roman" w:cs="Times New Roman"/>
          <w:sz w:val="24"/>
          <w:szCs w:val="24"/>
        </w:rPr>
        <w:t xml:space="preserve"> and Wood 1999). Spectrophotometric studies have, however, provided the most insight into palladium chloride complexation (e.g.,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1972a,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1972b,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1973,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1975), given the possibility of detecting and quantifying the presence of different complexes by virtue of their different ligand-to-metal charge transfer spectra (Sundaram and </w:t>
      </w:r>
      <w:proofErr w:type="spellStart"/>
      <w:r w:rsidRPr="006B3D8A">
        <w:rPr>
          <w:rFonts w:ascii="Times New Roman" w:eastAsia="Times New Roman" w:hAnsi="Times New Roman" w:cs="Times New Roman"/>
          <w:sz w:val="24"/>
          <w:szCs w:val="24"/>
        </w:rPr>
        <w:t>Sandell</w:t>
      </w:r>
      <w:proofErr w:type="spellEnd"/>
      <w:r w:rsidRPr="006B3D8A">
        <w:rPr>
          <w:rFonts w:ascii="Times New Roman" w:eastAsia="Times New Roman" w:hAnsi="Times New Roman" w:cs="Times New Roman"/>
          <w:sz w:val="24"/>
          <w:szCs w:val="24"/>
        </w:rPr>
        <w:t xml:space="preserve"> 1955, Droll et al 1957, </w:t>
      </w:r>
      <w:proofErr w:type="spellStart"/>
      <w:r w:rsidRPr="006B3D8A">
        <w:rPr>
          <w:rFonts w:ascii="Times New Roman" w:eastAsia="Times New Roman" w:hAnsi="Times New Roman" w:cs="Times New Roman"/>
          <w:sz w:val="24"/>
          <w:szCs w:val="24"/>
        </w:rPr>
        <w:t>Schukarev</w:t>
      </w:r>
      <w:proofErr w:type="spellEnd"/>
      <w:r w:rsidRPr="006B3D8A">
        <w:rPr>
          <w:rFonts w:ascii="Times New Roman" w:eastAsia="Times New Roman" w:hAnsi="Times New Roman" w:cs="Times New Roman"/>
          <w:sz w:val="24"/>
          <w:szCs w:val="24"/>
        </w:rPr>
        <w:t xml:space="preserve"> et al 1961, </w:t>
      </w:r>
      <w:proofErr w:type="spellStart"/>
      <w:r w:rsidRPr="006B3D8A">
        <w:rPr>
          <w:rFonts w:ascii="Times New Roman" w:eastAsia="Times New Roman" w:hAnsi="Times New Roman" w:cs="Times New Roman"/>
          <w:sz w:val="24"/>
          <w:szCs w:val="24"/>
        </w:rPr>
        <w:t>Jørgensen</w:t>
      </w:r>
      <w:proofErr w:type="spellEnd"/>
      <w:r w:rsidRPr="006B3D8A">
        <w:rPr>
          <w:rFonts w:ascii="Times New Roman" w:eastAsia="Times New Roman" w:hAnsi="Times New Roman" w:cs="Times New Roman"/>
          <w:sz w:val="24"/>
          <w:szCs w:val="24"/>
        </w:rPr>
        <w:t xml:space="preserve"> 1962, Burger and </w:t>
      </w:r>
      <w:proofErr w:type="spellStart"/>
      <w:r w:rsidRPr="006B3D8A">
        <w:rPr>
          <w:rFonts w:ascii="Times New Roman" w:eastAsia="Times New Roman" w:hAnsi="Times New Roman" w:cs="Times New Roman"/>
          <w:sz w:val="24"/>
          <w:szCs w:val="24"/>
        </w:rPr>
        <w:t>Dyrssen</w:t>
      </w:r>
      <w:proofErr w:type="spellEnd"/>
      <w:r w:rsidRPr="006B3D8A">
        <w:rPr>
          <w:rFonts w:ascii="Times New Roman" w:eastAsia="Times New Roman" w:hAnsi="Times New Roman" w:cs="Times New Roman"/>
          <w:sz w:val="24"/>
          <w:szCs w:val="24"/>
        </w:rPr>
        <w:t xml:space="preserve"> 1963,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1964a,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1964b, Burger 1964a,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1964,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1966, </w:t>
      </w:r>
      <w:proofErr w:type="spellStart"/>
      <w:r w:rsidRPr="006B3D8A">
        <w:rPr>
          <w:rFonts w:ascii="Times New Roman" w:eastAsia="Times New Roman" w:hAnsi="Times New Roman" w:cs="Times New Roman"/>
          <w:sz w:val="24"/>
          <w:szCs w:val="24"/>
        </w:rPr>
        <w:t>Levanda</w:t>
      </w:r>
      <w:proofErr w:type="spellEnd"/>
      <w:r w:rsidRPr="006B3D8A">
        <w:rPr>
          <w:rFonts w:ascii="Times New Roman" w:eastAsia="Times New Roman" w:hAnsi="Times New Roman" w:cs="Times New Roman"/>
          <w:sz w:val="24"/>
          <w:szCs w:val="24"/>
        </w:rPr>
        <w:t xml:space="preserve"> 1968, </w:t>
      </w:r>
      <w:proofErr w:type="spellStart"/>
      <w:r w:rsidRPr="006B3D8A">
        <w:rPr>
          <w:rFonts w:ascii="Times New Roman" w:eastAsia="Times New Roman" w:hAnsi="Times New Roman" w:cs="Times New Roman"/>
          <w:sz w:val="24"/>
          <w:szCs w:val="24"/>
        </w:rPr>
        <w:t>Rittner</w:t>
      </w:r>
      <w:proofErr w:type="spellEnd"/>
      <w:r w:rsidRPr="006B3D8A">
        <w:rPr>
          <w:rFonts w:ascii="Times New Roman" w:eastAsia="Times New Roman" w:hAnsi="Times New Roman" w:cs="Times New Roman"/>
          <w:sz w:val="24"/>
          <w:szCs w:val="24"/>
        </w:rPr>
        <w:t xml:space="preserve"> et al 1970,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1972b, Tait et al 1991). Spectrophotometric measurements of the homogeneous hydrolysis of aqueous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 xml:space="preserve">II) (Byrne and Yao 2000, </w:t>
      </w:r>
      <w:proofErr w:type="spellStart"/>
      <w:r w:rsidRPr="006B3D8A">
        <w:rPr>
          <w:rFonts w:ascii="Times New Roman" w:eastAsia="Times New Roman" w:hAnsi="Times New Roman" w:cs="Times New Roman"/>
          <w:sz w:val="24"/>
          <w:szCs w:val="24"/>
        </w:rPr>
        <w:t>Boily</w:t>
      </w:r>
      <w:proofErr w:type="spellEnd"/>
      <w:r w:rsidRPr="006B3D8A">
        <w:rPr>
          <w:rFonts w:ascii="Times New Roman" w:eastAsia="Times New Roman" w:hAnsi="Times New Roman" w:cs="Times New Roman"/>
          <w:sz w:val="24"/>
          <w:szCs w:val="24"/>
        </w:rPr>
        <w:t xml:space="preserve"> and Seward 2002) have, for instance, clearly shown the formation constant of PdCl</w:t>
      </w:r>
      <w:r w:rsidRPr="006B3D8A">
        <w:rPr>
          <w:rFonts w:ascii="Times New Roman" w:eastAsia="Times New Roman" w:hAnsi="Times New Roman" w:cs="Times New Roman"/>
          <w:sz w:val="24"/>
          <w:szCs w:val="24"/>
          <w:vertAlign w:val="subscript"/>
        </w:rPr>
        <w:t>3</w:t>
      </w:r>
      <w:r w:rsidRPr="006B3D8A">
        <w:rPr>
          <w:rFonts w:ascii="Times New Roman" w:eastAsia="Times New Roman" w:hAnsi="Times New Roman" w:cs="Times New Roman"/>
          <w:sz w:val="24"/>
          <w:szCs w:val="24"/>
        </w:rPr>
        <w:t>OH</w:t>
      </w:r>
      <w:r w:rsidRPr="006B3D8A">
        <w:rPr>
          <w:rFonts w:ascii="Times New Roman" w:eastAsia="Times New Roman" w:hAnsi="Times New Roman" w:cs="Times New Roman"/>
          <w:sz w:val="24"/>
          <w:szCs w:val="24"/>
          <w:vertAlign w:val="superscript"/>
        </w:rPr>
        <w:t>2-</w:t>
      </w:r>
      <w:r w:rsidRPr="006B3D8A">
        <w:rPr>
          <w:rFonts w:ascii="Times New Roman" w:eastAsia="Times New Roman" w:hAnsi="Times New Roman" w:cs="Times New Roman"/>
          <w:sz w:val="24"/>
          <w:szCs w:val="24"/>
        </w:rPr>
        <w:t xml:space="preserve"> to be several orders of magnitude different than a value proposed by solubility measurements (van </w:t>
      </w:r>
      <w:proofErr w:type="spellStart"/>
      <w:r w:rsidRPr="006B3D8A">
        <w:rPr>
          <w:rFonts w:ascii="Times New Roman" w:eastAsia="Times New Roman" w:hAnsi="Times New Roman" w:cs="Times New Roman"/>
          <w:sz w:val="24"/>
          <w:szCs w:val="24"/>
        </w:rPr>
        <w:t>Middlesworth</w:t>
      </w:r>
      <w:proofErr w:type="spellEnd"/>
      <w:r w:rsidRPr="006B3D8A">
        <w:rPr>
          <w:rFonts w:ascii="Times New Roman" w:eastAsia="Times New Roman" w:hAnsi="Times New Roman" w:cs="Times New Roman"/>
          <w:sz w:val="24"/>
          <w:szCs w:val="24"/>
        </w:rPr>
        <w:t xml:space="preserve"> and Wood, 1999).</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Many previous spectrophotometric investigations of palladium chloride complexation predate, or have neglected using, modern-day chemometric analyses of spectroscopic data and may have thereby reported approximate values of formation constants by Bjerrum-like analyses of </w:t>
      </w:r>
      <w:proofErr w:type="spellStart"/>
      <w:r w:rsidRPr="006B3D8A">
        <w:rPr>
          <w:rFonts w:ascii="Times New Roman" w:eastAsia="Times New Roman" w:hAnsi="Times New Roman" w:cs="Times New Roman"/>
          <w:sz w:val="24"/>
          <w:szCs w:val="24"/>
        </w:rPr>
        <w:t>compleximetric</w:t>
      </w:r>
      <w:proofErr w:type="spellEnd"/>
      <w:r w:rsidRPr="006B3D8A">
        <w:rPr>
          <w:rFonts w:ascii="Times New Roman" w:eastAsia="Times New Roman" w:hAnsi="Times New Roman" w:cs="Times New Roman"/>
          <w:sz w:val="24"/>
          <w:szCs w:val="24"/>
        </w:rPr>
        <w:t xml:space="preserve"> data, analyses of isosbestic points, and/or by using a limited amount of data at a limited number of preselected wavelengths. Moreover, as the study of the monomeric </w:t>
      </w:r>
      <w:proofErr w:type="spellStart"/>
      <w:r w:rsidRPr="006B3D8A">
        <w:rPr>
          <w:rFonts w:ascii="Times New Roman" w:eastAsia="Times New Roman" w:hAnsi="Times New Roman" w:cs="Times New Roman"/>
          <w:sz w:val="24"/>
          <w:szCs w:val="24"/>
        </w:rPr>
        <w:t>PdCl</w:t>
      </w:r>
      <w:r w:rsidRPr="006B3D8A">
        <w:rPr>
          <w:rFonts w:ascii="Times New Roman" w:eastAsia="Times New Roman" w:hAnsi="Times New Roman" w:cs="Times New Roman"/>
          <w:sz w:val="24"/>
          <w:szCs w:val="24"/>
          <w:vertAlign w:val="subscript"/>
        </w:rPr>
        <w:t>r</w:t>
      </w:r>
      <w:proofErr w:type="spellEnd"/>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4-r</w:t>
      </w:r>
      <w:r w:rsidRPr="006B3D8A">
        <w:rPr>
          <w:rFonts w:ascii="Times New Roman" w:eastAsia="Times New Roman" w:hAnsi="Times New Roman" w:cs="Times New Roman"/>
          <w:sz w:val="24"/>
          <w:szCs w:val="24"/>
          <w:vertAlign w:val="superscript"/>
        </w:rPr>
        <w:t>2-r</w:t>
      </w:r>
      <w:r w:rsidRPr="006B3D8A">
        <w:rPr>
          <w:rFonts w:ascii="Times New Roman" w:eastAsia="Times New Roman" w:hAnsi="Times New Roman" w:cs="Times New Roman"/>
          <w:sz w:val="24"/>
          <w:szCs w:val="24"/>
        </w:rPr>
        <w:t xml:space="preserve"> species (</w:t>
      </w:r>
      <w:r w:rsidRPr="006B3D8A">
        <w:rPr>
          <w:rFonts w:ascii="Times New Roman" w:eastAsia="Times New Roman" w:hAnsi="Times New Roman" w:cs="Times New Roman"/>
          <w:i/>
          <w:iCs/>
          <w:sz w:val="24"/>
          <w:szCs w:val="24"/>
        </w:rPr>
        <w:t>r</w:t>
      </w:r>
      <w:r w:rsidRPr="006B3D8A">
        <w:rPr>
          <w:rFonts w:ascii="Times New Roman" w:eastAsia="Times New Roman" w:hAnsi="Times New Roman" w:cs="Times New Roman"/>
          <w:sz w:val="24"/>
          <w:szCs w:val="24"/>
        </w:rPr>
        <w:t xml:space="preserve"> = [0,4]) requires the simultaneous determination of four constants (K</w:t>
      </w:r>
      <w:r w:rsidRPr="006B3D8A">
        <w:rPr>
          <w:rFonts w:ascii="Times New Roman" w:eastAsia="Times New Roman" w:hAnsi="Times New Roman" w:cs="Times New Roman"/>
          <w:sz w:val="24"/>
          <w:szCs w:val="24"/>
          <w:vertAlign w:val="subscript"/>
        </w:rPr>
        <w:t>r</w:t>
      </w:r>
      <w:r w:rsidRPr="006B3D8A">
        <w:rPr>
          <w:rFonts w:ascii="Times New Roman" w:eastAsia="Times New Roman" w:hAnsi="Times New Roman" w:cs="Times New Roman"/>
          <w:sz w:val="24"/>
          <w:szCs w:val="24"/>
        </w:rPr>
        <w:t>) of relatively similar magnitude, many of the proposed values are likely to be intercorrelated, or are simply not at the four-dimensional global minimum of a fitting objective function (e.g., sum of squares of deviations). Literature values hence display some considerable scatter (Fig. 1), which has called for a number of critical reviews speculating on the best sets of complexation constants (</w:t>
      </w:r>
      <w:proofErr w:type="spellStart"/>
      <w:r w:rsidRPr="006B3D8A">
        <w:rPr>
          <w:rFonts w:ascii="Times New Roman" w:eastAsia="Times New Roman" w:hAnsi="Times New Roman" w:cs="Times New Roman"/>
          <w:sz w:val="24"/>
          <w:szCs w:val="24"/>
        </w:rPr>
        <w:t>Victori</w:t>
      </w:r>
      <w:proofErr w:type="spellEnd"/>
      <w:r w:rsidRPr="006B3D8A">
        <w:rPr>
          <w:rFonts w:ascii="Times New Roman" w:eastAsia="Times New Roman" w:hAnsi="Times New Roman" w:cs="Times New Roman"/>
          <w:sz w:val="24"/>
          <w:szCs w:val="24"/>
        </w:rPr>
        <w:t xml:space="preserve"> et al 1975, </w:t>
      </w:r>
      <w:proofErr w:type="spellStart"/>
      <w:r w:rsidRPr="006B3D8A">
        <w:rPr>
          <w:rFonts w:ascii="Times New Roman" w:eastAsia="Times New Roman" w:hAnsi="Times New Roman" w:cs="Times New Roman"/>
          <w:sz w:val="24"/>
          <w:szCs w:val="24"/>
        </w:rPr>
        <w:t>Kragten</w:t>
      </w:r>
      <w:proofErr w:type="spellEnd"/>
      <w:r w:rsidRPr="006B3D8A">
        <w:rPr>
          <w:rFonts w:ascii="Times New Roman" w:eastAsia="Times New Roman" w:hAnsi="Times New Roman" w:cs="Times New Roman"/>
          <w:sz w:val="24"/>
          <w:szCs w:val="24"/>
        </w:rPr>
        <w:t xml:space="preserve"> 1980, Wood et al 1992, Byrne and </w:t>
      </w:r>
      <w:proofErr w:type="spellStart"/>
      <w:r w:rsidRPr="006B3D8A">
        <w:rPr>
          <w:rFonts w:ascii="Times New Roman" w:eastAsia="Times New Roman" w:hAnsi="Times New Roman" w:cs="Times New Roman"/>
          <w:sz w:val="24"/>
          <w:szCs w:val="24"/>
        </w:rPr>
        <w:t>Kump</w:t>
      </w:r>
      <w:proofErr w:type="spellEnd"/>
      <w:r w:rsidRPr="006B3D8A">
        <w:rPr>
          <w:rFonts w:ascii="Times New Roman" w:eastAsia="Times New Roman" w:hAnsi="Times New Roman" w:cs="Times New Roman"/>
          <w:sz w:val="24"/>
          <w:szCs w:val="24"/>
        </w:rPr>
        <w:t xml:space="preserve"> 1993, </w:t>
      </w:r>
      <w:proofErr w:type="spellStart"/>
      <w:r w:rsidRPr="006B3D8A">
        <w:rPr>
          <w:rFonts w:ascii="Times New Roman" w:eastAsia="Times New Roman" w:hAnsi="Times New Roman" w:cs="Times New Roman"/>
          <w:sz w:val="24"/>
          <w:szCs w:val="24"/>
        </w:rPr>
        <w:t>Sassani</w:t>
      </w:r>
      <w:proofErr w:type="spellEnd"/>
      <w:r w:rsidRPr="006B3D8A">
        <w:rPr>
          <w:rFonts w:ascii="Times New Roman" w:eastAsia="Times New Roman" w:hAnsi="Times New Roman" w:cs="Times New Roman"/>
          <w:sz w:val="24"/>
          <w:szCs w:val="24"/>
        </w:rPr>
        <w:t xml:space="preserve"> and Shock 1998, </w:t>
      </w:r>
      <w:proofErr w:type="spellStart"/>
      <w:r w:rsidRPr="006B3D8A">
        <w:rPr>
          <w:rFonts w:ascii="Times New Roman" w:eastAsia="Times New Roman" w:hAnsi="Times New Roman" w:cs="Times New Roman"/>
          <w:sz w:val="24"/>
          <w:szCs w:val="24"/>
        </w:rPr>
        <w:t>Buslaeva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Simanova</w:t>
      </w:r>
      <w:proofErr w:type="spellEnd"/>
      <w:r w:rsidRPr="006B3D8A">
        <w:rPr>
          <w:rFonts w:ascii="Times New Roman" w:eastAsia="Times New Roman" w:hAnsi="Times New Roman" w:cs="Times New Roman"/>
          <w:sz w:val="24"/>
          <w:szCs w:val="24"/>
        </w:rPr>
        <w:t xml:space="preserve"> 1999). Some of these values have also served as a basis for extrapolations to high temperatures using </w:t>
      </w:r>
      <w:proofErr w:type="spellStart"/>
      <w:r w:rsidRPr="006B3D8A">
        <w:rPr>
          <w:rFonts w:ascii="Times New Roman" w:eastAsia="Times New Roman" w:hAnsi="Times New Roman" w:cs="Times New Roman"/>
          <w:sz w:val="24"/>
          <w:szCs w:val="24"/>
        </w:rPr>
        <w:t>isocoulombic</w:t>
      </w:r>
      <w:proofErr w:type="spellEnd"/>
      <w:r w:rsidRPr="006B3D8A">
        <w:rPr>
          <w:rFonts w:ascii="Times New Roman" w:eastAsia="Times New Roman" w:hAnsi="Times New Roman" w:cs="Times New Roman"/>
          <w:sz w:val="24"/>
          <w:szCs w:val="24"/>
        </w:rPr>
        <w:t xml:space="preserve"> approaches (Mountain and Wood 1988, </w:t>
      </w:r>
      <w:proofErr w:type="spellStart"/>
      <w:r w:rsidRPr="006B3D8A">
        <w:rPr>
          <w:rFonts w:ascii="Times New Roman" w:eastAsia="Times New Roman" w:hAnsi="Times New Roman" w:cs="Times New Roman"/>
          <w:sz w:val="24"/>
          <w:szCs w:val="24"/>
        </w:rPr>
        <w:t>Ruaya</w:t>
      </w:r>
      <w:proofErr w:type="spellEnd"/>
      <w:r w:rsidRPr="006B3D8A">
        <w:rPr>
          <w:rFonts w:ascii="Times New Roman" w:eastAsia="Times New Roman" w:hAnsi="Times New Roman" w:cs="Times New Roman"/>
          <w:sz w:val="24"/>
          <w:szCs w:val="24"/>
        </w:rPr>
        <w:t xml:space="preserve"> 1988, Wood et al 1992) as well as the HKF equations of state (Helgeson et al 1981, </w:t>
      </w:r>
      <w:proofErr w:type="spellStart"/>
      <w:r w:rsidRPr="006B3D8A">
        <w:rPr>
          <w:rFonts w:ascii="Times New Roman" w:eastAsia="Times New Roman" w:hAnsi="Times New Roman" w:cs="Times New Roman"/>
          <w:sz w:val="24"/>
          <w:szCs w:val="24"/>
        </w:rPr>
        <w:t>Sassani</w:t>
      </w:r>
      <w:proofErr w:type="spellEnd"/>
      <w:r w:rsidRPr="006B3D8A">
        <w:rPr>
          <w:rFonts w:ascii="Times New Roman" w:eastAsia="Times New Roman" w:hAnsi="Times New Roman" w:cs="Times New Roman"/>
          <w:sz w:val="24"/>
          <w:szCs w:val="24"/>
        </w:rPr>
        <w:t xml:space="preserve"> and Shock 1990, </w:t>
      </w:r>
      <w:proofErr w:type="spellStart"/>
      <w:r w:rsidRPr="006B3D8A">
        <w:rPr>
          <w:rFonts w:ascii="Times New Roman" w:eastAsia="Times New Roman" w:hAnsi="Times New Roman" w:cs="Times New Roman"/>
          <w:sz w:val="24"/>
          <w:szCs w:val="24"/>
        </w:rPr>
        <w:t>Sassani</w:t>
      </w:r>
      <w:proofErr w:type="spellEnd"/>
      <w:r w:rsidRPr="006B3D8A">
        <w:rPr>
          <w:rFonts w:ascii="Times New Roman" w:eastAsia="Times New Roman" w:hAnsi="Times New Roman" w:cs="Times New Roman"/>
          <w:sz w:val="24"/>
          <w:szCs w:val="24"/>
        </w:rPr>
        <w:t xml:space="preserve"> and Shock 1998). The only available experimental values above room temperature include those of the spectrophotometric studies of Droll et al. (1957) (K</w:t>
      </w:r>
      <w:r w:rsidRPr="006B3D8A">
        <w:rPr>
          <w:rFonts w:ascii="Times New Roman" w:eastAsia="Times New Roman" w:hAnsi="Times New Roman" w:cs="Times New Roman"/>
          <w:sz w:val="24"/>
          <w:szCs w:val="24"/>
          <w:vertAlign w:val="subscript"/>
        </w:rPr>
        <w:t>1–4</w:t>
      </w:r>
      <w:r w:rsidRPr="006B3D8A">
        <w:rPr>
          <w:rFonts w:ascii="Times New Roman" w:eastAsia="Times New Roman" w:hAnsi="Times New Roman" w:cs="Times New Roman"/>
          <w:sz w:val="24"/>
          <w:szCs w:val="24"/>
        </w:rPr>
        <w:t xml:space="preserve"> to 38°C), </w:t>
      </w:r>
      <w:proofErr w:type="spellStart"/>
      <w:r w:rsidRPr="006B3D8A">
        <w:rPr>
          <w:rFonts w:ascii="Times New Roman" w:eastAsia="Times New Roman" w:hAnsi="Times New Roman" w:cs="Times New Roman"/>
          <w:sz w:val="24"/>
          <w:szCs w:val="24"/>
        </w:rPr>
        <w:t>Shlenskaya</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Biryukov</w:t>
      </w:r>
      <w:proofErr w:type="spellEnd"/>
      <w:r w:rsidRPr="006B3D8A">
        <w:rPr>
          <w:rFonts w:ascii="Times New Roman" w:eastAsia="Times New Roman" w:hAnsi="Times New Roman" w:cs="Times New Roman"/>
          <w:sz w:val="24"/>
          <w:szCs w:val="24"/>
        </w:rPr>
        <w:t xml:space="preserve"> (1964a) (K</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rPr>
        <w:t xml:space="preserve"> to 45°C) and Tait et al. (1991) (equivalence points to 90°C), as well as the solubility studies of Gammons (1995) (K</w:t>
      </w:r>
      <w:r w:rsidRPr="006B3D8A">
        <w:rPr>
          <w:rFonts w:ascii="Times New Roman" w:eastAsia="Times New Roman" w:hAnsi="Times New Roman" w:cs="Times New Roman"/>
          <w:sz w:val="24"/>
          <w:szCs w:val="24"/>
          <w:vertAlign w:val="subscript"/>
        </w:rPr>
        <w:t>3</w:t>
      </w:r>
      <w:r w:rsidRPr="006B3D8A">
        <w:rPr>
          <w:rFonts w:ascii="Times New Roman" w:eastAsia="Times New Roman" w:hAnsi="Times New Roman" w:cs="Times New Roman"/>
          <w:sz w:val="24"/>
          <w:szCs w:val="24"/>
        </w:rPr>
        <w:t xml:space="preserve"> to 300°C) and van </w:t>
      </w:r>
      <w:proofErr w:type="spellStart"/>
      <w:r w:rsidRPr="006B3D8A">
        <w:rPr>
          <w:rFonts w:ascii="Times New Roman" w:eastAsia="Times New Roman" w:hAnsi="Times New Roman" w:cs="Times New Roman"/>
          <w:sz w:val="24"/>
          <w:szCs w:val="24"/>
        </w:rPr>
        <w:t>Middlesworth</w:t>
      </w:r>
      <w:proofErr w:type="spellEnd"/>
      <w:r w:rsidRPr="006B3D8A">
        <w:rPr>
          <w:rFonts w:ascii="Times New Roman" w:eastAsia="Times New Roman" w:hAnsi="Times New Roman" w:cs="Times New Roman"/>
          <w:sz w:val="24"/>
          <w:szCs w:val="24"/>
        </w:rPr>
        <w:t xml:space="preserve"> and Wood (1999) (β</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rPr>
        <w:t xml:space="preserve">, cumulative </w:t>
      </w:r>
      <w:r w:rsidRPr="006B3D8A">
        <w:rPr>
          <w:rFonts w:ascii="Times New Roman" w:eastAsia="Times New Roman" w:hAnsi="Times New Roman" w:cs="Times New Roman"/>
          <w:sz w:val="24"/>
          <w:szCs w:val="24"/>
        </w:rPr>
        <w:lastRenderedPageBreak/>
        <w:t xml:space="preserve">constant, up to 90°C). All of these studies show considerable scatter amongst themselves and with the aforementioned </w:t>
      </w:r>
      <w:proofErr w:type="spellStart"/>
      <w:r w:rsidRPr="006B3D8A">
        <w:rPr>
          <w:rFonts w:ascii="Times New Roman" w:eastAsia="Times New Roman" w:hAnsi="Times New Roman" w:cs="Times New Roman"/>
          <w:sz w:val="24"/>
          <w:szCs w:val="24"/>
        </w:rPr>
        <w:t>isocoulombic</w:t>
      </w:r>
      <w:proofErr w:type="spellEnd"/>
      <w:r w:rsidRPr="006B3D8A">
        <w:rPr>
          <w:rFonts w:ascii="Times New Roman" w:eastAsia="Times New Roman" w:hAnsi="Times New Roman" w:cs="Times New Roman"/>
          <w:sz w:val="24"/>
          <w:szCs w:val="24"/>
        </w:rPr>
        <w:t xml:space="preserve"> and HKF predictions.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In this study, we propose thermodynamic complexation constants for monomeric square-planar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 xml:space="preserve">II) species of the form </w:t>
      </w:r>
      <w:proofErr w:type="spellStart"/>
      <w:r w:rsidRPr="006B3D8A">
        <w:rPr>
          <w:rFonts w:ascii="Times New Roman" w:eastAsia="Times New Roman" w:hAnsi="Times New Roman" w:cs="Times New Roman"/>
          <w:sz w:val="24"/>
          <w:szCs w:val="24"/>
        </w:rPr>
        <w:t>PdCl</w:t>
      </w:r>
      <w:r w:rsidRPr="006B3D8A">
        <w:rPr>
          <w:rFonts w:ascii="Times New Roman" w:eastAsia="Times New Roman" w:hAnsi="Times New Roman" w:cs="Times New Roman"/>
          <w:sz w:val="24"/>
          <w:szCs w:val="24"/>
          <w:vertAlign w:val="subscript"/>
        </w:rPr>
        <w:t>r</w:t>
      </w:r>
      <w:proofErr w:type="spellEnd"/>
      <w:r w:rsidRPr="006B3D8A">
        <w:rPr>
          <w:rFonts w:ascii="Times New Roman" w:eastAsia="Times New Roman" w:hAnsi="Times New Roman" w:cs="Times New Roman"/>
          <w:sz w:val="24"/>
          <w:szCs w:val="24"/>
        </w:rPr>
        <w:t>(H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4-r</w:t>
      </w:r>
      <w:r w:rsidRPr="006B3D8A">
        <w:rPr>
          <w:rFonts w:ascii="Times New Roman" w:eastAsia="Times New Roman" w:hAnsi="Times New Roman" w:cs="Times New Roman"/>
          <w:sz w:val="24"/>
          <w:szCs w:val="24"/>
          <w:vertAlign w:val="superscript"/>
        </w:rPr>
        <w:t>2-r</w:t>
      </w:r>
      <w:r w:rsidRPr="006B3D8A">
        <w:rPr>
          <w:rFonts w:ascii="Times New Roman" w:eastAsia="Times New Roman" w:hAnsi="Times New Roman" w:cs="Times New Roman"/>
          <w:sz w:val="24"/>
          <w:szCs w:val="24"/>
        </w:rPr>
        <w:t xml:space="preserve"> (</w:t>
      </w:r>
      <w:r w:rsidRPr="006B3D8A">
        <w:rPr>
          <w:rFonts w:ascii="Times New Roman" w:eastAsia="Times New Roman" w:hAnsi="Times New Roman" w:cs="Times New Roman"/>
          <w:i/>
          <w:iCs/>
          <w:sz w:val="24"/>
          <w:szCs w:val="24"/>
        </w:rPr>
        <w:t>r</w:t>
      </w:r>
      <w:r w:rsidRPr="006B3D8A">
        <w:rPr>
          <w:rFonts w:ascii="Times New Roman" w:eastAsia="Times New Roman" w:hAnsi="Times New Roman" w:cs="Times New Roman"/>
          <w:sz w:val="24"/>
          <w:szCs w:val="24"/>
        </w:rPr>
        <w:t xml:space="preserve"> = [0,4]) in dilute acidic conditions using modern chemometric analyses of UV-vis spectroscopic data as a function of temperature. We notably make use of an objective analysis of the spectroscopic data by determining the number of species and extracting their respective molar absorption coefficients using results of singular value decompositions (Golub and </w:t>
      </w:r>
      <w:proofErr w:type="spellStart"/>
      <w:r w:rsidRPr="006B3D8A">
        <w:rPr>
          <w:rFonts w:ascii="Times New Roman" w:eastAsia="Times New Roman" w:hAnsi="Times New Roman" w:cs="Times New Roman"/>
          <w:sz w:val="24"/>
          <w:szCs w:val="24"/>
        </w:rPr>
        <w:t>Reinsch</w:t>
      </w:r>
      <w:proofErr w:type="spellEnd"/>
      <w:r w:rsidRPr="006B3D8A">
        <w:rPr>
          <w:rFonts w:ascii="Times New Roman" w:eastAsia="Times New Roman" w:hAnsi="Times New Roman" w:cs="Times New Roman"/>
          <w:sz w:val="24"/>
          <w:szCs w:val="24"/>
        </w:rPr>
        <w:t xml:space="preserve">, 1970) of experimental UV-vis absorbance data over a broad range of wavelengths. This approach contrasts markedly with the more traditional deconvolution methods, which require some a priori assumption on the number of species and on the shape of the absorbance bands. In addition, this method (Appendix I) provides a well-posed numerical solution to Beer’s law. This study builds upon several previous papers from this group, in which heavy metal chloride complexes were investigated up to 300 to 400°C with spectrophotometric cells built from titanium alloys (Seward 1984, Heinrich and Seward 1990, </w:t>
      </w:r>
      <w:proofErr w:type="spellStart"/>
      <w:r w:rsidRPr="006B3D8A">
        <w:rPr>
          <w:rFonts w:ascii="Times New Roman" w:eastAsia="Times New Roman" w:hAnsi="Times New Roman" w:cs="Times New Roman"/>
          <w:sz w:val="24"/>
          <w:szCs w:val="24"/>
        </w:rPr>
        <w:t>Bebie</w:t>
      </w:r>
      <w:proofErr w:type="spellEnd"/>
      <w:r w:rsidRPr="006B3D8A">
        <w:rPr>
          <w:rFonts w:ascii="Times New Roman" w:eastAsia="Times New Roman" w:hAnsi="Times New Roman" w:cs="Times New Roman"/>
          <w:sz w:val="24"/>
          <w:szCs w:val="24"/>
        </w:rPr>
        <w:t xml:space="preserve"> et al 1998, </w:t>
      </w:r>
      <w:proofErr w:type="spellStart"/>
      <w:r w:rsidRPr="006B3D8A">
        <w:rPr>
          <w:rFonts w:ascii="Times New Roman" w:eastAsia="Times New Roman" w:hAnsi="Times New Roman" w:cs="Times New Roman"/>
          <w:sz w:val="24"/>
          <w:szCs w:val="24"/>
        </w:rPr>
        <w:t>Suleimenov</w:t>
      </w:r>
      <w:proofErr w:type="spellEnd"/>
      <w:r w:rsidRPr="006B3D8A">
        <w:rPr>
          <w:rFonts w:ascii="Times New Roman" w:eastAsia="Times New Roman" w:hAnsi="Times New Roman" w:cs="Times New Roman"/>
          <w:sz w:val="24"/>
          <w:szCs w:val="24"/>
        </w:rPr>
        <w:t xml:space="preserve"> and Seward 2000, Müller and Seward 2001). It will, however, be shown that such cells cannot be used for the study of palladium chloride complexes at elevated temperatures, and that reliable spectrophotometric measurements of palladium can only be carried out in nonmetallic cells such as quartz glass. The thermodynamic properties of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II) chloride complexes, as well as their electronic spectra, are consequently reported in the experimentally allowable range of 5 to 125°C.</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In the second part of this study, quantum chemical calculations are used to provide insight into the molecular- and electronic-level aspects of Pd-Cl and Pd-OH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complexation in the monomeric complexes studied by spectrophotometry. The methods of atoms in molecules (AIM; Bader, 1990) and of the electron </w:t>
      </w:r>
      <w:proofErr w:type="spellStart"/>
      <w:r w:rsidRPr="006B3D8A">
        <w:rPr>
          <w:rFonts w:ascii="Times New Roman" w:eastAsia="Times New Roman" w:hAnsi="Times New Roman" w:cs="Times New Roman"/>
          <w:sz w:val="24"/>
          <w:szCs w:val="24"/>
        </w:rPr>
        <w:t>localisation</w:t>
      </w:r>
      <w:proofErr w:type="spellEnd"/>
      <w:r w:rsidRPr="006B3D8A">
        <w:rPr>
          <w:rFonts w:ascii="Times New Roman" w:eastAsia="Times New Roman" w:hAnsi="Times New Roman" w:cs="Times New Roman"/>
          <w:sz w:val="24"/>
          <w:szCs w:val="24"/>
        </w:rPr>
        <w:t xml:space="preserve"> function (ELF; </w:t>
      </w:r>
      <w:proofErr w:type="spellStart"/>
      <w:r w:rsidRPr="006B3D8A">
        <w:rPr>
          <w:rFonts w:ascii="Times New Roman" w:eastAsia="Times New Roman" w:hAnsi="Times New Roman" w:cs="Times New Roman"/>
          <w:sz w:val="24"/>
          <w:szCs w:val="24"/>
        </w:rPr>
        <w:t>Silvi</w:t>
      </w:r>
      <w:proofErr w:type="spellEnd"/>
      <w:r w:rsidRPr="006B3D8A">
        <w:rPr>
          <w:rFonts w:ascii="Times New Roman" w:eastAsia="Times New Roman" w:hAnsi="Times New Roman" w:cs="Times New Roman"/>
          <w:sz w:val="24"/>
          <w:szCs w:val="24"/>
        </w:rPr>
        <w:t xml:space="preserve"> and </w:t>
      </w:r>
      <w:proofErr w:type="spellStart"/>
      <w:r w:rsidRPr="006B3D8A">
        <w:rPr>
          <w:rFonts w:ascii="Times New Roman" w:eastAsia="Times New Roman" w:hAnsi="Times New Roman" w:cs="Times New Roman"/>
          <w:sz w:val="24"/>
          <w:szCs w:val="24"/>
        </w:rPr>
        <w:t>Savin</w:t>
      </w:r>
      <w:proofErr w:type="spellEnd"/>
      <w:r w:rsidRPr="006B3D8A">
        <w:rPr>
          <w:rFonts w:ascii="Times New Roman" w:eastAsia="Times New Roman" w:hAnsi="Times New Roman" w:cs="Times New Roman"/>
          <w:sz w:val="24"/>
          <w:szCs w:val="24"/>
        </w:rPr>
        <w:t>, 1994) are used to classify the nature of the Pd-Cl and Pd-OH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bonds in the different molecules. It will notably be shown that complexation in these square planar complexes induces a distortion in the outer core of palladium, yielding relatively stable accumulations of charges adjacent to each Pd-Cl and Pd-OH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bond.</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Section snippets</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Experimental Methods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All stock solutions were made with doubly distilled deionized water and prepared on a </w:t>
      </w:r>
      <w:proofErr w:type="spellStart"/>
      <w:r w:rsidRPr="006B3D8A">
        <w:rPr>
          <w:rFonts w:ascii="Times New Roman" w:eastAsia="Times New Roman" w:hAnsi="Times New Roman" w:cs="Times New Roman"/>
          <w:sz w:val="24"/>
          <w:szCs w:val="24"/>
        </w:rPr>
        <w:t>molal</w:t>
      </w:r>
      <w:proofErr w:type="spellEnd"/>
      <w:r w:rsidRPr="006B3D8A">
        <w:rPr>
          <w:rFonts w:ascii="Times New Roman" w:eastAsia="Times New Roman" w:hAnsi="Times New Roman" w:cs="Times New Roman"/>
          <w:sz w:val="24"/>
          <w:szCs w:val="24"/>
        </w:rPr>
        <w:t xml:space="preserve"> scale (mol kg</w:t>
      </w:r>
      <w:r w:rsidRPr="006B3D8A">
        <w:rPr>
          <w:rFonts w:ascii="Times New Roman" w:eastAsia="Times New Roman" w:hAnsi="Times New Roman" w:cs="Times New Roman"/>
          <w:sz w:val="24"/>
          <w:szCs w:val="24"/>
          <w:vertAlign w:val="superscript"/>
        </w:rPr>
        <w:t>-1</w:t>
      </w:r>
      <w:r w:rsidRPr="006B3D8A">
        <w:rPr>
          <w:rFonts w:ascii="Times New Roman" w:eastAsia="Times New Roman" w:hAnsi="Times New Roman" w:cs="Times New Roman"/>
          <w:sz w:val="24"/>
          <w:szCs w:val="24"/>
        </w:rPr>
        <w:t xml:space="preserve"> H</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O)</w:t>
      </w:r>
      <w:r w:rsidRPr="006B3D8A">
        <w:rPr>
          <w:rFonts w:ascii="Times New Roman" w:eastAsia="Times New Roman" w:hAnsi="Times New Roman" w:cs="Times New Roman"/>
          <w:sz w:val="24"/>
          <w:szCs w:val="24"/>
          <w:vertAlign w:val="subscript"/>
        </w:rPr>
        <w:t>.</w:t>
      </w:r>
      <w:r w:rsidRPr="006B3D8A">
        <w:rPr>
          <w:rFonts w:ascii="Times New Roman" w:eastAsia="Times New Roman" w:hAnsi="Times New Roman" w:cs="Times New Roman"/>
          <w:sz w:val="24"/>
          <w:szCs w:val="24"/>
        </w:rPr>
        <w:t xml:space="preserve"> Stock solutions of dilute perchloric acid and hydrochloric acid were prepared from the concentrated acids (Merck) and </w:t>
      </w:r>
      <w:proofErr w:type="spellStart"/>
      <w:r w:rsidRPr="006B3D8A">
        <w:rPr>
          <w:rFonts w:ascii="Times New Roman" w:eastAsia="Times New Roman" w:hAnsi="Times New Roman" w:cs="Times New Roman"/>
          <w:sz w:val="24"/>
          <w:szCs w:val="24"/>
        </w:rPr>
        <w:t>standardised</w:t>
      </w:r>
      <w:proofErr w:type="spellEnd"/>
      <w:r w:rsidRPr="006B3D8A">
        <w:rPr>
          <w:rFonts w:ascii="Times New Roman" w:eastAsia="Times New Roman" w:hAnsi="Times New Roman" w:cs="Times New Roman"/>
          <w:sz w:val="24"/>
          <w:szCs w:val="24"/>
        </w:rPr>
        <w:t xml:space="preserve"> against tris(hydroxymethyl)-aminomethane (</w:t>
      </w:r>
      <w:proofErr w:type="spellStart"/>
      <w:r w:rsidRPr="006B3D8A">
        <w:rPr>
          <w:rFonts w:ascii="Times New Roman" w:eastAsia="Times New Roman" w:hAnsi="Times New Roman" w:cs="Times New Roman"/>
          <w:sz w:val="24"/>
          <w:szCs w:val="24"/>
        </w:rPr>
        <w:t>Trizma</w:t>
      </w:r>
      <w:proofErr w:type="spellEnd"/>
      <w:r w:rsidRPr="006B3D8A">
        <w:rPr>
          <w:rFonts w:ascii="Times New Roman" w:eastAsia="Times New Roman" w:hAnsi="Times New Roman" w:cs="Times New Roman"/>
          <w:sz w:val="24"/>
          <w:szCs w:val="24"/>
        </w:rPr>
        <w:t>-base, Aldrich) using methyl red as an indicator (</w:t>
      </w:r>
      <w:proofErr w:type="spellStart"/>
      <w:r w:rsidRPr="006B3D8A">
        <w:rPr>
          <w:rFonts w:ascii="Times New Roman" w:eastAsia="Times New Roman" w:hAnsi="Times New Roman" w:cs="Times New Roman"/>
          <w:sz w:val="24"/>
          <w:szCs w:val="24"/>
        </w:rPr>
        <w:t>Fluka</w:t>
      </w:r>
      <w:proofErr w:type="spellEnd"/>
      <w:r w:rsidRPr="006B3D8A">
        <w:rPr>
          <w:rFonts w:ascii="Times New Roman" w:eastAsia="Times New Roman" w:hAnsi="Times New Roman" w:cs="Times New Roman"/>
          <w:sz w:val="24"/>
          <w:szCs w:val="24"/>
        </w:rPr>
        <w:t>). A stock solution of 0.500 × 10</w:t>
      </w:r>
      <w:r w:rsidRPr="006B3D8A">
        <w:rPr>
          <w:rFonts w:ascii="Times New Roman" w:eastAsia="Times New Roman" w:hAnsi="Times New Roman" w:cs="Times New Roman"/>
          <w:sz w:val="24"/>
          <w:szCs w:val="24"/>
          <w:vertAlign w:val="superscript"/>
        </w:rPr>
        <w:t>-2</w:t>
      </w:r>
      <w:r w:rsidRPr="006B3D8A">
        <w:rPr>
          <w:rFonts w:ascii="Times New Roman" w:eastAsia="Times New Roman" w:hAnsi="Times New Roman" w:cs="Times New Roman"/>
          <w:sz w:val="24"/>
          <w:szCs w:val="24"/>
        </w:rPr>
        <w:t xml:space="preserve"> mol kg</w:t>
      </w:r>
      <w:r w:rsidRPr="006B3D8A">
        <w:rPr>
          <w:rFonts w:ascii="Times New Roman" w:eastAsia="Times New Roman" w:hAnsi="Times New Roman" w:cs="Times New Roman"/>
          <w:sz w:val="24"/>
          <w:szCs w:val="24"/>
          <w:vertAlign w:val="superscript"/>
        </w:rPr>
        <w:t>-1</w:t>
      </w:r>
      <w:r w:rsidRPr="006B3D8A">
        <w:rPr>
          <w:rFonts w:ascii="Times New Roman" w:eastAsia="Times New Roman" w:hAnsi="Times New Roman" w:cs="Times New Roman"/>
          <w:sz w:val="24"/>
          <w:szCs w:val="24"/>
        </w:rPr>
        <w:t xml:space="preserve"> </w:t>
      </w:r>
      <w:proofErr w:type="gramStart"/>
      <w:r w:rsidRPr="006B3D8A">
        <w:rPr>
          <w:rFonts w:ascii="Times New Roman" w:eastAsia="Times New Roman" w:hAnsi="Times New Roman" w:cs="Times New Roman"/>
          <w:sz w:val="24"/>
          <w:szCs w:val="24"/>
        </w:rPr>
        <w:t>palladium(</w:t>
      </w:r>
      <w:proofErr w:type="gramEnd"/>
      <w:r w:rsidRPr="006B3D8A">
        <w:rPr>
          <w:rFonts w:ascii="Times New Roman" w:eastAsia="Times New Roman" w:hAnsi="Times New Roman" w:cs="Times New Roman"/>
          <w:sz w:val="24"/>
          <w:szCs w:val="24"/>
        </w:rPr>
        <w:t>II) chloride was prepared by dissolving PdCl</w:t>
      </w:r>
      <w:r w:rsidRPr="006B3D8A">
        <w:rPr>
          <w:rFonts w:ascii="Times New Roman" w:eastAsia="Times New Roman" w:hAnsi="Times New Roman" w:cs="Times New Roman"/>
          <w:sz w:val="24"/>
          <w:szCs w:val="24"/>
          <w:vertAlign w:val="subscript"/>
        </w:rPr>
        <w:t>2</w:t>
      </w:r>
      <w:r w:rsidRPr="006B3D8A">
        <w:rPr>
          <w:rFonts w:ascii="Times New Roman" w:eastAsia="Times New Roman" w:hAnsi="Times New Roman" w:cs="Times New Roman"/>
          <w:sz w:val="24"/>
          <w:szCs w:val="24"/>
        </w:rPr>
        <w:t xml:space="preserve"> (s) (Aldrich) in 0.100 mol kg</w:t>
      </w:r>
      <w:r w:rsidRPr="006B3D8A">
        <w:rPr>
          <w:rFonts w:ascii="Times New Roman" w:eastAsia="Times New Roman" w:hAnsi="Times New Roman" w:cs="Times New Roman"/>
          <w:sz w:val="24"/>
          <w:szCs w:val="24"/>
          <w:vertAlign w:val="superscript"/>
        </w:rPr>
        <w:t>-1</w:t>
      </w:r>
      <w:r w:rsidRPr="006B3D8A">
        <w:rPr>
          <w:rFonts w:ascii="Times New Roman" w:eastAsia="Times New Roman" w:hAnsi="Times New Roman" w:cs="Times New Roman"/>
          <w:sz w:val="24"/>
          <w:szCs w:val="24"/>
        </w:rPr>
        <w:t xml:space="preserve"> HClO</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rPr>
        <w:t>. A</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 xml:space="preserve">The UV-vis spectra of </w:t>
      </w:r>
      <w:proofErr w:type="gramStart"/>
      <w:r w:rsidRPr="006B3D8A">
        <w:rPr>
          <w:rFonts w:ascii="Times New Roman" w:eastAsia="Times New Roman" w:hAnsi="Times New Roman" w:cs="Times New Roman"/>
          <w:b/>
          <w:bCs/>
          <w:sz w:val="36"/>
          <w:szCs w:val="36"/>
        </w:rPr>
        <w:t>palladium(</w:t>
      </w:r>
      <w:proofErr w:type="gramEnd"/>
      <w:r w:rsidRPr="006B3D8A">
        <w:rPr>
          <w:rFonts w:ascii="Times New Roman" w:eastAsia="Times New Roman" w:hAnsi="Times New Roman" w:cs="Times New Roman"/>
          <w:b/>
          <w:bCs/>
          <w:sz w:val="36"/>
          <w:szCs w:val="36"/>
        </w:rPr>
        <w:t xml:space="preserve">II) </w:t>
      </w:r>
      <w:proofErr w:type="spellStart"/>
      <w:r w:rsidRPr="006B3D8A">
        <w:rPr>
          <w:rFonts w:ascii="Times New Roman" w:eastAsia="Times New Roman" w:hAnsi="Times New Roman" w:cs="Times New Roman"/>
          <w:b/>
          <w:bCs/>
          <w:sz w:val="36"/>
          <w:szCs w:val="36"/>
        </w:rPr>
        <w:t>chloro</w:t>
      </w:r>
      <w:proofErr w:type="spellEnd"/>
      <w:r w:rsidRPr="006B3D8A">
        <w:rPr>
          <w:rFonts w:ascii="Times New Roman" w:eastAsia="Times New Roman" w:hAnsi="Times New Roman" w:cs="Times New Roman"/>
          <w:b/>
          <w:bCs/>
          <w:sz w:val="36"/>
          <w:szCs w:val="36"/>
        </w:rPr>
        <w:t xml:space="preserve"> aqua complexes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The spectra of equilibrated solutions of </w:t>
      </w:r>
      <w:proofErr w:type="gramStart"/>
      <w:r w:rsidRPr="006B3D8A">
        <w:rPr>
          <w:rFonts w:ascii="Times New Roman" w:eastAsia="Times New Roman" w:hAnsi="Times New Roman" w:cs="Times New Roman"/>
          <w:sz w:val="24"/>
          <w:szCs w:val="24"/>
        </w:rPr>
        <w:t>Pd(</w:t>
      </w:r>
      <w:proofErr w:type="gramEnd"/>
      <w:r w:rsidRPr="006B3D8A">
        <w:rPr>
          <w:rFonts w:ascii="Times New Roman" w:eastAsia="Times New Roman" w:hAnsi="Times New Roman" w:cs="Times New Roman"/>
          <w:sz w:val="24"/>
          <w:szCs w:val="24"/>
        </w:rPr>
        <w:t>II) at different HCl concentrations in 0.100 mol kg</w:t>
      </w:r>
      <w:r w:rsidRPr="006B3D8A">
        <w:rPr>
          <w:rFonts w:ascii="Times New Roman" w:eastAsia="Times New Roman" w:hAnsi="Times New Roman" w:cs="Times New Roman"/>
          <w:sz w:val="24"/>
          <w:szCs w:val="24"/>
          <w:vertAlign w:val="superscript"/>
        </w:rPr>
        <w:t>-1</w:t>
      </w:r>
      <w:r w:rsidRPr="006B3D8A">
        <w:rPr>
          <w:rFonts w:ascii="Times New Roman" w:eastAsia="Times New Roman" w:hAnsi="Times New Roman" w:cs="Times New Roman"/>
          <w:sz w:val="24"/>
          <w:szCs w:val="24"/>
        </w:rPr>
        <w:t xml:space="preserve"> HClO</w:t>
      </w:r>
      <w:r w:rsidRPr="006B3D8A">
        <w:rPr>
          <w:rFonts w:ascii="Times New Roman" w:eastAsia="Times New Roman" w:hAnsi="Times New Roman" w:cs="Times New Roman"/>
          <w:sz w:val="24"/>
          <w:szCs w:val="24"/>
          <w:vertAlign w:val="subscript"/>
        </w:rPr>
        <w:t>4</w:t>
      </w:r>
      <w:r w:rsidRPr="006B3D8A">
        <w:rPr>
          <w:rFonts w:ascii="Times New Roman" w:eastAsia="Times New Roman" w:hAnsi="Times New Roman" w:cs="Times New Roman"/>
          <w:sz w:val="24"/>
          <w:szCs w:val="24"/>
        </w:rPr>
        <w:t xml:space="preserve"> at 20°C are shown in Figure 2. Thermal and chemical equilibrium were confirmed in all solutions by repeated scans over periods of more than ten min. Repeated measurements of selected solutions over a period of several h and weeks also confirmed all reactions to be at equilibrium. The </w:t>
      </w:r>
      <w:r w:rsidRPr="006B3D8A">
        <w:rPr>
          <w:rFonts w:ascii="Times New Roman" w:eastAsia="Times New Roman" w:hAnsi="Times New Roman" w:cs="Times New Roman"/>
          <w:sz w:val="24"/>
          <w:szCs w:val="24"/>
        </w:rPr>
        <w:lastRenderedPageBreak/>
        <w:t xml:space="preserve">stopped-flow spectrophotometric kinetic studies of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1972a,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1973, </w:t>
      </w:r>
      <w:proofErr w:type="spellStart"/>
      <w:r w:rsidRPr="006B3D8A">
        <w:rPr>
          <w:rFonts w:ascii="Times New Roman" w:eastAsia="Times New Roman" w:hAnsi="Times New Roman" w:cs="Times New Roman"/>
          <w:sz w:val="24"/>
          <w:szCs w:val="24"/>
        </w:rPr>
        <w:t>Elding</w:t>
      </w:r>
      <w:proofErr w:type="spellEnd"/>
      <w:r w:rsidRPr="006B3D8A">
        <w:rPr>
          <w:rFonts w:ascii="Times New Roman" w:eastAsia="Times New Roman" w:hAnsi="Times New Roman" w:cs="Times New Roman"/>
          <w:sz w:val="24"/>
          <w:szCs w:val="24"/>
        </w:rPr>
        <w:t xml:space="preserve"> 1975 in fact revealed</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Conclusions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Despite the importance of palladium in a number of hydrothermal systems, the study of its aqueous speciation at temperatures above 125°C in the laboratory remains a challenge due to unexpected interactions of palladium with materials commonly used in hydrothermal experiments. Measurements in quartz glass cells were, on the other hand, successful to fulfill the purpose of this study and produced thermodynamic formation constants that can be used to predict speciation at temperatures ranging from </w:t>
      </w:r>
    </w:p>
    <w:p w:rsidR="006B3D8A" w:rsidRPr="006B3D8A" w:rsidRDefault="006B3D8A" w:rsidP="006B3D8A">
      <w:pPr>
        <w:spacing w:before="100" w:beforeAutospacing="1" w:after="100" w:afterAutospacing="1" w:line="240" w:lineRule="auto"/>
        <w:outlineLvl w:val="1"/>
        <w:rPr>
          <w:rFonts w:ascii="Times New Roman" w:eastAsia="Times New Roman" w:hAnsi="Times New Roman" w:cs="Times New Roman"/>
          <w:b/>
          <w:bCs/>
          <w:sz w:val="36"/>
          <w:szCs w:val="36"/>
        </w:rPr>
      </w:pPr>
      <w:r w:rsidRPr="006B3D8A">
        <w:rPr>
          <w:rFonts w:ascii="Times New Roman" w:eastAsia="Times New Roman" w:hAnsi="Times New Roman" w:cs="Times New Roman"/>
          <w:b/>
          <w:bCs/>
          <w:sz w:val="36"/>
          <w:szCs w:val="36"/>
        </w:rPr>
        <w:t>Acknowledgments</w:t>
      </w:r>
    </w:p>
    <w:p w:rsidR="006B3D8A" w:rsidRPr="006B3D8A" w:rsidRDefault="006B3D8A" w:rsidP="006B3D8A">
      <w:pPr>
        <w:spacing w:before="100" w:beforeAutospacing="1" w:after="100" w:afterAutospacing="1" w:line="240" w:lineRule="auto"/>
        <w:rPr>
          <w:rFonts w:ascii="Times New Roman" w:eastAsia="Times New Roman" w:hAnsi="Times New Roman" w:cs="Times New Roman"/>
          <w:sz w:val="24"/>
          <w:szCs w:val="24"/>
        </w:rPr>
      </w:pPr>
      <w:r w:rsidRPr="006B3D8A">
        <w:rPr>
          <w:rFonts w:ascii="Times New Roman" w:eastAsia="Times New Roman" w:hAnsi="Times New Roman" w:cs="Times New Roman"/>
          <w:sz w:val="24"/>
          <w:szCs w:val="24"/>
        </w:rPr>
        <w:t xml:space="preserve">The authors wish to thank O. </w:t>
      </w:r>
      <w:proofErr w:type="spellStart"/>
      <w:r w:rsidRPr="006B3D8A">
        <w:rPr>
          <w:rFonts w:ascii="Times New Roman" w:eastAsia="Times New Roman" w:hAnsi="Times New Roman" w:cs="Times New Roman"/>
          <w:sz w:val="24"/>
          <w:szCs w:val="24"/>
        </w:rPr>
        <w:t>Suleimenov</w:t>
      </w:r>
      <w:proofErr w:type="spellEnd"/>
      <w:r w:rsidRPr="006B3D8A">
        <w:rPr>
          <w:rFonts w:ascii="Times New Roman" w:eastAsia="Times New Roman" w:hAnsi="Times New Roman" w:cs="Times New Roman"/>
          <w:sz w:val="24"/>
          <w:szCs w:val="24"/>
        </w:rPr>
        <w:t xml:space="preserve"> for fruitful discussions throughout the course of this study and notably for suggesting the solution to Beer’s law used in this study. B. </w:t>
      </w:r>
      <w:proofErr w:type="spellStart"/>
      <w:r w:rsidRPr="006B3D8A">
        <w:rPr>
          <w:rFonts w:ascii="Times New Roman" w:eastAsia="Times New Roman" w:hAnsi="Times New Roman" w:cs="Times New Roman"/>
          <w:sz w:val="24"/>
          <w:szCs w:val="24"/>
        </w:rPr>
        <w:t>Taguirov</w:t>
      </w:r>
      <w:proofErr w:type="spellEnd"/>
      <w:r w:rsidRPr="006B3D8A">
        <w:rPr>
          <w:rFonts w:ascii="Times New Roman" w:eastAsia="Times New Roman" w:hAnsi="Times New Roman" w:cs="Times New Roman"/>
          <w:sz w:val="24"/>
          <w:szCs w:val="24"/>
        </w:rPr>
        <w:t xml:space="preserve"> is also thanked for discussions on the hydrothermal stability of palladium. Finally, D.C. McPhail, D. </w:t>
      </w:r>
      <w:proofErr w:type="spellStart"/>
      <w:r w:rsidRPr="006B3D8A">
        <w:rPr>
          <w:rFonts w:ascii="Times New Roman" w:eastAsia="Times New Roman" w:hAnsi="Times New Roman" w:cs="Times New Roman"/>
          <w:sz w:val="24"/>
          <w:szCs w:val="24"/>
        </w:rPr>
        <w:t>Sassani</w:t>
      </w:r>
      <w:proofErr w:type="spellEnd"/>
      <w:r w:rsidRPr="006B3D8A">
        <w:rPr>
          <w:rFonts w:ascii="Times New Roman" w:eastAsia="Times New Roman" w:hAnsi="Times New Roman" w:cs="Times New Roman"/>
          <w:sz w:val="24"/>
          <w:szCs w:val="24"/>
        </w:rPr>
        <w:t xml:space="preserve">, one anonymous reviewer, and Associate Editor D. </w:t>
      </w:r>
      <w:proofErr w:type="spellStart"/>
      <w:r w:rsidRPr="006B3D8A">
        <w:rPr>
          <w:rFonts w:ascii="Times New Roman" w:eastAsia="Times New Roman" w:hAnsi="Times New Roman" w:cs="Times New Roman"/>
          <w:sz w:val="24"/>
          <w:szCs w:val="24"/>
        </w:rPr>
        <w:t>Wesolowski</w:t>
      </w:r>
      <w:proofErr w:type="spellEnd"/>
      <w:r w:rsidRPr="006B3D8A">
        <w:rPr>
          <w:rFonts w:ascii="Times New Roman" w:eastAsia="Times New Roman" w:hAnsi="Times New Roman" w:cs="Times New Roman"/>
          <w:sz w:val="24"/>
          <w:szCs w:val="24"/>
        </w:rPr>
        <w:t xml:space="preserve"> are thanked for their constructive comments on the manuscript. The Competence Centre for Computational Chemistry (C4) at ETH-Zürich is also</w:t>
      </w:r>
    </w:p>
    <w:p w:rsidR="00626309" w:rsidRDefault="00626309"/>
    <w:sectPr w:rsidR="00626309">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D8A"/>
    <w:rsid w:val="00626309"/>
    <w:rsid w:val="006B3D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664C4"/>
  <w15:chartTrackingRefBased/>
  <w15:docId w15:val="{87CF9C9C-BD20-45CE-83F6-EBA6B8468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1551566">
      <w:bodyDiv w:val="1"/>
      <w:marLeft w:val="0"/>
      <w:marRight w:val="0"/>
      <w:marTop w:val="0"/>
      <w:marBottom w:val="0"/>
      <w:divBdr>
        <w:top w:val="none" w:sz="0" w:space="0" w:color="auto"/>
        <w:left w:val="none" w:sz="0" w:space="0" w:color="auto"/>
        <w:bottom w:val="none" w:sz="0" w:space="0" w:color="auto"/>
        <w:right w:val="none" w:sz="0" w:space="0" w:color="auto"/>
      </w:divBdr>
      <w:divsChild>
        <w:div w:id="995231292">
          <w:marLeft w:val="0"/>
          <w:marRight w:val="0"/>
          <w:marTop w:val="0"/>
          <w:marBottom w:val="0"/>
          <w:divBdr>
            <w:top w:val="none" w:sz="0" w:space="0" w:color="auto"/>
            <w:left w:val="none" w:sz="0" w:space="0" w:color="auto"/>
            <w:bottom w:val="none" w:sz="0" w:space="0" w:color="auto"/>
            <w:right w:val="none" w:sz="0" w:space="0" w:color="auto"/>
          </w:divBdr>
          <w:divsChild>
            <w:div w:id="576718089">
              <w:marLeft w:val="0"/>
              <w:marRight w:val="0"/>
              <w:marTop w:val="0"/>
              <w:marBottom w:val="0"/>
              <w:divBdr>
                <w:top w:val="none" w:sz="0" w:space="0" w:color="auto"/>
                <w:left w:val="none" w:sz="0" w:space="0" w:color="auto"/>
                <w:bottom w:val="none" w:sz="0" w:space="0" w:color="auto"/>
                <w:right w:val="none" w:sz="0" w:space="0" w:color="auto"/>
              </w:divBdr>
              <w:divsChild>
                <w:div w:id="1212154150">
                  <w:marLeft w:val="0"/>
                  <w:marRight w:val="0"/>
                  <w:marTop w:val="0"/>
                  <w:marBottom w:val="0"/>
                  <w:divBdr>
                    <w:top w:val="none" w:sz="0" w:space="0" w:color="auto"/>
                    <w:left w:val="none" w:sz="0" w:space="0" w:color="auto"/>
                    <w:bottom w:val="none" w:sz="0" w:space="0" w:color="auto"/>
                    <w:right w:val="none" w:sz="0" w:space="0" w:color="auto"/>
                  </w:divBdr>
                  <w:divsChild>
                    <w:div w:id="121194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416280">
          <w:marLeft w:val="0"/>
          <w:marRight w:val="0"/>
          <w:marTop w:val="0"/>
          <w:marBottom w:val="0"/>
          <w:divBdr>
            <w:top w:val="none" w:sz="0" w:space="0" w:color="auto"/>
            <w:left w:val="none" w:sz="0" w:space="0" w:color="auto"/>
            <w:bottom w:val="none" w:sz="0" w:space="0" w:color="auto"/>
            <w:right w:val="none" w:sz="0" w:space="0" w:color="auto"/>
          </w:divBdr>
          <w:divsChild>
            <w:div w:id="1328971147">
              <w:marLeft w:val="0"/>
              <w:marRight w:val="0"/>
              <w:marTop w:val="0"/>
              <w:marBottom w:val="0"/>
              <w:divBdr>
                <w:top w:val="none" w:sz="0" w:space="0" w:color="auto"/>
                <w:left w:val="none" w:sz="0" w:space="0" w:color="auto"/>
                <w:bottom w:val="none" w:sz="0" w:space="0" w:color="auto"/>
                <w:right w:val="none" w:sz="0" w:space="0" w:color="auto"/>
              </w:divBdr>
              <w:divsChild>
                <w:div w:id="53623140">
                  <w:marLeft w:val="0"/>
                  <w:marRight w:val="0"/>
                  <w:marTop w:val="0"/>
                  <w:marBottom w:val="0"/>
                  <w:divBdr>
                    <w:top w:val="none" w:sz="0" w:space="0" w:color="auto"/>
                    <w:left w:val="none" w:sz="0" w:space="0" w:color="auto"/>
                    <w:bottom w:val="none" w:sz="0" w:space="0" w:color="auto"/>
                    <w:right w:val="none" w:sz="0" w:space="0" w:color="auto"/>
                  </w:divBdr>
                  <w:divsChild>
                    <w:div w:id="107990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83871">
          <w:marLeft w:val="0"/>
          <w:marRight w:val="0"/>
          <w:marTop w:val="0"/>
          <w:marBottom w:val="0"/>
          <w:divBdr>
            <w:top w:val="none" w:sz="0" w:space="0" w:color="auto"/>
            <w:left w:val="none" w:sz="0" w:space="0" w:color="auto"/>
            <w:bottom w:val="none" w:sz="0" w:space="0" w:color="auto"/>
            <w:right w:val="none" w:sz="0" w:space="0" w:color="auto"/>
          </w:divBdr>
          <w:divsChild>
            <w:div w:id="925921466">
              <w:marLeft w:val="0"/>
              <w:marRight w:val="0"/>
              <w:marTop w:val="0"/>
              <w:marBottom w:val="0"/>
              <w:divBdr>
                <w:top w:val="none" w:sz="0" w:space="0" w:color="auto"/>
                <w:left w:val="none" w:sz="0" w:space="0" w:color="auto"/>
                <w:bottom w:val="none" w:sz="0" w:space="0" w:color="auto"/>
                <w:right w:val="none" w:sz="0" w:space="0" w:color="auto"/>
              </w:divBdr>
            </w:div>
          </w:divsChild>
        </w:div>
        <w:div w:id="1082070963">
          <w:marLeft w:val="0"/>
          <w:marRight w:val="0"/>
          <w:marTop w:val="0"/>
          <w:marBottom w:val="0"/>
          <w:divBdr>
            <w:top w:val="none" w:sz="0" w:space="0" w:color="auto"/>
            <w:left w:val="none" w:sz="0" w:space="0" w:color="auto"/>
            <w:bottom w:val="none" w:sz="0" w:space="0" w:color="auto"/>
            <w:right w:val="none" w:sz="0" w:space="0" w:color="auto"/>
          </w:divBdr>
          <w:divsChild>
            <w:div w:id="162550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spectrophotometry" TargetMode="External"/><Relationship Id="rId4" Type="http://schemas.openxmlformats.org/officeDocument/2006/relationships/hyperlink" Target="https://doi.org/10.1016/j.gca.2005.03.0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1776</Words>
  <Characters>10125</Characters>
  <Application>Microsoft Office Word</Application>
  <DocSecurity>0</DocSecurity>
  <Lines>84</Lines>
  <Paragraphs>23</Paragraphs>
  <ScaleCrop>false</ScaleCrop>
  <Company/>
  <LinksUpToDate>false</LinksUpToDate>
  <CharactersWithSpaces>11878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2023-11-18T04:44:00Z</dcterms:created>
  <dcterms:modified xsi:type="dcterms:W3CDTF">2023-11-18T04:45:00Z</dcterms:modified>
</cp:coreProperties>
</file>