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44662" w:rsidRPr="00044662" w:rsidRDefault="00044662" w:rsidP="00044662">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044662">
        <w:rPr>
          <w:rFonts w:ascii="Times New Roman" w:eastAsia="Times New Roman" w:hAnsi="Times New Roman" w:cs="Times New Roman"/>
          <w:b/>
          <w:bCs/>
          <w:kern w:val="36"/>
          <w:sz w:val="48"/>
          <w:szCs w:val="48"/>
        </w:rPr>
        <w:t>Planetesimal sulfate and aqueous alteration in CM and CI carbonaceous chondrites</w:t>
      </w:r>
    </w:p>
    <w:p w:rsidR="00044662" w:rsidRPr="00044662" w:rsidRDefault="00044662" w:rsidP="00044662">
      <w:pPr>
        <w:spacing w:after="0"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t>Author links open overlay panel</w:t>
      </w:r>
    </w:p>
    <w:p w:rsidR="00044662" w:rsidRPr="00044662" w:rsidRDefault="00044662" w:rsidP="00044662">
      <w:pPr>
        <w:spacing w:after="0"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t xml:space="preserve">, , , , , </w:t>
      </w:r>
    </w:p>
    <w:p w:rsidR="00044662" w:rsidRPr="00044662" w:rsidRDefault="00044662" w:rsidP="00044662">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044662">
          <w:rPr>
            <w:rFonts w:ascii="Times New Roman" w:eastAsia="Times New Roman" w:hAnsi="Times New Roman" w:cs="Times New Roman"/>
            <w:color w:val="0000FF"/>
            <w:sz w:val="24"/>
            <w:szCs w:val="24"/>
            <w:u w:val="single"/>
          </w:rPr>
          <w:t>https://doi.org/10.1016/j.gca.2005.01.029</w:t>
        </w:r>
      </w:hyperlink>
      <w:bookmarkStart w:id="0" w:name="_GoBack"/>
      <w:bookmarkEnd w:id="0"/>
      <w:r w:rsidRPr="00044662">
        <w:rPr>
          <w:rFonts w:ascii="Times New Roman" w:eastAsia="Times New Roman" w:hAnsi="Times New Roman" w:cs="Times New Roman"/>
          <w:sz w:val="24"/>
          <w:szCs w:val="24"/>
        </w:rPr>
        <w:t xml:space="preserve"> </w:t>
      </w:r>
    </w:p>
    <w:p w:rsidR="00044662" w:rsidRPr="00044662" w:rsidRDefault="00044662" w:rsidP="00044662">
      <w:pPr>
        <w:spacing w:before="100" w:beforeAutospacing="1" w:after="100" w:afterAutospacing="1" w:line="240" w:lineRule="auto"/>
        <w:outlineLvl w:val="1"/>
        <w:rPr>
          <w:rFonts w:ascii="Times New Roman" w:eastAsia="Times New Roman" w:hAnsi="Times New Roman" w:cs="Times New Roman"/>
          <w:b/>
          <w:bCs/>
          <w:sz w:val="36"/>
          <w:szCs w:val="36"/>
        </w:rPr>
      </w:pPr>
      <w:r w:rsidRPr="00044662">
        <w:rPr>
          <w:rFonts w:ascii="Times New Roman" w:eastAsia="Times New Roman" w:hAnsi="Times New Roman" w:cs="Times New Roman"/>
          <w:b/>
          <w:bCs/>
          <w:sz w:val="36"/>
          <w:szCs w:val="36"/>
        </w:rPr>
        <w:t>Abstract</w:t>
      </w:r>
    </w:p>
    <w:p w:rsidR="00044662" w:rsidRPr="00044662" w:rsidRDefault="00044662" w:rsidP="00044662">
      <w:pPr>
        <w:spacing w:before="100" w:beforeAutospacing="1" w:after="100" w:afterAutospacing="1"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t xml:space="preserve">Water-soluble sulfate salts extracted from six CM </w:t>
      </w:r>
      <w:hyperlink r:id="rId5" w:tooltip="Learn more about chondrites from ScienceDirect's AI-generated Topic Pages" w:history="1">
        <w:r w:rsidRPr="00044662">
          <w:rPr>
            <w:rFonts w:ascii="Times New Roman" w:eastAsia="Times New Roman" w:hAnsi="Times New Roman" w:cs="Times New Roman"/>
            <w:color w:val="0000FF"/>
            <w:sz w:val="24"/>
            <w:szCs w:val="24"/>
            <w:u w:val="single"/>
          </w:rPr>
          <w:t>chondrites</w:t>
        </w:r>
      </w:hyperlink>
      <w:r w:rsidRPr="00044662">
        <w:rPr>
          <w:rFonts w:ascii="Times New Roman" w:eastAsia="Times New Roman" w:hAnsi="Times New Roman" w:cs="Times New Roman"/>
          <w:sz w:val="24"/>
          <w:szCs w:val="24"/>
        </w:rPr>
        <w:t xml:space="preserve"> have oxygen isotope compositions that are consistent with an extraterrestrial origin. The Δ</w:t>
      </w:r>
      <w:r w:rsidRPr="00044662">
        <w:rPr>
          <w:rFonts w:ascii="Times New Roman" w:eastAsia="Times New Roman" w:hAnsi="Times New Roman" w:cs="Times New Roman"/>
          <w:sz w:val="24"/>
          <w:szCs w:val="24"/>
          <w:vertAlign w:val="superscript"/>
        </w:rPr>
        <w:t>17</w:t>
      </w:r>
      <w:r w:rsidRPr="00044662">
        <w:rPr>
          <w:rFonts w:ascii="Times New Roman" w:eastAsia="Times New Roman" w:hAnsi="Times New Roman" w:cs="Times New Roman"/>
          <w:sz w:val="24"/>
          <w:szCs w:val="24"/>
        </w:rPr>
        <w:t>O of sulfate are correlated with previously reported whole rock δ</w:t>
      </w:r>
      <w:r w:rsidRPr="00044662">
        <w:rPr>
          <w:rFonts w:ascii="Times New Roman" w:eastAsia="Times New Roman" w:hAnsi="Times New Roman" w:cs="Times New Roman"/>
          <w:sz w:val="24"/>
          <w:szCs w:val="24"/>
          <w:vertAlign w:val="superscript"/>
        </w:rPr>
        <w:t>18</w:t>
      </w:r>
      <w:r w:rsidRPr="00044662">
        <w:rPr>
          <w:rFonts w:ascii="Times New Roman" w:eastAsia="Times New Roman" w:hAnsi="Times New Roman" w:cs="Times New Roman"/>
          <w:sz w:val="24"/>
          <w:szCs w:val="24"/>
        </w:rPr>
        <w:t>O and with an index of meteorite alteration, and may display a correlation with the date of the fall. The enrichments and depletions for Δ</w:t>
      </w:r>
      <w:r w:rsidRPr="00044662">
        <w:rPr>
          <w:rFonts w:ascii="Times New Roman" w:eastAsia="Times New Roman" w:hAnsi="Times New Roman" w:cs="Times New Roman"/>
          <w:sz w:val="24"/>
          <w:szCs w:val="24"/>
          <w:vertAlign w:val="superscript"/>
        </w:rPr>
        <w:t>17</w:t>
      </w:r>
      <w:r w:rsidRPr="00044662">
        <w:rPr>
          <w:rFonts w:ascii="Times New Roman" w:eastAsia="Times New Roman" w:hAnsi="Times New Roman" w:cs="Times New Roman"/>
          <w:sz w:val="24"/>
          <w:szCs w:val="24"/>
        </w:rPr>
        <w:t xml:space="preserve">O of water-soluble sulfate from the CM chondrites relative to the terrestrial mass dependent fractionation line are consistent with sulfate formation in a rock dominated </w:t>
      </w:r>
      <w:proofErr w:type="spellStart"/>
      <w:r w:rsidRPr="00044662">
        <w:rPr>
          <w:rFonts w:ascii="Times New Roman" w:eastAsia="Times New Roman" w:hAnsi="Times New Roman" w:cs="Times New Roman"/>
          <w:sz w:val="24"/>
          <w:szCs w:val="24"/>
        </w:rPr>
        <w:t>asteroidal</w:t>
      </w:r>
      <w:proofErr w:type="spellEnd"/>
      <w:r w:rsidRPr="00044662">
        <w:rPr>
          <w:rFonts w:ascii="Times New Roman" w:eastAsia="Times New Roman" w:hAnsi="Times New Roman" w:cs="Times New Roman"/>
          <w:sz w:val="24"/>
          <w:szCs w:val="24"/>
        </w:rPr>
        <w:t xml:space="preserve"> environment, and from aqueous fluids that had undergone relatively low amounts of oxygen isotope exchange and little reaction with anhydrous components of the meteorites. It is unresolved how the oxidation of sulfide to sulfate can be reconciled with the inferred low oxidation state during the extraterrestrial alteration process. Oxygen isotope data for two CI chondrites, </w:t>
      </w:r>
      <w:proofErr w:type="spellStart"/>
      <w:r w:rsidRPr="00044662">
        <w:rPr>
          <w:rFonts w:ascii="Times New Roman" w:eastAsia="Times New Roman" w:hAnsi="Times New Roman" w:cs="Times New Roman"/>
          <w:sz w:val="24"/>
          <w:szCs w:val="24"/>
        </w:rPr>
        <w:t>Orgueil</w:t>
      </w:r>
      <w:proofErr w:type="spellEnd"/>
      <w:r w:rsidRPr="00044662">
        <w:rPr>
          <w:rFonts w:ascii="Times New Roman" w:eastAsia="Times New Roman" w:hAnsi="Times New Roman" w:cs="Times New Roman"/>
          <w:sz w:val="24"/>
          <w:szCs w:val="24"/>
        </w:rPr>
        <w:t xml:space="preserve"> and </w:t>
      </w:r>
      <w:proofErr w:type="spellStart"/>
      <w:r w:rsidRPr="00044662">
        <w:rPr>
          <w:rFonts w:ascii="Times New Roman" w:eastAsia="Times New Roman" w:hAnsi="Times New Roman" w:cs="Times New Roman"/>
          <w:sz w:val="24"/>
          <w:szCs w:val="24"/>
        </w:rPr>
        <w:t>Ivuna</w:t>
      </w:r>
      <w:proofErr w:type="spellEnd"/>
      <w:r w:rsidRPr="00044662">
        <w:rPr>
          <w:rFonts w:ascii="Times New Roman" w:eastAsia="Times New Roman" w:hAnsi="Times New Roman" w:cs="Times New Roman"/>
          <w:sz w:val="24"/>
          <w:szCs w:val="24"/>
        </w:rPr>
        <w:t xml:space="preserve">, as well as the ungrouped C2 chondrite </w:t>
      </w:r>
      <w:proofErr w:type="spellStart"/>
      <w:r w:rsidRPr="00044662">
        <w:rPr>
          <w:rFonts w:ascii="Times New Roman" w:eastAsia="Times New Roman" w:hAnsi="Times New Roman" w:cs="Times New Roman"/>
          <w:sz w:val="24"/>
          <w:szCs w:val="24"/>
        </w:rPr>
        <w:t>Essebi</w:t>
      </w:r>
      <w:proofErr w:type="spellEnd"/>
      <w:r w:rsidRPr="00044662">
        <w:rPr>
          <w:rFonts w:ascii="Times New Roman" w:eastAsia="Times New Roman" w:hAnsi="Times New Roman" w:cs="Times New Roman"/>
          <w:sz w:val="24"/>
          <w:szCs w:val="24"/>
        </w:rPr>
        <w:t xml:space="preserve"> are indistinguishable from sulfate of </w:t>
      </w:r>
      <w:hyperlink r:id="rId6" w:tooltip="Learn more about terrestrial origin from ScienceDirect's AI-generated Topic Pages" w:history="1">
        <w:r w:rsidRPr="00044662">
          <w:rPr>
            <w:rFonts w:ascii="Times New Roman" w:eastAsia="Times New Roman" w:hAnsi="Times New Roman" w:cs="Times New Roman"/>
            <w:color w:val="0000FF"/>
            <w:sz w:val="24"/>
            <w:szCs w:val="24"/>
            <w:u w:val="single"/>
          </w:rPr>
          <w:t>terrestrial origin</w:t>
        </w:r>
      </w:hyperlink>
      <w:r w:rsidRPr="00044662">
        <w:rPr>
          <w:rFonts w:ascii="Times New Roman" w:eastAsia="Times New Roman" w:hAnsi="Times New Roman" w:cs="Times New Roman"/>
          <w:sz w:val="24"/>
          <w:szCs w:val="24"/>
        </w:rPr>
        <w:t xml:space="preserve"> and may be terrestrial weathering products, consistent with previous assertions. Our oxygen isotope data, however, </w:t>
      </w:r>
      <w:proofErr w:type="spellStart"/>
      <w:r w:rsidRPr="00044662">
        <w:rPr>
          <w:rFonts w:ascii="Times New Roman" w:eastAsia="Times New Roman" w:hAnsi="Times New Roman" w:cs="Times New Roman"/>
          <w:sz w:val="24"/>
          <w:szCs w:val="24"/>
        </w:rPr>
        <w:t>can not</w:t>
      </w:r>
      <w:proofErr w:type="spellEnd"/>
      <w:r w:rsidRPr="00044662">
        <w:rPr>
          <w:rFonts w:ascii="Times New Roman" w:eastAsia="Times New Roman" w:hAnsi="Times New Roman" w:cs="Times New Roman"/>
          <w:sz w:val="24"/>
          <w:szCs w:val="24"/>
        </w:rPr>
        <w:t xml:space="preserve"> rule out a </w:t>
      </w:r>
      <w:proofErr w:type="spellStart"/>
      <w:r w:rsidRPr="00044662">
        <w:rPr>
          <w:rFonts w:ascii="Times New Roman" w:eastAsia="Times New Roman" w:hAnsi="Times New Roman" w:cs="Times New Roman"/>
          <w:sz w:val="24"/>
          <w:szCs w:val="24"/>
        </w:rPr>
        <w:t>preterrestrial</w:t>
      </w:r>
      <w:proofErr w:type="spellEnd"/>
      <w:r w:rsidRPr="00044662">
        <w:rPr>
          <w:rFonts w:ascii="Times New Roman" w:eastAsia="Times New Roman" w:hAnsi="Times New Roman" w:cs="Times New Roman"/>
          <w:sz w:val="24"/>
          <w:szCs w:val="24"/>
        </w:rPr>
        <w:t xml:space="preserve"> origin either.</w:t>
      </w:r>
    </w:p>
    <w:p w:rsidR="00044662" w:rsidRPr="00044662" w:rsidRDefault="00044662" w:rsidP="00044662">
      <w:pPr>
        <w:spacing w:before="100" w:beforeAutospacing="1" w:after="100" w:afterAutospacing="1" w:line="240" w:lineRule="auto"/>
        <w:outlineLvl w:val="1"/>
        <w:rPr>
          <w:rFonts w:ascii="Times New Roman" w:eastAsia="Times New Roman" w:hAnsi="Times New Roman" w:cs="Times New Roman"/>
          <w:b/>
          <w:bCs/>
          <w:sz w:val="36"/>
          <w:szCs w:val="36"/>
        </w:rPr>
      </w:pPr>
      <w:r w:rsidRPr="00044662">
        <w:rPr>
          <w:rFonts w:ascii="Times New Roman" w:eastAsia="Times New Roman" w:hAnsi="Times New Roman" w:cs="Times New Roman"/>
          <w:b/>
          <w:bCs/>
          <w:sz w:val="36"/>
          <w:szCs w:val="36"/>
        </w:rPr>
        <w:t>Introduction</w:t>
      </w:r>
    </w:p>
    <w:p w:rsidR="00044662" w:rsidRPr="00044662" w:rsidRDefault="00044662" w:rsidP="00044662">
      <w:pPr>
        <w:spacing w:before="100" w:beforeAutospacing="1" w:after="100" w:afterAutospacing="1"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t xml:space="preserve">Primitive meteorites preserve information about the gas and dust that accreted to form planetesimals during the first few million years of the solar system, as well as about the aqueous processes in these planetesimals. The presence of salts, hydrous minerals and carbonates in CI and CM chondrites are generally believed to result from alteration of solar nebula primary minerals by liquid water (Fuchs and Olsen 1973, Bunch and Reid 1975, Clayton and </w:t>
      </w:r>
      <w:proofErr w:type="spellStart"/>
      <w:r w:rsidRPr="00044662">
        <w:rPr>
          <w:rFonts w:ascii="Times New Roman" w:eastAsia="Times New Roman" w:hAnsi="Times New Roman" w:cs="Times New Roman"/>
          <w:sz w:val="24"/>
          <w:szCs w:val="24"/>
        </w:rPr>
        <w:t>Mayeda</w:t>
      </w:r>
      <w:proofErr w:type="spellEnd"/>
      <w:r w:rsidRPr="00044662">
        <w:rPr>
          <w:rFonts w:ascii="Times New Roman" w:eastAsia="Times New Roman" w:hAnsi="Times New Roman" w:cs="Times New Roman"/>
          <w:sz w:val="24"/>
          <w:szCs w:val="24"/>
        </w:rPr>
        <w:t xml:space="preserve"> 1984, Johnson and Prinz 1993, Browning et al 1996, Brearley and Prinz 1992); however, there are arguments that suggest that some salts may have formed on Earth during the time that some meteorites were curated (</w:t>
      </w:r>
      <w:proofErr w:type="spellStart"/>
      <w:r w:rsidRPr="00044662">
        <w:rPr>
          <w:rFonts w:ascii="Times New Roman" w:eastAsia="Times New Roman" w:hAnsi="Times New Roman" w:cs="Times New Roman"/>
          <w:sz w:val="24"/>
          <w:szCs w:val="24"/>
        </w:rPr>
        <w:t>Gounelle</w:t>
      </w:r>
      <w:proofErr w:type="spellEnd"/>
      <w:r w:rsidRPr="00044662">
        <w:rPr>
          <w:rFonts w:ascii="Times New Roman" w:eastAsia="Times New Roman" w:hAnsi="Times New Roman" w:cs="Times New Roman"/>
          <w:sz w:val="24"/>
          <w:szCs w:val="24"/>
        </w:rPr>
        <w:t xml:space="preserve"> and </w:t>
      </w:r>
      <w:proofErr w:type="spellStart"/>
      <w:r w:rsidRPr="00044662">
        <w:rPr>
          <w:rFonts w:ascii="Times New Roman" w:eastAsia="Times New Roman" w:hAnsi="Times New Roman" w:cs="Times New Roman"/>
          <w:sz w:val="24"/>
          <w:szCs w:val="24"/>
        </w:rPr>
        <w:t>Zolensky</w:t>
      </w:r>
      <w:proofErr w:type="spellEnd"/>
      <w:r w:rsidRPr="00044662">
        <w:rPr>
          <w:rFonts w:ascii="Times New Roman" w:eastAsia="Times New Roman" w:hAnsi="Times New Roman" w:cs="Times New Roman"/>
          <w:sz w:val="24"/>
          <w:szCs w:val="24"/>
        </w:rPr>
        <w:t>, 2001).</w:t>
      </w:r>
    </w:p>
    <w:p w:rsidR="00044662" w:rsidRPr="00044662" w:rsidRDefault="00044662" w:rsidP="00044662">
      <w:pPr>
        <w:spacing w:before="100" w:beforeAutospacing="1" w:after="100" w:afterAutospacing="1"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t xml:space="preserve">The oxygen isotopic compositions and oxygen isotopic evolution of the aqueous fluids that produced the alteration have been deduced using models that incorporate oxygen isotopic data for bulk meteorite samples, mineral separates, and matrix concentrates. Analyses of bulk meteorites (Rowe et al 1994, Clayton and </w:t>
      </w:r>
      <w:proofErr w:type="spellStart"/>
      <w:r w:rsidRPr="00044662">
        <w:rPr>
          <w:rFonts w:ascii="Times New Roman" w:eastAsia="Times New Roman" w:hAnsi="Times New Roman" w:cs="Times New Roman"/>
          <w:sz w:val="24"/>
          <w:szCs w:val="24"/>
        </w:rPr>
        <w:t>Mayeda</w:t>
      </w:r>
      <w:proofErr w:type="spellEnd"/>
      <w:r w:rsidRPr="00044662">
        <w:rPr>
          <w:rFonts w:ascii="Times New Roman" w:eastAsia="Times New Roman" w:hAnsi="Times New Roman" w:cs="Times New Roman"/>
          <w:sz w:val="24"/>
          <w:szCs w:val="24"/>
        </w:rPr>
        <w:t xml:space="preserve"> 1999) indicate that the CI chondrites have higher δ</w:t>
      </w:r>
      <w:r w:rsidRPr="00044662">
        <w:rPr>
          <w:rFonts w:ascii="Times New Roman" w:eastAsia="Times New Roman" w:hAnsi="Times New Roman" w:cs="Times New Roman"/>
          <w:sz w:val="24"/>
          <w:szCs w:val="24"/>
          <w:vertAlign w:val="superscript"/>
        </w:rPr>
        <w:t>18</w:t>
      </w:r>
      <w:r w:rsidRPr="00044662">
        <w:rPr>
          <w:rFonts w:ascii="Times New Roman" w:eastAsia="Times New Roman" w:hAnsi="Times New Roman" w:cs="Times New Roman"/>
          <w:sz w:val="24"/>
          <w:szCs w:val="24"/>
        </w:rPr>
        <w:t>O values (δ</w:t>
      </w:r>
      <w:r w:rsidRPr="00044662">
        <w:rPr>
          <w:rFonts w:ascii="Times New Roman" w:eastAsia="Times New Roman" w:hAnsi="Times New Roman" w:cs="Times New Roman"/>
          <w:sz w:val="24"/>
          <w:szCs w:val="24"/>
          <w:vertAlign w:val="superscript"/>
        </w:rPr>
        <w:t>18</w:t>
      </w:r>
      <w:r w:rsidRPr="00044662">
        <w:rPr>
          <w:rFonts w:ascii="Times New Roman" w:eastAsia="Times New Roman" w:hAnsi="Times New Roman" w:cs="Times New Roman"/>
          <w:sz w:val="24"/>
          <w:szCs w:val="24"/>
        </w:rPr>
        <w:t>O = [(</w:t>
      </w:r>
      <w:r w:rsidRPr="00044662">
        <w:rPr>
          <w:rFonts w:ascii="Times New Roman" w:eastAsia="Times New Roman" w:hAnsi="Times New Roman" w:cs="Times New Roman"/>
          <w:sz w:val="24"/>
          <w:szCs w:val="24"/>
          <w:vertAlign w:val="superscript"/>
        </w:rPr>
        <w:t>18</w:t>
      </w:r>
      <w:r w:rsidRPr="00044662">
        <w:rPr>
          <w:rFonts w:ascii="Times New Roman" w:eastAsia="Times New Roman" w:hAnsi="Times New Roman" w:cs="Times New Roman"/>
          <w:sz w:val="24"/>
          <w:szCs w:val="24"/>
        </w:rPr>
        <w:t>O</w:t>
      </w:r>
      <w:r w:rsidRPr="00044662">
        <w:rPr>
          <w:rFonts w:ascii="Times New Roman" w:eastAsia="Times New Roman" w:hAnsi="Times New Roman" w:cs="Times New Roman"/>
          <w:sz w:val="24"/>
          <w:szCs w:val="24"/>
          <w:vertAlign w:val="subscript"/>
        </w:rPr>
        <w:t>sample</w:t>
      </w:r>
      <w:r w:rsidRPr="00044662">
        <w:rPr>
          <w:rFonts w:ascii="Times New Roman" w:eastAsia="Times New Roman" w:hAnsi="Times New Roman" w:cs="Times New Roman"/>
          <w:sz w:val="24"/>
          <w:szCs w:val="24"/>
        </w:rPr>
        <w:t>/</w:t>
      </w:r>
      <w:r w:rsidRPr="00044662">
        <w:rPr>
          <w:rFonts w:ascii="Times New Roman" w:eastAsia="Times New Roman" w:hAnsi="Times New Roman" w:cs="Times New Roman"/>
          <w:sz w:val="24"/>
          <w:szCs w:val="24"/>
          <w:vertAlign w:val="superscript"/>
        </w:rPr>
        <w:t>16</w:t>
      </w:r>
      <w:r w:rsidRPr="00044662">
        <w:rPr>
          <w:rFonts w:ascii="Times New Roman" w:eastAsia="Times New Roman" w:hAnsi="Times New Roman" w:cs="Times New Roman"/>
          <w:sz w:val="24"/>
          <w:szCs w:val="24"/>
        </w:rPr>
        <w:t>O</w:t>
      </w:r>
      <w:r w:rsidRPr="00044662">
        <w:rPr>
          <w:rFonts w:ascii="Times New Roman" w:eastAsia="Times New Roman" w:hAnsi="Times New Roman" w:cs="Times New Roman"/>
          <w:sz w:val="24"/>
          <w:szCs w:val="24"/>
          <w:vertAlign w:val="subscript"/>
        </w:rPr>
        <w:t>sample</w:t>
      </w:r>
      <w:r w:rsidRPr="00044662">
        <w:rPr>
          <w:rFonts w:ascii="Times New Roman" w:eastAsia="Times New Roman" w:hAnsi="Times New Roman" w:cs="Times New Roman"/>
          <w:sz w:val="24"/>
          <w:szCs w:val="24"/>
        </w:rPr>
        <w:t>)/(</w:t>
      </w:r>
      <w:r w:rsidRPr="00044662">
        <w:rPr>
          <w:rFonts w:ascii="Times New Roman" w:eastAsia="Times New Roman" w:hAnsi="Times New Roman" w:cs="Times New Roman"/>
          <w:sz w:val="24"/>
          <w:szCs w:val="24"/>
          <w:vertAlign w:val="superscript"/>
        </w:rPr>
        <w:t>18</w:t>
      </w:r>
      <w:r w:rsidRPr="00044662">
        <w:rPr>
          <w:rFonts w:ascii="Times New Roman" w:eastAsia="Times New Roman" w:hAnsi="Times New Roman" w:cs="Times New Roman"/>
          <w:sz w:val="24"/>
          <w:szCs w:val="24"/>
        </w:rPr>
        <w:t>O</w:t>
      </w:r>
      <w:r w:rsidRPr="00044662">
        <w:rPr>
          <w:rFonts w:ascii="Times New Roman" w:eastAsia="Times New Roman" w:hAnsi="Times New Roman" w:cs="Times New Roman"/>
          <w:sz w:val="24"/>
          <w:szCs w:val="24"/>
          <w:vertAlign w:val="subscript"/>
        </w:rPr>
        <w:t>SMOW</w:t>
      </w:r>
      <w:r w:rsidRPr="00044662">
        <w:rPr>
          <w:rFonts w:ascii="Times New Roman" w:eastAsia="Times New Roman" w:hAnsi="Times New Roman" w:cs="Times New Roman"/>
          <w:sz w:val="24"/>
          <w:szCs w:val="24"/>
        </w:rPr>
        <w:t>/</w:t>
      </w:r>
      <w:r w:rsidRPr="00044662">
        <w:rPr>
          <w:rFonts w:ascii="Times New Roman" w:eastAsia="Times New Roman" w:hAnsi="Times New Roman" w:cs="Times New Roman"/>
          <w:sz w:val="24"/>
          <w:szCs w:val="24"/>
          <w:vertAlign w:val="superscript"/>
        </w:rPr>
        <w:t>16</w:t>
      </w:r>
      <w:r w:rsidRPr="00044662">
        <w:rPr>
          <w:rFonts w:ascii="Times New Roman" w:eastAsia="Times New Roman" w:hAnsi="Times New Roman" w:cs="Times New Roman"/>
          <w:sz w:val="24"/>
          <w:szCs w:val="24"/>
        </w:rPr>
        <w:t>O</w:t>
      </w:r>
      <w:r w:rsidRPr="00044662">
        <w:rPr>
          <w:rFonts w:ascii="Times New Roman" w:eastAsia="Times New Roman" w:hAnsi="Times New Roman" w:cs="Times New Roman"/>
          <w:sz w:val="24"/>
          <w:szCs w:val="24"/>
          <w:vertAlign w:val="subscript"/>
        </w:rPr>
        <w:t>SMOW</w:t>
      </w:r>
      <w:r w:rsidRPr="00044662">
        <w:rPr>
          <w:rFonts w:ascii="Times New Roman" w:eastAsia="Times New Roman" w:hAnsi="Times New Roman" w:cs="Times New Roman"/>
          <w:sz w:val="24"/>
          <w:szCs w:val="24"/>
        </w:rPr>
        <w:t xml:space="preserve">)] − 1) than other chondrites and are slightly enriched in </w:t>
      </w:r>
      <w:r w:rsidRPr="00044662">
        <w:rPr>
          <w:rFonts w:ascii="Times New Roman" w:eastAsia="Times New Roman" w:hAnsi="Times New Roman" w:cs="Times New Roman"/>
          <w:sz w:val="24"/>
          <w:szCs w:val="24"/>
          <w:vertAlign w:val="superscript"/>
        </w:rPr>
        <w:t>17</w:t>
      </w:r>
      <w:r w:rsidRPr="00044662">
        <w:rPr>
          <w:rFonts w:ascii="Times New Roman" w:eastAsia="Times New Roman" w:hAnsi="Times New Roman" w:cs="Times New Roman"/>
          <w:sz w:val="24"/>
          <w:szCs w:val="24"/>
        </w:rPr>
        <w:t xml:space="preserve">O relative to the terrestrial fractionation line (TFL) while CM chondrites typically have oxygen isotopic compositions below the TFL. The oxygen isotopic evolution of the aqueous fluid phase may have progressed from a composition enriched in </w:t>
      </w:r>
      <w:r w:rsidRPr="00044662">
        <w:rPr>
          <w:rFonts w:ascii="Times New Roman" w:eastAsia="Times New Roman" w:hAnsi="Times New Roman" w:cs="Times New Roman"/>
          <w:sz w:val="24"/>
          <w:szCs w:val="24"/>
          <w:vertAlign w:val="superscript"/>
        </w:rPr>
        <w:t>17</w:t>
      </w:r>
      <w:r w:rsidRPr="00044662">
        <w:rPr>
          <w:rFonts w:ascii="Times New Roman" w:eastAsia="Times New Roman" w:hAnsi="Times New Roman" w:cs="Times New Roman"/>
          <w:sz w:val="24"/>
          <w:szCs w:val="24"/>
        </w:rPr>
        <w:t xml:space="preserve">O to a composition depleted in </w:t>
      </w:r>
      <w:r w:rsidRPr="00044662">
        <w:rPr>
          <w:rFonts w:ascii="Times New Roman" w:eastAsia="Times New Roman" w:hAnsi="Times New Roman" w:cs="Times New Roman"/>
          <w:sz w:val="24"/>
          <w:szCs w:val="24"/>
          <w:vertAlign w:val="superscript"/>
        </w:rPr>
        <w:t>17</w:t>
      </w:r>
      <w:r w:rsidRPr="00044662">
        <w:rPr>
          <w:rFonts w:ascii="Times New Roman" w:eastAsia="Times New Roman" w:hAnsi="Times New Roman" w:cs="Times New Roman"/>
          <w:sz w:val="24"/>
          <w:szCs w:val="24"/>
        </w:rPr>
        <w:t xml:space="preserve">O relative to the TFL (Clayton and </w:t>
      </w:r>
      <w:proofErr w:type="spellStart"/>
      <w:r w:rsidRPr="00044662">
        <w:rPr>
          <w:rFonts w:ascii="Times New Roman" w:eastAsia="Times New Roman" w:hAnsi="Times New Roman" w:cs="Times New Roman"/>
          <w:sz w:val="24"/>
          <w:szCs w:val="24"/>
        </w:rPr>
        <w:t>Mayeda</w:t>
      </w:r>
      <w:proofErr w:type="spellEnd"/>
      <w:r w:rsidRPr="00044662">
        <w:rPr>
          <w:rFonts w:ascii="Times New Roman" w:eastAsia="Times New Roman" w:hAnsi="Times New Roman" w:cs="Times New Roman"/>
          <w:sz w:val="24"/>
          <w:szCs w:val="24"/>
        </w:rPr>
        <w:t xml:space="preserve"> 1984, Clayton and </w:t>
      </w:r>
      <w:proofErr w:type="spellStart"/>
      <w:r w:rsidRPr="00044662">
        <w:rPr>
          <w:rFonts w:ascii="Times New Roman" w:eastAsia="Times New Roman" w:hAnsi="Times New Roman" w:cs="Times New Roman"/>
          <w:sz w:val="24"/>
          <w:szCs w:val="24"/>
        </w:rPr>
        <w:t>Mayeda</w:t>
      </w:r>
      <w:proofErr w:type="spellEnd"/>
      <w:r w:rsidRPr="00044662">
        <w:rPr>
          <w:rFonts w:ascii="Times New Roman" w:eastAsia="Times New Roman" w:hAnsi="Times New Roman" w:cs="Times New Roman"/>
          <w:sz w:val="24"/>
          <w:szCs w:val="24"/>
        </w:rPr>
        <w:t xml:space="preserve"> 1999). The δ</w:t>
      </w:r>
      <w:r w:rsidRPr="00044662">
        <w:rPr>
          <w:rFonts w:ascii="Times New Roman" w:eastAsia="Times New Roman" w:hAnsi="Times New Roman" w:cs="Times New Roman"/>
          <w:sz w:val="24"/>
          <w:szCs w:val="24"/>
          <w:vertAlign w:val="superscript"/>
        </w:rPr>
        <w:t>18</w:t>
      </w:r>
      <w:r w:rsidRPr="00044662">
        <w:rPr>
          <w:rFonts w:ascii="Times New Roman" w:eastAsia="Times New Roman" w:hAnsi="Times New Roman" w:cs="Times New Roman"/>
          <w:sz w:val="24"/>
          <w:szCs w:val="24"/>
        </w:rPr>
        <w:t xml:space="preserve">O of the fluid phase is inferred to evolve from more to less </w:t>
      </w:r>
      <w:r w:rsidRPr="00044662">
        <w:rPr>
          <w:rFonts w:ascii="Times New Roman" w:eastAsia="Times New Roman" w:hAnsi="Times New Roman" w:cs="Times New Roman"/>
          <w:sz w:val="24"/>
          <w:szCs w:val="24"/>
          <w:vertAlign w:val="superscript"/>
        </w:rPr>
        <w:t>18</w:t>
      </w:r>
      <w:r w:rsidRPr="00044662">
        <w:rPr>
          <w:rFonts w:ascii="Times New Roman" w:eastAsia="Times New Roman" w:hAnsi="Times New Roman" w:cs="Times New Roman"/>
          <w:sz w:val="24"/>
          <w:szCs w:val="24"/>
        </w:rPr>
        <w:t>O enriched compositions.</w:t>
      </w:r>
    </w:p>
    <w:p w:rsidR="00044662" w:rsidRPr="00044662" w:rsidRDefault="00044662" w:rsidP="00044662">
      <w:pPr>
        <w:spacing w:before="100" w:beforeAutospacing="1" w:after="100" w:afterAutospacing="1"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lastRenderedPageBreak/>
        <w:t xml:space="preserve">In this study we examine the oxygen isotopic composition of water-soluble sulfate from a collection of CM chondrites falls, two CI chondrites, and one ungrouped C2 chondrite to assess whether it has a terrestrial or </w:t>
      </w:r>
      <w:proofErr w:type="spellStart"/>
      <w:r w:rsidRPr="00044662">
        <w:rPr>
          <w:rFonts w:ascii="Times New Roman" w:eastAsia="Times New Roman" w:hAnsi="Times New Roman" w:cs="Times New Roman"/>
          <w:sz w:val="24"/>
          <w:szCs w:val="24"/>
        </w:rPr>
        <w:t>preterrestrial</w:t>
      </w:r>
      <w:proofErr w:type="spellEnd"/>
      <w:r w:rsidRPr="00044662">
        <w:rPr>
          <w:rFonts w:ascii="Times New Roman" w:eastAsia="Times New Roman" w:hAnsi="Times New Roman" w:cs="Times New Roman"/>
          <w:sz w:val="24"/>
          <w:szCs w:val="24"/>
        </w:rPr>
        <w:t xml:space="preserve"> origin, and its potential to preserve information about the fluids that were present at the time of sulfate formation. Sulfate is likely to have formed by oxidation reactions of sulfides in the presence of water, and once formed, the sulfate ion is slow to exchange oxygen with water and other oxygen-bearing species (</w:t>
      </w:r>
      <w:proofErr w:type="spellStart"/>
      <w:r w:rsidRPr="00044662">
        <w:rPr>
          <w:rFonts w:ascii="Times New Roman" w:eastAsia="Times New Roman" w:hAnsi="Times New Roman" w:cs="Times New Roman"/>
          <w:sz w:val="24"/>
          <w:szCs w:val="24"/>
        </w:rPr>
        <w:t>Gamsjager</w:t>
      </w:r>
      <w:proofErr w:type="spellEnd"/>
      <w:r w:rsidRPr="00044662">
        <w:rPr>
          <w:rFonts w:ascii="Times New Roman" w:eastAsia="Times New Roman" w:hAnsi="Times New Roman" w:cs="Times New Roman"/>
          <w:sz w:val="24"/>
          <w:szCs w:val="24"/>
        </w:rPr>
        <w:t xml:space="preserve"> and </w:t>
      </w:r>
      <w:proofErr w:type="spellStart"/>
      <w:r w:rsidRPr="00044662">
        <w:rPr>
          <w:rFonts w:ascii="Times New Roman" w:eastAsia="Times New Roman" w:hAnsi="Times New Roman" w:cs="Times New Roman"/>
          <w:sz w:val="24"/>
          <w:szCs w:val="24"/>
        </w:rPr>
        <w:t>Murmann</w:t>
      </w:r>
      <w:proofErr w:type="spellEnd"/>
      <w:r w:rsidRPr="00044662">
        <w:rPr>
          <w:rFonts w:ascii="Times New Roman" w:eastAsia="Times New Roman" w:hAnsi="Times New Roman" w:cs="Times New Roman"/>
          <w:sz w:val="24"/>
          <w:szCs w:val="24"/>
        </w:rPr>
        <w:t xml:space="preserve">, 1983). The important distinction here between sulfate minerals and other oxygen-bearing species such as carbonate, is that they do not readily exchange oxygen with water at low to neutral pH and low temperature, even when this water causes the sulfate minerals to dissolve and reprecipitate. As a consequence, when sulfide oxidizes to form sulfate, this sulfate has a good potential to preserve an isotopic record of the oxidation process. Sulfate thus formed can precipitate as secondary minerals that can be later dissolved, remobilizing the sulfate, and ultimately precipitated as new minerals or mineral overgrowths. In contrast, minerals like calcite have the potential to preserve their oxygen isotopic compositions only until the point they are dissolved. The dissolution-reprecipitation process resets the oxygen isotopic compositions of carbonates, but does not affect the isotopic composition of the sulfate ions, unless the pH is very acidic (&lt;2), or the temperatures are high &gt;100°C (Van </w:t>
      </w:r>
      <w:proofErr w:type="spellStart"/>
      <w:r w:rsidRPr="00044662">
        <w:rPr>
          <w:rFonts w:ascii="Times New Roman" w:eastAsia="Times New Roman" w:hAnsi="Times New Roman" w:cs="Times New Roman"/>
          <w:sz w:val="24"/>
          <w:szCs w:val="24"/>
        </w:rPr>
        <w:t>Stempvoort</w:t>
      </w:r>
      <w:proofErr w:type="spellEnd"/>
      <w:r w:rsidRPr="00044662">
        <w:rPr>
          <w:rFonts w:ascii="Times New Roman" w:eastAsia="Times New Roman" w:hAnsi="Times New Roman" w:cs="Times New Roman"/>
          <w:sz w:val="24"/>
          <w:szCs w:val="24"/>
        </w:rPr>
        <w:t xml:space="preserve"> and Krouse, 1994). In this study, we advance the hypothesis that sulfate preserves information about the oxygen isotopic composition of the fluids at the time of sulfide oxidation. We also argue that the sulfate preserves information about aqueous alteration processes that occurred on the CM parent body and that this information is distinct and complementary to existing information obtained by analysis of bulk meteorite data, silicate and oxide mineral separates, matrix concentrates, and carbonates. Sulfate has the potential to be soluble and therefore more mobile in the fluid phase than other oxygen-bearing phases, and the timing of sulfate formation from sulfide is not necessarily synchronous with that of the silicates, carbonates, and other oxygen-bearing phases. This combination of characteristics makes sulfate a carrier of the signature of water, a potentially mobile species that carries the oxygen isotopic imprint of the fluids from the time at which it formed.</w:t>
      </w:r>
    </w:p>
    <w:p w:rsidR="00044662" w:rsidRPr="00044662" w:rsidRDefault="00044662" w:rsidP="00044662">
      <w:pPr>
        <w:spacing w:before="100" w:beforeAutospacing="1" w:after="100" w:afterAutospacing="1" w:line="240" w:lineRule="auto"/>
        <w:outlineLvl w:val="1"/>
        <w:rPr>
          <w:rFonts w:ascii="Times New Roman" w:eastAsia="Times New Roman" w:hAnsi="Times New Roman" w:cs="Times New Roman"/>
          <w:b/>
          <w:bCs/>
          <w:sz w:val="36"/>
          <w:szCs w:val="36"/>
        </w:rPr>
      </w:pPr>
      <w:r w:rsidRPr="00044662">
        <w:rPr>
          <w:rFonts w:ascii="Times New Roman" w:eastAsia="Times New Roman" w:hAnsi="Times New Roman" w:cs="Times New Roman"/>
          <w:b/>
          <w:bCs/>
          <w:sz w:val="36"/>
          <w:szCs w:val="36"/>
        </w:rPr>
        <w:t>Section snippets</w:t>
      </w:r>
    </w:p>
    <w:p w:rsidR="00044662" w:rsidRPr="00044662" w:rsidRDefault="00044662" w:rsidP="00044662">
      <w:pPr>
        <w:spacing w:before="100" w:beforeAutospacing="1" w:after="100" w:afterAutospacing="1" w:line="240" w:lineRule="auto"/>
        <w:outlineLvl w:val="1"/>
        <w:rPr>
          <w:rFonts w:ascii="Times New Roman" w:eastAsia="Times New Roman" w:hAnsi="Times New Roman" w:cs="Times New Roman"/>
          <w:b/>
          <w:bCs/>
          <w:sz w:val="36"/>
          <w:szCs w:val="36"/>
        </w:rPr>
      </w:pPr>
      <w:r w:rsidRPr="00044662">
        <w:rPr>
          <w:rFonts w:ascii="Times New Roman" w:eastAsia="Times New Roman" w:hAnsi="Times New Roman" w:cs="Times New Roman"/>
          <w:b/>
          <w:bCs/>
          <w:sz w:val="36"/>
          <w:szCs w:val="36"/>
        </w:rPr>
        <w:t>Methods</w:t>
      </w:r>
    </w:p>
    <w:p w:rsidR="00044662" w:rsidRPr="00044662" w:rsidRDefault="00044662" w:rsidP="00044662">
      <w:pPr>
        <w:spacing w:before="100" w:beforeAutospacing="1" w:after="100" w:afterAutospacing="1"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t xml:space="preserve">Sulfate was extracted from 1 g of crushed meteorite samples in three consecutive rinses in 50 mL polypropylene centrifuge tubes with 10 mL of Millipore water. Each rinse was sonicated and left for three days at room temperature for sulfate to dissolve. After centrifugation and filtration with a </w:t>
      </w:r>
      <w:proofErr w:type="gramStart"/>
      <w:r w:rsidRPr="00044662">
        <w:rPr>
          <w:rFonts w:ascii="Times New Roman" w:eastAsia="Times New Roman" w:hAnsi="Times New Roman" w:cs="Times New Roman"/>
          <w:sz w:val="24"/>
          <w:szCs w:val="24"/>
        </w:rPr>
        <w:t>0.22 micron</w:t>
      </w:r>
      <w:proofErr w:type="gramEnd"/>
      <w:r w:rsidRPr="00044662">
        <w:rPr>
          <w:rFonts w:ascii="Times New Roman" w:eastAsia="Times New Roman" w:hAnsi="Times New Roman" w:cs="Times New Roman"/>
          <w:sz w:val="24"/>
          <w:szCs w:val="24"/>
        </w:rPr>
        <w:t xml:space="preserve"> nylon filter, the three solutions were combined and the volume was reduced to 5 mL by heating in a beaker at 80°C overnight in a laminar flow hood. The solutions were acidified by addition of </w:t>
      </w:r>
    </w:p>
    <w:p w:rsidR="00044662" w:rsidRPr="00044662" w:rsidRDefault="00044662" w:rsidP="00044662">
      <w:pPr>
        <w:spacing w:before="100" w:beforeAutospacing="1" w:after="100" w:afterAutospacing="1" w:line="240" w:lineRule="auto"/>
        <w:outlineLvl w:val="1"/>
        <w:rPr>
          <w:rFonts w:ascii="Times New Roman" w:eastAsia="Times New Roman" w:hAnsi="Times New Roman" w:cs="Times New Roman"/>
          <w:b/>
          <w:bCs/>
          <w:sz w:val="36"/>
          <w:szCs w:val="36"/>
        </w:rPr>
      </w:pPr>
      <w:r w:rsidRPr="00044662">
        <w:rPr>
          <w:rFonts w:ascii="Times New Roman" w:eastAsia="Times New Roman" w:hAnsi="Times New Roman" w:cs="Times New Roman"/>
          <w:b/>
          <w:bCs/>
          <w:sz w:val="36"/>
          <w:szCs w:val="36"/>
        </w:rPr>
        <w:t>Results</w:t>
      </w:r>
    </w:p>
    <w:p w:rsidR="00044662" w:rsidRPr="00044662" w:rsidRDefault="00044662" w:rsidP="00044662">
      <w:pPr>
        <w:spacing w:before="100" w:beforeAutospacing="1" w:after="100" w:afterAutospacing="1"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t>We present the results of our oxygen isotope analyses of water-soluble sulfate in Table 1. The δ</w:t>
      </w:r>
      <w:r w:rsidRPr="00044662">
        <w:rPr>
          <w:rFonts w:ascii="Times New Roman" w:eastAsia="Times New Roman" w:hAnsi="Times New Roman" w:cs="Times New Roman"/>
          <w:sz w:val="24"/>
          <w:szCs w:val="24"/>
          <w:vertAlign w:val="superscript"/>
        </w:rPr>
        <w:t>18</w:t>
      </w:r>
      <w:r w:rsidRPr="00044662">
        <w:rPr>
          <w:rFonts w:ascii="Times New Roman" w:eastAsia="Times New Roman" w:hAnsi="Times New Roman" w:cs="Times New Roman"/>
          <w:sz w:val="24"/>
          <w:szCs w:val="24"/>
        </w:rPr>
        <w:t>O values of sulfate range from 4.5‰ to 9.7‰, and the Δ</w:t>
      </w:r>
      <w:r w:rsidRPr="00044662">
        <w:rPr>
          <w:rFonts w:ascii="Times New Roman" w:eastAsia="Times New Roman" w:hAnsi="Times New Roman" w:cs="Times New Roman"/>
          <w:sz w:val="24"/>
          <w:szCs w:val="24"/>
          <w:vertAlign w:val="superscript"/>
        </w:rPr>
        <w:t>17</w:t>
      </w:r>
      <w:r w:rsidRPr="00044662">
        <w:rPr>
          <w:rFonts w:ascii="Times New Roman" w:eastAsia="Times New Roman" w:hAnsi="Times New Roman" w:cs="Times New Roman"/>
          <w:sz w:val="24"/>
          <w:szCs w:val="24"/>
        </w:rPr>
        <w:t>O values range from −0.23‰ to +1.18‰. The Δ</w:t>
      </w:r>
      <w:r w:rsidRPr="00044662">
        <w:rPr>
          <w:rFonts w:ascii="Times New Roman" w:eastAsia="Times New Roman" w:hAnsi="Times New Roman" w:cs="Times New Roman"/>
          <w:sz w:val="24"/>
          <w:szCs w:val="24"/>
          <w:vertAlign w:val="superscript"/>
        </w:rPr>
        <w:t>17</w:t>
      </w:r>
      <w:r w:rsidRPr="00044662">
        <w:rPr>
          <w:rFonts w:ascii="Times New Roman" w:eastAsia="Times New Roman" w:hAnsi="Times New Roman" w:cs="Times New Roman"/>
          <w:sz w:val="24"/>
          <w:szCs w:val="24"/>
        </w:rPr>
        <w:t xml:space="preserve">O values we measure for sulfate from CM chondrites are more positive than those reported for both whole rock analyses and analyses of other minerals from these CM chondrites (−0.67‰ to −3.07‰) (Clayton and </w:t>
      </w:r>
      <w:proofErr w:type="spellStart"/>
      <w:r w:rsidRPr="00044662">
        <w:rPr>
          <w:rFonts w:ascii="Times New Roman" w:eastAsia="Times New Roman" w:hAnsi="Times New Roman" w:cs="Times New Roman"/>
          <w:sz w:val="24"/>
          <w:szCs w:val="24"/>
        </w:rPr>
        <w:t>Mayeda</w:t>
      </w:r>
      <w:proofErr w:type="spellEnd"/>
      <w:r w:rsidRPr="00044662">
        <w:rPr>
          <w:rFonts w:ascii="Times New Roman" w:eastAsia="Times New Roman" w:hAnsi="Times New Roman" w:cs="Times New Roman"/>
          <w:sz w:val="24"/>
          <w:szCs w:val="24"/>
        </w:rPr>
        <w:t xml:space="preserve"> 1984, Clayton and </w:t>
      </w:r>
      <w:proofErr w:type="spellStart"/>
      <w:r w:rsidRPr="00044662">
        <w:rPr>
          <w:rFonts w:ascii="Times New Roman" w:eastAsia="Times New Roman" w:hAnsi="Times New Roman" w:cs="Times New Roman"/>
          <w:sz w:val="24"/>
          <w:szCs w:val="24"/>
        </w:rPr>
        <w:t>Mayeda</w:t>
      </w:r>
      <w:proofErr w:type="spellEnd"/>
      <w:r w:rsidRPr="00044662">
        <w:rPr>
          <w:rFonts w:ascii="Times New Roman" w:eastAsia="Times New Roman" w:hAnsi="Times New Roman" w:cs="Times New Roman"/>
          <w:sz w:val="24"/>
          <w:szCs w:val="24"/>
        </w:rPr>
        <w:t xml:space="preserve"> 1999, Rowe et al 1994, </w:t>
      </w:r>
      <w:proofErr w:type="spellStart"/>
      <w:r w:rsidRPr="00044662">
        <w:rPr>
          <w:rFonts w:ascii="Times New Roman" w:eastAsia="Times New Roman" w:hAnsi="Times New Roman" w:cs="Times New Roman"/>
          <w:sz w:val="24"/>
          <w:szCs w:val="24"/>
        </w:rPr>
        <w:t>Benedix</w:t>
      </w:r>
      <w:proofErr w:type="spellEnd"/>
      <w:r w:rsidRPr="00044662">
        <w:rPr>
          <w:rFonts w:ascii="Times New Roman" w:eastAsia="Times New Roman" w:hAnsi="Times New Roman" w:cs="Times New Roman"/>
          <w:sz w:val="24"/>
          <w:szCs w:val="24"/>
        </w:rPr>
        <w:t xml:space="preserve"> et al 2003). The Δ</w:t>
      </w:r>
      <w:r w:rsidRPr="00044662">
        <w:rPr>
          <w:rFonts w:ascii="Times New Roman" w:eastAsia="Times New Roman" w:hAnsi="Times New Roman" w:cs="Times New Roman"/>
          <w:sz w:val="24"/>
          <w:szCs w:val="24"/>
          <w:vertAlign w:val="superscript"/>
        </w:rPr>
        <w:t>17</w:t>
      </w:r>
      <w:r w:rsidRPr="00044662">
        <w:rPr>
          <w:rFonts w:ascii="Times New Roman" w:eastAsia="Times New Roman" w:hAnsi="Times New Roman" w:cs="Times New Roman"/>
          <w:sz w:val="24"/>
          <w:szCs w:val="24"/>
        </w:rPr>
        <w:t xml:space="preserve">O values of </w:t>
      </w:r>
    </w:p>
    <w:p w:rsidR="00044662" w:rsidRPr="00044662" w:rsidRDefault="00044662" w:rsidP="00044662">
      <w:pPr>
        <w:spacing w:before="100" w:beforeAutospacing="1" w:after="100" w:afterAutospacing="1" w:line="240" w:lineRule="auto"/>
        <w:outlineLvl w:val="1"/>
        <w:rPr>
          <w:rFonts w:ascii="Times New Roman" w:eastAsia="Times New Roman" w:hAnsi="Times New Roman" w:cs="Times New Roman"/>
          <w:b/>
          <w:bCs/>
          <w:sz w:val="36"/>
          <w:szCs w:val="36"/>
        </w:rPr>
      </w:pPr>
      <w:r w:rsidRPr="00044662">
        <w:rPr>
          <w:rFonts w:ascii="Times New Roman" w:eastAsia="Times New Roman" w:hAnsi="Times New Roman" w:cs="Times New Roman"/>
          <w:b/>
          <w:bCs/>
          <w:sz w:val="36"/>
          <w:szCs w:val="36"/>
        </w:rPr>
        <w:lastRenderedPageBreak/>
        <w:t>Origin of Sulfate</w:t>
      </w:r>
    </w:p>
    <w:p w:rsidR="00044662" w:rsidRPr="00044662" w:rsidRDefault="00044662" w:rsidP="00044662">
      <w:pPr>
        <w:spacing w:before="100" w:beforeAutospacing="1" w:after="100" w:afterAutospacing="1"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t>The CM chondrites preserve evidence of ancient aqueous alteration in the form of an abundant phyllosilicate-rich matrix with sulfates (mostly gypsum), carbonates (calcite, aragonite, and dolomite), sulfides (troilite, pentlandite, pyrrhotite), minor tochilinite, and oxides (magnetite) (</w:t>
      </w:r>
      <w:proofErr w:type="spellStart"/>
      <w:r w:rsidRPr="00044662">
        <w:rPr>
          <w:rFonts w:ascii="Times New Roman" w:eastAsia="Times New Roman" w:hAnsi="Times New Roman" w:cs="Times New Roman"/>
          <w:sz w:val="24"/>
          <w:szCs w:val="24"/>
        </w:rPr>
        <w:t>McSween</w:t>
      </w:r>
      <w:proofErr w:type="spellEnd"/>
      <w:r w:rsidRPr="00044662">
        <w:rPr>
          <w:rFonts w:ascii="Times New Roman" w:eastAsia="Times New Roman" w:hAnsi="Times New Roman" w:cs="Times New Roman"/>
          <w:sz w:val="24"/>
          <w:szCs w:val="24"/>
        </w:rPr>
        <w:t>, 1977). The CI chondrites also preserve abundant evidence for aqueous alteration in the form of a phyllosilicate matrix with secondary oxides, carbonates, sulfate, and isolated grains of olivine and</w:t>
      </w:r>
    </w:p>
    <w:p w:rsidR="00044662" w:rsidRPr="00044662" w:rsidRDefault="00044662" w:rsidP="00044662">
      <w:pPr>
        <w:spacing w:before="100" w:beforeAutospacing="1" w:after="100" w:afterAutospacing="1" w:line="240" w:lineRule="auto"/>
        <w:outlineLvl w:val="1"/>
        <w:rPr>
          <w:rFonts w:ascii="Times New Roman" w:eastAsia="Times New Roman" w:hAnsi="Times New Roman" w:cs="Times New Roman"/>
          <w:b/>
          <w:bCs/>
          <w:sz w:val="36"/>
          <w:szCs w:val="36"/>
        </w:rPr>
      </w:pPr>
      <w:r w:rsidRPr="00044662">
        <w:rPr>
          <w:rFonts w:ascii="Times New Roman" w:eastAsia="Times New Roman" w:hAnsi="Times New Roman" w:cs="Times New Roman"/>
          <w:b/>
          <w:bCs/>
          <w:sz w:val="36"/>
          <w:szCs w:val="36"/>
        </w:rPr>
        <w:t>Acknowledgments</w:t>
      </w:r>
    </w:p>
    <w:p w:rsidR="00044662" w:rsidRPr="00044662" w:rsidRDefault="00044662" w:rsidP="00044662">
      <w:pPr>
        <w:spacing w:before="100" w:beforeAutospacing="1" w:after="100" w:afterAutospacing="1" w:line="240" w:lineRule="auto"/>
        <w:rPr>
          <w:rFonts w:ascii="Times New Roman" w:eastAsia="Times New Roman" w:hAnsi="Times New Roman" w:cs="Times New Roman"/>
          <w:sz w:val="24"/>
          <w:szCs w:val="24"/>
        </w:rPr>
      </w:pPr>
      <w:r w:rsidRPr="00044662">
        <w:rPr>
          <w:rFonts w:ascii="Times New Roman" w:eastAsia="Times New Roman" w:hAnsi="Times New Roman" w:cs="Times New Roman"/>
          <w:sz w:val="24"/>
          <w:szCs w:val="24"/>
        </w:rPr>
        <w:t>J.F. and S.A. acknowledge support from the NASA Cosmochemistry program (NAG511544, NAG510487, and NAG511660.</w:t>
      </w:r>
    </w:p>
    <w:p w:rsidR="00DF43D6" w:rsidRDefault="00DF43D6"/>
    <w:sectPr w:rsidR="00DF43D6">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4662"/>
    <w:rsid w:val="00044662"/>
    <w:rsid w:val="00DF43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2F4D3"/>
  <w15:chartTrackingRefBased/>
  <w15:docId w15:val="{4BDD0A1A-F1B0-4F4B-9ED4-4B6F4A2ED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33877600">
      <w:bodyDiv w:val="1"/>
      <w:marLeft w:val="0"/>
      <w:marRight w:val="0"/>
      <w:marTop w:val="0"/>
      <w:marBottom w:val="0"/>
      <w:divBdr>
        <w:top w:val="none" w:sz="0" w:space="0" w:color="auto"/>
        <w:left w:val="none" w:sz="0" w:space="0" w:color="auto"/>
        <w:bottom w:val="none" w:sz="0" w:space="0" w:color="auto"/>
        <w:right w:val="none" w:sz="0" w:space="0" w:color="auto"/>
      </w:divBdr>
      <w:divsChild>
        <w:div w:id="1649506406">
          <w:marLeft w:val="0"/>
          <w:marRight w:val="0"/>
          <w:marTop w:val="0"/>
          <w:marBottom w:val="0"/>
          <w:divBdr>
            <w:top w:val="none" w:sz="0" w:space="0" w:color="auto"/>
            <w:left w:val="none" w:sz="0" w:space="0" w:color="auto"/>
            <w:bottom w:val="none" w:sz="0" w:space="0" w:color="auto"/>
            <w:right w:val="none" w:sz="0" w:space="0" w:color="auto"/>
          </w:divBdr>
          <w:divsChild>
            <w:div w:id="2135906109">
              <w:marLeft w:val="0"/>
              <w:marRight w:val="0"/>
              <w:marTop w:val="0"/>
              <w:marBottom w:val="0"/>
              <w:divBdr>
                <w:top w:val="none" w:sz="0" w:space="0" w:color="auto"/>
                <w:left w:val="none" w:sz="0" w:space="0" w:color="auto"/>
                <w:bottom w:val="none" w:sz="0" w:space="0" w:color="auto"/>
                <w:right w:val="none" w:sz="0" w:space="0" w:color="auto"/>
              </w:divBdr>
              <w:divsChild>
                <w:div w:id="35007074">
                  <w:marLeft w:val="0"/>
                  <w:marRight w:val="0"/>
                  <w:marTop w:val="0"/>
                  <w:marBottom w:val="0"/>
                  <w:divBdr>
                    <w:top w:val="none" w:sz="0" w:space="0" w:color="auto"/>
                    <w:left w:val="none" w:sz="0" w:space="0" w:color="auto"/>
                    <w:bottom w:val="none" w:sz="0" w:space="0" w:color="auto"/>
                    <w:right w:val="none" w:sz="0" w:space="0" w:color="auto"/>
                  </w:divBdr>
                  <w:divsChild>
                    <w:div w:id="21601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742055">
          <w:marLeft w:val="0"/>
          <w:marRight w:val="0"/>
          <w:marTop w:val="0"/>
          <w:marBottom w:val="0"/>
          <w:divBdr>
            <w:top w:val="none" w:sz="0" w:space="0" w:color="auto"/>
            <w:left w:val="none" w:sz="0" w:space="0" w:color="auto"/>
            <w:bottom w:val="none" w:sz="0" w:space="0" w:color="auto"/>
            <w:right w:val="none" w:sz="0" w:space="0" w:color="auto"/>
          </w:divBdr>
          <w:divsChild>
            <w:div w:id="1100444077">
              <w:marLeft w:val="0"/>
              <w:marRight w:val="0"/>
              <w:marTop w:val="0"/>
              <w:marBottom w:val="0"/>
              <w:divBdr>
                <w:top w:val="none" w:sz="0" w:space="0" w:color="auto"/>
                <w:left w:val="none" w:sz="0" w:space="0" w:color="auto"/>
                <w:bottom w:val="none" w:sz="0" w:space="0" w:color="auto"/>
                <w:right w:val="none" w:sz="0" w:space="0" w:color="auto"/>
              </w:divBdr>
              <w:divsChild>
                <w:div w:id="653029485">
                  <w:marLeft w:val="0"/>
                  <w:marRight w:val="0"/>
                  <w:marTop w:val="0"/>
                  <w:marBottom w:val="0"/>
                  <w:divBdr>
                    <w:top w:val="none" w:sz="0" w:space="0" w:color="auto"/>
                    <w:left w:val="none" w:sz="0" w:space="0" w:color="auto"/>
                    <w:bottom w:val="none" w:sz="0" w:space="0" w:color="auto"/>
                    <w:right w:val="none" w:sz="0" w:space="0" w:color="auto"/>
                  </w:divBdr>
                  <w:divsChild>
                    <w:div w:id="207331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804592">
          <w:marLeft w:val="0"/>
          <w:marRight w:val="0"/>
          <w:marTop w:val="0"/>
          <w:marBottom w:val="0"/>
          <w:divBdr>
            <w:top w:val="none" w:sz="0" w:space="0" w:color="auto"/>
            <w:left w:val="none" w:sz="0" w:space="0" w:color="auto"/>
            <w:bottom w:val="none" w:sz="0" w:space="0" w:color="auto"/>
            <w:right w:val="none" w:sz="0" w:space="0" w:color="auto"/>
          </w:divBdr>
          <w:divsChild>
            <w:div w:id="2044474678">
              <w:marLeft w:val="0"/>
              <w:marRight w:val="0"/>
              <w:marTop w:val="0"/>
              <w:marBottom w:val="0"/>
              <w:divBdr>
                <w:top w:val="none" w:sz="0" w:space="0" w:color="auto"/>
                <w:left w:val="none" w:sz="0" w:space="0" w:color="auto"/>
                <w:bottom w:val="none" w:sz="0" w:space="0" w:color="auto"/>
                <w:right w:val="none" w:sz="0" w:space="0" w:color="auto"/>
              </w:divBdr>
            </w:div>
          </w:divsChild>
        </w:div>
        <w:div w:id="1265110873">
          <w:marLeft w:val="0"/>
          <w:marRight w:val="0"/>
          <w:marTop w:val="0"/>
          <w:marBottom w:val="0"/>
          <w:divBdr>
            <w:top w:val="none" w:sz="0" w:space="0" w:color="auto"/>
            <w:left w:val="none" w:sz="0" w:space="0" w:color="auto"/>
            <w:bottom w:val="none" w:sz="0" w:space="0" w:color="auto"/>
            <w:right w:val="none" w:sz="0" w:space="0" w:color="auto"/>
          </w:divBdr>
          <w:divsChild>
            <w:div w:id="51534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terrestrial-origin" TargetMode="External"/><Relationship Id="rId5" Type="http://schemas.openxmlformats.org/officeDocument/2006/relationships/hyperlink" Target="https://www.sciencedirect.com/topics/earth-and-planetary-sciences/chondrite" TargetMode="External"/><Relationship Id="rId4" Type="http://schemas.openxmlformats.org/officeDocument/2006/relationships/hyperlink" Target="https://doi.org/10.1016/j.gca.2005.01.0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1156</Words>
  <Characters>6592</Characters>
  <Application>Microsoft Office Word</Application>
  <DocSecurity>0</DocSecurity>
  <Lines>54</Lines>
  <Paragraphs>15</Paragraphs>
  <ScaleCrop>false</ScaleCrop>
  <Company/>
  <LinksUpToDate>false</LinksUpToDate>
  <CharactersWithSpaces>7733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2023-11-18T04:08:00Z</dcterms:created>
  <dcterms:modified xsi:type="dcterms:W3CDTF">2023-11-18T04:08:00Z</dcterms:modified>
</cp:coreProperties>
</file>