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95884" w:rsidRPr="00A95884" w:rsidRDefault="00A95884" w:rsidP="00A95884">
      <w:pPr>
        <w:spacing w:before="100" w:beforeAutospacing="1" w:after="100" w:afterAutospacing="1" w:line="240" w:lineRule="auto"/>
        <w:outlineLvl w:val="0"/>
        <w:rPr>
          <w:rFonts w:ascii="Times New Roman" w:eastAsia="Times New Roman" w:hAnsi="Times New Roman" w:cs="Times New Roman"/>
          <w:b/>
          <w:bCs/>
          <w:kern w:val="36"/>
          <w:sz w:val="48"/>
          <w:szCs w:val="48"/>
        </w:rPr>
      </w:pPr>
      <w:proofErr w:type="spellStart"/>
      <w:r w:rsidRPr="00A95884">
        <w:rPr>
          <w:rFonts w:ascii="Times New Roman" w:eastAsia="Times New Roman" w:hAnsi="Times New Roman" w:cs="Times New Roman"/>
          <w:b/>
          <w:bCs/>
          <w:kern w:val="36"/>
          <w:sz w:val="48"/>
          <w:szCs w:val="48"/>
        </w:rPr>
        <w:t>Intercolony</w:t>
      </w:r>
      <w:proofErr w:type="spellEnd"/>
      <w:r w:rsidRPr="00A95884">
        <w:rPr>
          <w:rFonts w:ascii="Times New Roman" w:eastAsia="Times New Roman" w:hAnsi="Times New Roman" w:cs="Times New Roman"/>
          <w:b/>
          <w:bCs/>
          <w:kern w:val="36"/>
          <w:sz w:val="48"/>
          <w:szCs w:val="48"/>
        </w:rPr>
        <w:t xml:space="preserve"> variability of skeletal oxygen and carbon isotope signatures of cultured </w:t>
      </w:r>
      <w:r w:rsidRPr="00A95884">
        <w:rPr>
          <w:rFonts w:ascii="Times New Roman" w:eastAsia="Times New Roman" w:hAnsi="Times New Roman" w:cs="Times New Roman"/>
          <w:b/>
          <w:bCs/>
          <w:i/>
          <w:iCs/>
          <w:kern w:val="36"/>
          <w:sz w:val="48"/>
          <w:szCs w:val="48"/>
        </w:rPr>
        <w:t>Porites</w:t>
      </w:r>
      <w:r w:rsidRPr="00A95884">
        <w:rPr>
          <w:rFonts w:ascii="Times New Roman" w:eastAsia="Times New Roman" w:hAnsi="Times New Roman" w:cs="Times New Roman"/>
          <w:b/>
          <w:bCs/>
          <w:kern w:val="36"/>
          <w:sz w:val="48"/>
          <w:szCs w:val="48"/>
        </w:rPr>
        <w:t xml:space="preserve"> corals: Temperature-controlled experiments</w:t>
      </w:r>
    </w:p>
    <w:p w:rsidR="00A95884" w:rsidRPr="00A95884" w:rsidRDefault="00A95884" w:rsidP="00A95884">
      <w:pPr>
        <w:spacing w:after="0"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Author links open overlay panel</w:t>
      </w:r>
    </w:p>
    <w:p w:rsidR="00A95884" w:rsidRPr="00A95884" w:rsidRDefault="00A95884" w:rsidP="00A95884">
      <w:pPr>
        <w:spacing w:after="0"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 , </w:t>
      </w:r>
    </w:p>
    <w:p w:rsidR="00A95884" w:rsidRPr="00A95884" w:rsidRDefault="00A95884" w:rsidP="00A95884">
      <w:pPr>
        <w:spacing w:after="0"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 </w:t>
      </w:r>
      <w:bookmarkStart w:id="0" w:name="baep-author-id9-profile"/>
      <w:r w:rsidRPr="00A95884">
        <w:rPr>
          <w:rFonts w:ascii="Times New Roman" w:eastAsia="Times New Roman" w:hAnsi="Times New Roman" w:cs="Times New Roman"/>
          <w:sz w:val="24"/>
          <w:szCs w:val="24"/>
        </w:rPr>
        <w:fldChar w:fldCharType="begin"/>
      </w:r>
      <w:r w:rsidRPr="00A95884">
        <w:rPr>
          <w:rFonts w:ascii="Times New Roman" w:eastAsia="Times New Roman" w:hAnsi="Times New Roman" w:cs="Times New Roman"/>
          <w:sz w:val="24"/>
          <w:szCs w:val="24"/>
        </w:rPr>
        <w:instrText xml:space="preserve"> HYPERLINK "https://www.sciencedirect.com/author/26643484600/hodaka-kawahata" </w:instrText>
      </w:r>
      <w:r w:rsidRPr="00A95884">
        <w:rPr>
          <w:rFonts w:ascii="Times New Roman" w:eastAsia="Times New Roman" w:hAnsi="Times New Roman" w:cs="Times New Roman"/>
          <w:sz w:val="24"/>
          <w:szCs w:val="24"/>
        </w:rPr>
        <w:fldChar w:fldCharType="separate"/>
      </w:r>
      <w:proofErr w:type="spellStart"/>
      <w:r w:rsidRPr="00A95884">
        <w:rPr>
          <w:rFonts w:ascii="Times New Roman" w:eastAsia="Times New Roman" w:hAnsi="Times New Roman" w:cs="Times New Roman"/>
          <w:color w:val="0000FF"/>
          <w:sz w:val="24"/>
          <w:szCs w:val="24"/>
          <w:u w:val="single"/>
        </w:rPr>
        <w:t>Hodaka</w:t>
      </w:r>
      <w:proofErr w:type="spellEnd"/>
      <w:r w:rsidRPr="00A95884">
        <w:rPr>
          <w:rFonts w:ascii="Times New Roman" w:eastAsia="Times New Roman" w:hAnsi="Times New Roman" w:cs="Times New Roman"/>
          <w:color w:val="0000FF"/>
          <w:sz w:val="24"/>
          <w:szCs w:val="24"/>
          <w:u w:val="single"/>
        </w:rPr>
        <w:t xml:space="preserve"> </w:t>
      </w:r>
      <w:proofErr w:type="spellStart"/>
      <w:r w:rsidRPr="00A95884">
        <w:rPr>
          <w:rFonts w:ascii="Times New Roman" w:eastAsia="Times New Roman" w:hAnsi="Times New Roman" w:cs="Times New Roman"/>
          <w:color w:val="0000FF"/>
          <w:sz w:val="24"/>
          <w:szCs w:val="24"/>
          <w:u w:val="single"/>
        </w:rPr>
        <w:t>Kawahata</w:t>
      </w:r>
      <w:proofErr w:type="spellEnd"/>
      <w:r w:rsidRPr="00A95884">
        <w:rPr>
          <w:rFonts w:ascii="Times New Roman" w:eastAsia="Times New Roman" w:hAnsi="Times New Roman" w:cs="Times New Roman"/>
          <w:color w:val="0000FF"/>
          <w:sz w:val="24"/>
          <w:szCs w:val="24"/>
          <w:u w:val="single"/>
        </w:rPr>
        <w:t xml:space="preserve"> </w:t>
      </w:r>
      <w:r w:rsidRPr="00A95884">
        <w:rPr>
          <w:rFonts w:ascii="Times New Roman" w:eastAsia="Times New Roman" w:hAnsi="Times New Roman" w:cs="Times New Roman"/>
          <w:color w:val="0000FF"/>
          <w:sz w:val="24"/>
          <w:szCs w:val="24"/>
          <w:u w:val="single"/>
          <w:vertAlign w:val="superscript"/>
        </w:rPr>
        <w:t>1</w:t>
      </w:r>
      <w:r w:rsidRPr="00A95884">
        <w:rPr>
          <w:rFonts w:ascii="Times New Roman" w:eastAsia="Times New Roman" w:hAnsi="Times New Roman" w:cs="Times New Roman"/>
          <w:color w:val="0000FF"/>
          <w:sz w:val="24"/>
          <w:szCs w:val="24"/>
          <w:u w:val="single"/>
        </w:rPr>
        <w:t xml:space="preserve"> </w:t>
      </w:r>
      <w:r w:rsidRPr="00A95884">
        <w:rPr>
          <w:rFonts w:ascii="Times New Roman" w:eastAsia="Times New Roman" w:hAnsi="Times New Roman" w:cs="Times New Roman"/>
          <w:color w:val="0000FF"/>
          <w:sz w:val="24"/>
          <w:szCs w:val="24"/>
          <w:u w:val="single"/>
          <w:vertAlign w:val="superscript"/>
        </w:rPr>
        <w:t>4</w:t>
      </w:r>
      <w:r w:rsidRPr="00A95884">
        <w:rPr>
          <w:rFonts w:ascii="Times New Roman" w:eastAsia="Times New Roman" w:hAnsi="Times New Roman" w:cs="Times New Roman"/>
          <w:sz w:val="24"/>
          <w:szCs w:val="24"/>
        </w:rPr>
        <w:fldChar w:fldCharType="end"/>
      </w:r>
      <w:bookmarkEnd w:id="0"/>
    </w:p>
    <w:p w:rsidR="00A95884" w:rsidRPr="00A95884" w:rsidRDefault="00A95884" w:rsidP="00A9588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A95884">
          <w:rPr>
            <w:rFonts w:ascii="Times New Roman" w:eastAsia="Times New Roman" w:hAnsi="Times New Roman" w:cs="Times New Roman"/>
            <w:color w:val="0000FF"/>
            <w:sz w:val="24"/>
            <w:szCs w:val="24"/>
            <w:u w:val="single"/>
          </w:rPr>
          <w:t>https://doi.org/10.1016/j.gca.2005.05.018</w:t>
        </w:r>
      </w:hyperlink>
      <w:bookmarkStart w:id="1" w:name="_GoBack"/>
      <w:bookmarkEnd w:id="1"/>
      <w:r w:rsidRPr="00A95884">
        <w:rPr>
          <w:rFonts w:ascii="Times New Roman" w:eastAsia="Times New Roman" w:hAnsi="Times New Roman" w:cs="Times New Roman"/>
          <w:sz w:val="24"/>
          <w:szCs w:val="24"/>
        </w:rPr>
        <w:t xml:space="preserve"> </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Abstract</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The skeletal </w:t>
      </w:r>
      <w:hyperlink r:id="rId5" w:tooltip="Learn more about oxygen isotope ratio from ScienceDirect's AI-generated Topic Pages" w:history="1">
        <w:r w:rsidRPr="00A95884">
          <w:rPr>
            <w:rFonts w:ascii="Times New Roman" w:eastAsia="Times New Roman" w:hAnsi="Times New Roman" w:cs="Times New Roman"/>
            <w:color w:val="0000FF"/>
            <w:sz w:val="24"/>
            <w:szCs w:val="24"/>
            <w:u w:val="single"/>
          </w:rPr>
          <w:t>oxygen isotope ratio</w:t>
        </w:r>
      </w:hyperlink>
      <w:r w:rsidRPr="00A95884">
        <w:rPr>
          <w:rFonts w:ascii="Times New Roman" w:eastAsia="Times New Roman" w:hAnsi="Times New Roman" w:cs="Times New Roman"/>
          <w:sz w:val="24"/>
          <w:szCs w:val="24"/>
        </w:rPr>
        <w:t xml:space="preserve"> of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corals is the most frequently used proxy of past seawater temperature and composition for tropical and subtropical oceans. However, field calibration of the proxy signals is often difficult owing to the dual dependence of skeletal oxygen isotope ratio on temperature and the oxygen isotope composition of water. We conducted tank experiments in which we grew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spp. colonies for 142 d in </w:t>
      </w:r>
      <w:proofErr w:type="spellStart"/>
      <w:r w:rsidRPr="00A95884">
        <w:rPr>
          <w:rFonts w:ascii="Times New Roman" w:eastAsia="Times New Roman" w:hAnsi="Times New Roman" w:cs="Times New Roman"/>
          <w:sz w:val="24"/>
          <w:szCs w:val="24"/>
        </w:rPr>
        <w:t>thermostated</w:t>
      </w:r>
      <w:proofErr w:type="spellEnd"/>
      <w:r w:rsidRPr="00A95884">
        <w:rPr>
          <w:rFonts w:ascii="Times New Roman" w:eastAsia="Times New Roman" w:hAnsi="Times New Roman" w:cs="Times New Roman"/>
          <w:sz w:val="24"/>
          <w:szCs w:val="24"/>
        </w:rPr>
        <w:t xml:space="preserve"> seawater at five temperature settings between 21°C and 29°C under moderate </w:t>
      </w:r>
      <w:hyperlink r:id="rId6" w:tooltip="Learn more about light intensity from ScienceDirect's AI-generated Topic Pages" w:history="1">
        <w:r w:rsidRPr="00A95884">
          <w:rPr>
            <w:rFonts w:ascii="Times New Roman" w:eastAsia="Times New Roman" w:hAnsi="Times New Roman" w:cs="Times New Roman"/>
            <w:color w:val="0000FF"/>
            <w:sz w:val="24"/>
            <w:szCs w:val="24"/>
            <w:u w:val="single"/>
          </w:rPr>
          <w:t>light intensity</w:t>
        </w:r>
      </w:hyperlink>
      <w:r w:rsidRPr="00A95884">
        <w:rPr>
          <w:rFonts w:ascii="Times New Roman" w:eastAsia="Times New Roman" w:hAnsi="Times New Roman" w:cs="Times New Roman"/>
          <w:sz w:val="24"/>
          <w:szCs w:val="24"/>
        </w:rPr>
        <w:t xml:space="preserve"> of 250 </w:t>
      </w:r>
      <w:proofErr w:type="spellStart"/>
      <w:r w:rsidRPr="00A95884">
        <w:rPr>
          <w:rFonts w:ascii="Times New Roman" w:eastAsia="Times New Roman" w:hAnsi="Times New Roman" w:cs="Times New Roman"/>
          <w:sz w:val="24"/>
          <w:szCs w:val="24"/>
        </w:rPr>
        <w:t>μmol</w:t>
      </w:r>
      <w:proofErr w:type="spellEnd"/>
      <w:r w:rsidRPr="00A95884">
        <w:rPr>
          <w:rFonts w:ascii="Times New Roman" w:eastAsia="Times New Roman" w:hAnsi="Times New Roman" w:cs="Times New Roman"/>
          <w:sz w:val="24"/>
          <w:szCs w:val="24"/>
        </w:rPr>
        <w:t xml:space="preserve"> m</w:t>
      </w:r>
      <w:r w:rsidRPr="00A95884">
        <w:rPr>
          <w:rFonts w:ascii="Times New Roman" w:eastAsia="Times New Roman" w:hAnsi="Times New Roman" w:cs="Times New Roman"/>
          <w:sz w:val="24"/>
          <w:szCs w:val="24"/>
          <w:vertAlign w:val="superscript"/>
        </w:rPr>
        <w:t>−2</w:t>
      </w:r>
      <w:r w:rsidRPr="00A95884">
        <w:rPr>
          <w:rFonts w:ascii="Times New Roman" w:eastAsia="Times New Roman" w:hAnsi="Times New Roman" w:cs="Times New Roman"/>
          <w:sz w:val="24"/>
          <w:szCs w:val="24"/>
        </w:rPr>
        <w:t xml:space="preserve"> s</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xml:space="preserve"> with a 12:12 </w:t>
      </w:r>
      <w:proofErr w:type="spellStart"/>
      <w:r w:rsidRPr="00A95884">
        <w:rPr>
          <w:rFonts w:ascii="Times New Roman" w:eastAsia="Times New Roman" w:hAnsi="Times New Roman" w:cs="Times New Roman"/>
          <w:sz w:val="24"/>
          <w:szCs w:val="24"/>
        </w:rPr>
        <w:t>light:dark</w:t>
      </w:r>
      <w:proofErr w:type="spellEnd"/>
      <w:r w:rsidRPr="00A95884">
        <w:rPr>
          <w:rFonts w:ascii="Times New Roman" w:eastAsia="Times New Roman" w:hAnsi="Times New Roman" w:cs="Times New Roman"/>
          <w:sz w:val="24"/>
          <w:szCs w:val="24"/>
        </w:rPr>
        <w:t xml:space="preserve"> </w:t>
      </w:r>
      <w:hyperlink r:id="rId7" w:tooltip="Learn more about photoperiod from ScienceDirect's AI-generated Topic Pages" w:history="1">
        <w:r w:rsidRPr="00A95884">
          <w:rPr>
            <w:rFonts w:ascii="Times New Roman" w:eastAsia="Times New Roman" w:hAnsi="Times New Roman" w:cs="Times New Roman"/>
            <w:color w:val="0000FF"/>
            <w:sz w:val="24"/>
            <w:szCs w:val="24"/>
            <w:u w:val="single"/>
          </w:rPr>
          <w:t>photoperiod</w:t>
        </w:r>
      </w:hyperlink>
      <w:r w:rsidRPr="00A95884">
        <w:rPr>
          <w:rFonts w:ascii="Times New Roman" w:eastAsia="Times New Roman" w:hAnsi="Times New Roman" w:cs="Times New Roman"/>
          <w:sz w:val="24"/>
          <w:szCs w:val="24"/>
        </w:rPr>
        <w:t xml:space="preserve">. A skeletal isotope </w:t>
      </w:r>
      <w:proofErr w:type="spellStart"/>
      <w:r w:rsidRPr="00A95884">
        <w:rPr>
          <w:rFonts w:ascii="Times New Roman" w:eastAsia="Times New Roman" w:hAnsi="Times New Roman" w:cs="Times New Roman"/>
          <w:sz w:val="24"/>
          <w:szCs w:val="24"/>
        </w:rPr>
        <w:t>microprofiling</w:t>
      </w:r>
      <w:proofErr w:type="spellEnd"/>
      <w:r w:rsidRPr="00A95884">
        <w:rPr>
          <w:rFonts w:ascii="Times New Roman" w:eastAsia="Times New Roman" w:hAnsi="Times New Roman" w:cs="Times New Roman"/>
          <w:sz w:val="24"/>
          <w:szCs w:val="24"/>
        </w:rPr>
        <w:t xml:space="preserve"> technique applied along the major growth axis of each colony revealed that the oxygen isotope ratios of newly deposited skeleton in most colonies remained almost constant during tank incubation, thus providing an ideal situation for precise calibration of oxygen isotope ratio proxy signals. However, the oxygen isotope ratios displayed an unusually large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variability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1‰) at each temperature setting although the mean slope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0.15‰ °C</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xml:space="preserve">) obtained for the temperature–skeletal oxygen isotope ratio relationship was close to previous results. The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variations in the oxygen isotope ratios were apparently caused by kinetic </w:t>
      </w:r>
      <w:hyperlink r:id="rId8" w:tooltip="Learn more about isotope effects from ScienceDirect's AI-generated Topic Pages" w:history="1">
        <w:r w:rsidRPr="00A95884">
          <w:rPr>
            <w:rFonts w:ascii="Times New Roman" w:eastAsia="Times New Roman" w:hAnsi="Times New Roman" w:cs="Times New Roman"/>
            <w:color w:val="0000FF"/>
            <w:sz w:val="24"/>
            <w:szCs w:val="24"/>
            <w:u w:val="single"/>
          </w:rPr>
          <w:t>isotope effects</w:t>
        </w:r>
      </w:hyperlink>
      <w:r w:rsidRPr="00A95884">
        <w:rPr>
          <w:rFonts w:ascii="Times New Roman" w:eastAsia="Times New Roman" w:hAnsi="Times New Roman" w:cs="Times New Roman"/>
          <w:sz w:val="24"/>
          <w:szCs w:val="24"/>
        </w:rPr>
        <w:t xml:space="preserve"> related to variations in the skeletal growth rate rather than by species-specific variability or genetic differences within species. No correlation was found between skeletal </w:t>
      </w:r>
      <w:hyperlink r:id="rId9" w:tooltip="Learn more about carbon isotope ratios from ScienceDirect's AI-generated Topic Pages" w:history="1">
        <w:r w:rsidRPr="00A95884">
          <w:rPr>
            <w:rFonts w:ascii="Times New Roman" w:eastAsia="Times New Roman" w:hAnsi="Times New Roman" w:cs="Times New Roman"/>
            <w:color w:val="0000FF"/>
            <w:sz w:val="24"/>
            <w:szCs w:val="24"/>
            <w:u w:val="single"/>
          </w:rPr>
          <w:t>carbon isotope ratios</w:t>
        </w:r>
      </w:hyperlink>
      <w:r w:rsidRPr="00A95884">
        <w:rPr>
          <w:rFonts w:ascii="Times New Roman" w:eastAsia="Times New Roman" w:hAnsi="Times New Roman" w:cs="Times New Roman"/>
          <w:sz w:val="24"/>
          <w:szCs w:val="24"/>
        </w:rPr>
        <w:t xml:space="preserve"> and temperature. The carbon isotope ratios showed significantly inverse correlation with linear growth rates, suggesting a kinetic isotope control at low growth rates. Observed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variability in skeletal carbon isotope ratios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5‰) can be partly attributed to growth-rate-related kinetic isotope effects.</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Introduction</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proofErr w:type="spellStart"/>
      <w:r w:rsidRPr="00A95884">
        <w:rPr>
          <w:rFonts w:ascii="Times New Roman" w:eastAsia="Times New Roman" w:hAnsi="Times New Roman" w:cs="Times New Roman"/>
          <w:sz w:val="24"/>
          <w:szCs w:val="24"/>
        </w:rPr>
        <w:t>Scleractinian</w:t>
      </w:r>
      <w:proofErr w:type="spellEnd"/>
      <w:r w:rsidRPr="00A95884">
        <w:rPr>
          <w:rFonts w:ascii="Times New Roman" w:eastAsia="Times New Roman" w:hAnsi="Times New Roman" w:cs="Times New Roman"/>
          <w:sz w:val="24"/>
          <w:szCs w:val="24"/>
        </w:rPr>
        <w:t xml:space="preserve"> corals provide high-resolution (monthly and near-weekly) climate and environmental records for the world’s shallow-water tropical and subtropical ocean regions (e.g., </w:t>
      </w:r>
      <w:proofErr w:type="spellStart"/>
      <w:r w:rsidRPr="00A95884">
        <w:rPr>
          <w:rFonts w:ascii="Times New Roman" w:eastAsia="Times New Roman" w:hAnsi="Times New Roman" w:cs="Times New Roman"/>
          <w:sz w:val="24"/>
          <w:szCs w:val="24"/>
        </w:rPr>
        <w:t>Gagan</w:t>
      </w:r>
      <w:proofErr w:type="spellEnd"/>
      <w:r w:rsidRPr="00A95884">
        <w:rPr>
          <w:rFonts w:ascii="Times New Roman" w:eastAsia="Times New Roman" w:hAnsi="Times New Roman" w:cs="Times New Roman"/>
          <w:sz w:val="24"/>
          <w:szCs w:val="24"/>
        </w:rPr>
        <w:t xml:space="preserve"> et al 2000, </w:t>
      </w:r>
      <w:proofErr w:type="spellStart"/>
      <w:r w:rsidRPr="00A95884">
        <w:rPr>
          <w:rFonts w:ascii="Times New Roman" w:eastAsia="Times New Roman" w:hAnsi="Times New Roman" w:cs="Times New Roman"/>
          <w:sz w:val="24"/>
          <w:szCs w:val="24"/>
        </w:rPr>
        <w:t>Schrag</w:t>
      </w:r>
      <w:proofErr w:type="spellEnd"/>
      <w:r w:rsidRPr="00A95884">
        <w:rPr>
          <w:rFonts w:ascii="Times New Roman" w:eastAsia="Times New Roman" w:hAnsi="Times New Roman" w:cs="Times New Roman"/>
          <w:sz w:val="24"/>
          <w:szCs w:val="24"/>
        </w:rPr>
        <w:t xml:space="preserve"> and </w:t>
      </w:r>
      <w:proofErr w:type="spellStart"/>
      <w:r w:rsidRPr="00A95884">
        <w:rPr>
          <w:rFonts w:ascii="Times New Roman" w:eastAsia="Times New Roman" w:hAnsi="Times New Roman" w:cs="Times New Roman"/>
          <w:sz w:val="24"/>
          <w:szCs w:val="24"/>
        </w:rPr>
        <w:t>Linsleyt</w:t>
      </w:r>
      <w:proofErr w:type="spellEnd"/>
      <w:r w:rsidRPr="00A95884">
        <w:rPr>
          <w:rFonts w:ascii="Times New Roman" w:eastAsia="Times New Roman" w:hAnsi="Times New Roman" w:cs="Times New Roman"/>
          <w:sz w:val="24"/>
          <w:szCs w:val="24"/>
        </w:rPr>
        <w:t xml:space="preserve"> 2002, </w:t>
      </w:r>
      <w:proofErr w:type="spellStart"/>
      <w:r w:rsidRPr="00A95884">
        <w:rPr>
          <w:rFonts w:ascii="Times New Roman" w:eastAsia="Times New Roman" w:hAnsi="Times New Roman" w:cs="Times New Roman"/>
          <w:sz w:val="24"/>
          <w:szCs w:val="24"/>
        </w:rPr>
        <w:t>Felis</w:t>
      </w:r>
      <w:proofErr w:type="spellEnd"/>
      <w:r w:rsidRPr="00A95884">
        <w:rPr>
          <w:rFonts w:ascii="Times New Roman" w:eastAsia="Times New Roman" w:hAnsi="Times New Roman" w:cs="Times New Roman"/>
          <w:sz w:val="24"/>
          <w:szCs w:val="24"/>
        </w:rPr>
        <w:t xml:space="preserve"> and </w:t>
      </w:r>
      <w:proofErr w:type="spellStart"/>
      <w:r w:rsidRPr="00A95884">
        <w:rPr>
          <w:rFonts w:ascii="Times New Roman" w:eastAsia="Times New Roman" w:hAnsi="Times New Roman" w:cs="Times New Roman"/>
          <w:sz w:val="24"/>
          <w:szCs w:val="24"/>
        </w:rPr>
        <w:t>Pätzold</w:t>
      </w:r>
      <w:proofErr w:type="spellEnd"/>
      <w:r w:rsidRPr="00A95884">
        <w:rPr>
          <w:rFonts w:ascii="Times New Roman" w:eastAsia="Times New Roman" w:hAnsi="Times New Roman" w:cs="Times New Roman"/>
          <w:sz w:val="24"/>
          <w:szCs w:val="24"/>
        </w:rPr>
        <w:t xml:space="preserve"> 2004, Lough 2004). The coral oxygen isotope ratio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reflects to changes in the sea surface temperature (SST) and the oxygen isotope ratio of the ambient seawater (which is related to salinity), whereas the skeletal Sr/Ca ratio in corals is controlled primarily by changes in SST (McCulloch et al., 1994). By conducting coupled measurements of coral skeletal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and Sr/Ca ratios, changes in both the SST and the seawater oxygen isotope ratio over a period of several centuries can be determined (e.g., Hendy et al., 2002).</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The temperature dependence of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in coral aragonite has been calibrated using natural samples (e.g., Weber and Woodhead 1972, Dunbar and Wellington 1981). Differences between the slopes of the temperature–skeletal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 xml:space="preserve">O relationship for corals and experimental values determined for </w:t>
      </w:r>
      <w:r w:rsidRPr="00A95884">
        <w:rPr>
          <w:rFonts w:ascii="Times New Roman" w:eastAsia="Times New Roman" w:hAnsi="Times New Roman" w:cs="Times New Roman"/>
          <w:sz w:val="24"/>
          <w:szCs w:val="24"/>
        </w:rPr>
        <w:lastRenderedPageBreak/>
        <w:t>synthetic calcite (Epstein et al., 1951) and foraminiferal tests (O’Neil et al., 1969) were first attributed to sampling artifacts which may have decreased the amplitude of the annual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cycle (e.g., Weber and Woodhead, 1972). Because coral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values are controlled by the interplay of temperature and the isotopic composition of seawater (related to salinity), the calibration problems cannot be easily solved in the field, where temperature and salinity as well as coral skeletal growth vary with time.</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The relationship between coral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and seawater temperature has also been examined from the viewpoint of reproducibility. The observed offset of the coral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O–temperature relationship from isotope equilibrium, which is known as the “vital effect,” is not constant within an individual coral or among colonies of the same species. Choosing the major growth axis as an isotopic transect has become the standard method for acquiring climate proxy signals from coral skeletons because lateral isotopic variation is present along the surface, caused by variation in the skeletal growth rate (</w:t>
      </w:r>
      <w:proofErr w:type="spellStart"/>
      <w:r w:rsidRPr="00A95884">
        <w:rPr>
          <w:rFonts w:ascii="Times New Roman" w:eastAsia="Times New Roman" w:hAnsi="Times New Roman" w:cs="Times New Roman"/>
          <w:sz w:val="24"/>
          <w:szCs w:val="24"/>
        </w:rPr>
        <w:t>McConnaughey</w:t>
      </w:r>
      <w:proofErr w:type="spellEnd"/>
      <w:r w:rsidRPr="00A95884">
        <w:rPr>
          <w:rFonts w:ascii="Times New Roman" w:eastAsia="Times New Roman" w:hAnsi="Times New Roman" w:cs="Times New Roman"/>
          <w:sz w:val="24"/>
          <w:szCs w:val="24"/>
        </w:rPr>
        <w:t xml:space="preserve">, 1989). Even following this standard technique, </w:t>
      </w:r>
      <w:proofErr w:type="spellStart"/>
      <w:r w:rsidRPr="00A95884">
        <w:rPr>
          <w:rFonts w:ascii="Times New Roman" w:eastAsia="Times New Roman" w:hAnsi="Times New Roman" w:cs="Times New Roman"/>
          <w:sz w:val="24"/>
          <w:szCs w:val="24"/>
        </w:rPr>
        <w:t>Linsely</w:t>
      </w:r>
      <w:proofErr w:type="spellEnd"/>
      <w:r w:rsidRPr="00A95884">
        <w:rPr>
          <w:rFonts w:ascii="Times New Roman" w:eastAsia="Times New Roman" w:hAnsi="Times New Roman" w:cs="Times New Roman"/>
          <w:sz w:val="24"/>
          <w:szCs w:val="24"/>
        </w:rPr>
        <w:t xml:space="preserve"> et al. (1999) found, based on the examination of six </w:t>
      </w:r>
      <w:r w:rsidRPr="00A95884">
        <w:rPr>
          <w:rFonts w:ascii="Times New Roman" w:eastAsia="Times New Roman" w:hAnsi="Times New Roman" w:cs="Times New Roman"/>
          <w:i/>
          <w:iCs/>
          <w:sz w:val="24"/>
          <w:szCs w:val="24"/>
        </w:rPr>
        <w:t xml:space="preserve">Porites </w:t>
      </w:r>
      <w:proofErr w:type="spellStart"/>
      <w:r w:rsidRPr="00A95884">
        <w:rPr>
          <w:rFonts w:ascii="Times New Roman" w:eastAsia="Times New Roman" w:hAnsi="Times New Roman" w:cs="Times New Roman"/>
          <w:i/>
          <w:iCs/>
          <w:sz w:val="24"/>
          <w:szCs w:val="24"/>
        </w:rPr>
        <w:t>lobata</w:t>
      </w:r>
      <w:proofErr w:type="spellEnd"/>
      <w:r w:rsidRPr="00A95884">
        <w:rPr>
          <w:rFonts w:ascii="Times New Roman" w:eastAsia="Times New Roman" w:hAnsi="Times New Roman" w:cs="Times New Roman"/>
          <w:sz w:val="24"/>
          <w:szCs w:val="24"/>
        </w:rPr>
        <w:t xml:space="preserve"> colonies at </w:t>
      </w:r>
      <w:proofErr w:type="spellStart"/>
      <w:r w:rsidRPr="00A95884">
        <w:rPr>
          <w:rFonts w:ascii="Times New Roman" w:eastAsia="Times New Roman" w:hAnsi="Times New Roman" w:cs="Times New Roman"/>
          <w:sz w:val="24"/>
          <w:szCs w:val="24"/>
        </w:rPr>
        <w:t>Clipperton</w:t>
      </w:r>
      <w:proofErr w:type="spellEnd"/>
      <w:r w:rsidRPr="00A95884">
        <w:rPr>
          <w:rFonts w:ascii="Times New Roman" w:eastAsia="Times New Roman" w:hAnsi="Times New Roman" w:cs="Times New Roman"/>
          <w:sz w:val="24"/>
          <w:szCs w:val="24"/>
        </w:rPr>
        <w:t xml:space="preserve"> Atoll, </w:t>
      </w:r>
      <w:proofErr w:type="gramStart"/>
      <w:r w:rsidRPr="00A95884">
        <w:rPr>
          <w:rFonts w:ascii="Times New Roman" w:eastAsia="Times New Roman" w:hAnsi="Times New Roman" w:cs="Times New Roman"/>
          <w:sz w:val="24"/>
          <w:szCs w:val="24"/>
        </w:rPr>
        <w:t>a</w:t>
      </w:r>
      <w:proofErr w:type="gramEnd"/>
      <w:r w:rsidRPr="00A95884">
        <w:rPr>
          <w:rFonts w:ascii="Times New Roman" w:eastAsia="Times New Roman" w:hAnsi="Times New Roman" w:cs="Times New Roman"/>
          <w:sz w:val="24"/>
          <w:szCs w:val="24"/>
        </w:rPr>
        <w:t xml:space="preserve">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variation of as much as 0.4‰. More recently, </w:t>
      </w:r>
      <w:proofErr w:type="spellStart"/>
      <w:r w:rsidRPr="00A95884">
        <w:rPr>
          <w:rFonts w:ascii="Times New Roman" w:eastAsia="Times New Roman" w:hAnsi="Times New Roman" w:cs="Times New Roman"/>
          <w:sz w:val="24"/>
          <w:szCs w:val="24"/>
        </w:rPr>
        <w:t>Felis</w:t>
      </w:r>
      <w:proofErr w:type="spellEnd"/>
      <w:r w:rsidRPr="00A95884">
        <w:rPr>
          <w:rFonts w:ascii="Times New Roman" w:eastAsia="Times New Roman" w:hAnsi="Times New Roman" w:cs="Times New Roman"/>
          <w:sz w:val="24"/>
          <w:szCs w:val="24"/>
        </w:rPr>
        <w:t xml:space="preserve"> et al. (2003) reported a surprisingly large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variation of up to 1.28‰ for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spp. corals at a single site, which the authors attributed to variable growth rates ranging from 0.2 to 1.5 cm y</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As a practical countermeasure, some level of replication (ideally, three separate corals) of geochemical tracers at each site is recommended to enhance the reliability of the paleoclimatic record (</w:t>
      </w:r>
      <w:proofErr w:type="spellStart"/>
      <w:r w:rsidRPr="00A95884">
        <w:rPr>
          <w:rFonts w:ascii="Times New Roman" w:eastAsia="Times New Roman" w:hAnsi="Times New Roman" w:cs="Times New Roman"/>
          <w:sz w:val="24"/>
          <w:szCs w:val="24"/>
        </w:rPr>
        <w:t>Felis</w:t>
      </w:r>
      <w:proofErr w:type="spellEnd"/>
      <w:r w:rsidRPr="00A95884">
        <w:rPr>
          <w:rFonts w:ascii="Times New Roman" w:eastAsia="Times New Roman" w:hAnsi="Times New Roman" w:cs="Times New Roman"/>
          <w:sz w:val="24"/>
          <w:szCs w:val="24"/>
        </w:rPr>
        <w:t xml:space="preserve"> et al 2004, Lough 2004).</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Calibration studies with corals cultured under controlled environmental conditions have been carried out since the late 1990s (e.g., </w:t>
      </w:r>
      <w:proofErr w:type="spellStart"/>
      <w:r w:rsidRPr="00A95884">
        <w:rPr>
          <w:rFonts w:ascii="Times New Roman" w:eastAsia="Times New Roman" w:hAnsi="Times New Roman" w:cs="Times New Roman"/>
          <w:sz w:val="24"/>
          <w:szCs w:val="24"/>
        </w:rPr>
        <w:t>Grottoli</w:t>
      </w:r>
      <w:proofErr w:type="spellEnd"/>
      <w:r w:rsidRPr="00A95884">
        <w:rPr>
          <w:rFonts w:ascii="Times New Roman" w:eastAsia="Times New Roman" w:hAnsi="Times New Roman" w:cs="Times New Roman"/>
          <w:sz w:val="24"/>
          <w:szCs w:val="24"/>
        </w:rPr>
        <w:t xml:space="preserve"> and Wellington 1999, Reynaud-</w:t>
      </w:r>
      <w:proofErr w:type="spellStart"/>
      <w:r w:rsidRPr="00A95884">
        <w:rPr>
          <w:rFonts w:ascii="Times New Roman" w:eastAsia="Times New Roman" w:hAnsi="Times New Roman" w:cs="Times New Roman"/>
          <w:sz w:val="24"/>
          <w:szCs w:val="24"/>
        </w:rPr>
        <w:t>Vaganay</w:t>
      </w:r>
      <w:proofErr w:type="spellEnd"/>
      <w:r w:rsidRPr="00A95884">
        <w:rPr>
          <w:rFonts w:ascii="Times New Roman" w:eastAsia="Times New Roman" w:hAnsi="Times New Roman" w:cs="Times New Roman"/>
          <w:sz w:val="24"/>
          <w:szCs w:val="24"/>
        </w:rPr>
        <w:t xml:space="preserve"> et al 1999, Reynaud-</w:t>
      </w:r>
      <w:proofErr w:type="spellStart"/>
      <w:r w:rsidRPr="00A95884">
        <w:rPr>
          <w:rFonts w:ascii="Times New Roman" w:eastAsia="Times New Roman" w:hAnsi="Times New Roman" w:cs="Times New Roman"/>
          <w:sz w:val="24"/>
          <w:szCs w:val="24"/>
        </w:rPr>
        <w:t>Vaganay</w:t>
      </w:r>
      <w:proofErr w:type="spellEnd"/>
      <w:r w:rsidRPr="00A95884">
        <w:rPr>
          <w:rFonts w:ascii="Times New Roman" w:eastAsia="Times New Roman" w:hAnsi="Times New Roman" w:cs="Times New Roman"/>
          <w:sz w:val="24"/>
          <w:szCs w:val="24"/>
        </w:rPr>
        <w:t xml:space="preserve"> et al 2001, Ferrier-Pages et al 2002, </w:t>
      </w:r>
      <w:proofErr w:type="spellStart"/>
      <w:r w:rsidRPr="00A95884">
        <w:rPr>
          <w:rFonts w:ascii="Times New Roman" w:eastAsia="Times New Roman" w:hAnsi="Times New Roman" w:cs="Times New Roman"/>
          <w:sz w:val="24"/>
          <w:szCs w:val="24"/>
        </w:rPr>
        <w:t>Grottoli</w:t>
      </w:r>
      <w:proofErr w:type="spellEnd"/>
      <w:r w:rsidRPr="00A95884">
        <w:rPr>
          <w:rFonts w:ascii="Times New Roman" w:eastAsia="Times New Roman" w:hAnsi="Times New Roman" w:cs="Times New Roman"/>
          <w:sz w:val="24"/>
          <w:szCs w:val="24"/>
        </w:rPr>
        <w:t xml:space="preserve"> 2002). An experimental technique using coral nubbins and explants (Davies, 1995) has been widely applied, not only for laboratory ecotoxicology experiments but also for environmental assessment and geochemical studies of coral skeletons in the field. More recently, Reynaud-</w:t>
      </w:r>
      <w:proofErr w:type="spellStart"/>
      <w:r w:rsidRPr="00A95884">
        <w:rPr>
          <w:rFonts w:ascii="Times New Roman" w:eastAsia="Times New Roman" w:hAnsi="Times New Roman" w:cs="Times New Roman"/>
          <w:sz w:val="24"/>
          <w:szCs w:val="24"/>
        </w:rPr>
        <w:t>Vaganay</w:t>
      </w:r>
      <w:proofErr w:type="spellEnd"/>
      <w:r w:rsidRPr="00A95884">
        <w:rPr>
          <w:rFonts w:ascii="Times New Roman" w:eastAsia="Times New Roman" w:hAnsi="Times New Roman" w:cs="Times New Roman"/>
          <w:sz w:val="24"/>
          <w:szCs w:val="24"/>
        </w:rPr>
        <w:t xml:space="preserve"> et al. (1999) examined the skeletal isotopic compositions of </w:t>
      </w:r>
      <w:r w:rsidRPr="00A95884">
        <w:rPr>
          <w:rFonts w:ascii="Times New Roman" w:eastAsia="Times New Roman" w:hAnsi="Times New Roman" w:cs="Times New Roman"/>
          <w:i/>
          <w:iCs/>
          <w:sz w:val="24"/>
          <w:szCs w:val="24"/>
        </w:rPr>
        <w:t>Acropora</w:t>
      </w:r>
      <w:r w:rsidRPr="00A95884">
        <w:rPr>
          <w:rFonts w:ascii="Times New Roman" w:eastAsia="Times New Roman" w:hAnsi="Times New Roman" w:cs="Times New Roman"/>
          <w:sz w:val="24"/>
          <w:szCs w:val="24"/>
        </w:rPr>
        <w:t xml:space="preserve"> sp. and </w:t>
      </w:r>
      <w:proofErr w:type="spellStart"/>
      <w:r w:rsidRPr="00A95884">
        <w:rPr>
          <w:rFonts w:ascii="Times New Roman" w:eastAsia="Times New Roman" w:hAnsi="Times New Roman" w:cs="Times New Roman"/>
          <w:i/>
          <w:iCs/>
          <w:sz w:val="24"/>
          <w:szCs w:val="24"/>
        </w:rPr>
        <w:t>Stylophora</w:t>
      </w:r>
      <w:proofErr w:type="spellEnd"/>
      <w:r w:rsidRPr="00A95884">
        <w:rPr>
          <w:rFonts w:ascii="Times New Roman" w:eastAsia="Times New Roman" w:hAnsi="Times New Roman" w:cs="Times New Roman"/>
          <w:i/>
          <w:iCs/>
          <w:sz w:val="24"/>
          <w:szCs w:val="24"/>
        </w:rPr>
        <w:t xml:space="preserve"> </w:t>
      </w:r>
      <w:proofErr w:type="spellStart"/>
      <w:r w:rsidRPr="00A95884">
        <w:rPr>
          <w:rFonts w:ascii="Times New Roman" w:eastAsia="Times New Roman" w:hAnsi="Times New Roman" w:cs="Times New Roman"/>
          <w:i/>
          <w:iCs/>
          <w:sz w:val="24"/>
          <w:szCs w:val="24"/>
        </w:rPr>
        <w:t>pistillata</w:t>
      </w:r>
      <w:proofErr w:type="spellEnd"/>
      <w:r w:rsidRPr="00A95884">
        <w:rPr>
          <w:rFonts w:ascii="Times New Roman" w:eastAsia="Times New Roman" w:hAnsi="Times New Roman" w:cs="Times New Roman"/>
          <w:sz w:val="24"/>
          <w:szCs w:val="24"/>
        </w:rPr>
        <w:t xml:space="preserve"> cultured on glass slides. Reynaud-</w:t>
      </w:r>
      <w:proofErr w:type="spellStart"/>
      <w:r w:rsidRPr="00A95884">
        <w:rPr>
          <w:rFonts w:ascii="Times New Roman" w:eastAsia="Times New Roman" w:hAnsi="Times New Roman" w:cs="Times New Roman"/>
          <w:sz w:val="24"/>
          <w:szCs w:val="24"/>
        </w:rPr>
        <w:t>Vaganay</w:t>
      </w:r>
      <w:proofErr w:type="spellEnd"/>
      <w:r w:rsidRPr="00A95884">
        <w:rPr>
          <w:rFonts w:ascii="Times New Roman" w:eastAsia="Times New Roman" w:hAnsi="Times New Roman" w:cs="Times New Roman"/>
          <w:sz w:val="24"/>
          <w:szCs w:val="24"/>
        </w:rPr>
        <w:t xml:space="preserve"> et al. (1999) concluded that the best way to investigate the effect of a specific environmental parameter (e.g., temperature, light, salinity, or concentrations of nutrients) on coral isotopic composition was to study samples cultured under controlled conditions through the manipulation of the parameter of interest while the others are held constant. The effect of feeding on skeletal δ</w:t>
      </w:r>
      <w:r w:rsidRPr="00A95884">
        <w:rPr>
          <w:rFonts w:ascii="Times New Roman" w:eastAsia="Times New Roman" w:hAnsi="Times New Roman" w:cs="Times New Roman"/>
          <w:sz w:val="24"/>
          <w:szCs w:val="24"/>
          <w:vertAlign w:val="superscript"/>
        </w:rPr>
        <w:t>13</w:t>
      </w:r>
      <w:r w:rsidRPr="00A95884">
        <w:rPr>
          <w:rFonts w:ascii="Times New Roman" w:eastAsia="Times New Roman" w:hAnsi="Times New Roman" w:cs="Times New Roman"/>
          <w:sz w:val="24"/>
          <w:szCs w:val="24"/>
        </w:rPr>
        <w:t xml:space="preserve">C in </w:t>
      </w:r>
      <w:proofErr w:type="spellStart"/>
      <w:r w:rsidRPr="00A95884">
        <w:rPr>
          <w:rFonts w:ascii="Times New Roman" w:eastAsia="Times New Roman" w:hAnsi="Times New Roman" w:cs="Times New Roman"/>
          <w:i/>
          <w:iCs/>
          <w:sz w:val="24"/>
          <w:szCs w:val="24"/>
        </w:rPr>
        <w:t>Stylophora</w:t>
      </w:r>
      <w:proofErr w:type="spellEnd"/>
      <w:r w:rsidRPr="00A95884">
        <w:rPr>
          <w:rFonts w:ascii="Times New Roman" w:eastAsia="Times New Roman" w:hAnsi="Times New Roman" w:cs="Times New Roman"/>
          <w:i/>
          <w:iCs/>
          <w:sz w:val="24"/>
          <w:szCs w:val="24"/>
        </w:rPr>
        <w:t xml:space="preserve"> </w:t>
      </w:r>
      <w:proofErr w:type="spellStart"/>
      <w:r w:rsidRPr="00A95884">
        <w:rPr>
          <w:rFonts w:ascii="Times New Roman" w:eastAsia="Times New Roman" w:hAnsi="Times New Roman" w:cs="Times New Roman"/>
          <w:i/>
          <w:iCs/>
          <w:sz w:val="24"/>
          <w:szCs w:val="24"/>
        </w:rPr>
        <w:t>pistillata</w:t>
      </w:r>
      <w:proofErr w:type="spellEnd"/>
      <w:r w:rsidRPr="00A95884">
        <w:rPr>
          <w:rFonts w:ascii="Times New Roman" w:eastAsia="Times New Roman" w:hAnsi="Times New Roman" w:cs="Times New Roman"/>
          <w:sz w:val="24"/>
          <w:szCs w:val="24"/>
        </w:rPr>
        <w:t xml:space="preserve"> was examined by Reynaud et al. (2002). According to statistics compiled by D. Barnes and J. M. Lough (personal communication), 39% of the published works on coral skeletons deal with the genus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yet few controlled experiments on cultured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corals have been performed.</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In this study, we cultured corals for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 xml:space="preserve">5 months in temperature-controlled tanks to investigate the temperature dependence and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variability of the skeletal isotope signals of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spp. A </w:t>
      </w:r>
      <w:proofErr w:type="spellStart"/>
      <w:r w:rsidRPr="00A95884">
        <w:rPr>
          <w:rFonts w:ascii="Times New Roman" w:eastAsia="Times New Roman" w:hAnsi="Times New Roman" w:cs="Times New Roman"/>
          <w:sz w:val="24"/>
          <w:szCs w:val="24"/>
        </w:rPr>
        <w:t>microprofiling</w:t>
      </w:r>
      <w:proofErr w:type="spellEnd"/>
      <w:r w:rsidRPr="00A95884">
        <w:rPr>
          <w:rFonts w:ascii="Times New Roman" w:eastAsia="Times New Roman" w:hAnsi="Times New Roman" w:cs="Times New Roman"/>
          <w:sz w:val="24"/>
          <w:szCs w:val="24"/>
        </w:rPr>
        <w:t xml:space="preserve"> technique that was previously successfully applied to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corals (Suzuki et al., 2003) was employed to examine temporal changes in skeletal isotopic signals during the culture period.</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Section snippets</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Coral Materials</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The experiment was conducted in a laboratory using colonies of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spp. zooxanthellate </w:t>
      </w:r>
      <w:proofErr w:type="spellStart"/>
      <w:r w:rsidRPr="00A95884">
        <w:rPr>
          <w:rFonts w:ascii="Times New Roman" w:eastAsia="Times New Roman" w:hAnsi="Times New Roman" w:cs="Times New Roman"/>
          <w:sz w:val="24"/>
          <w:szCs w:val="24"/>
        </w:rPr>
        <w:t>scleractinian</w:t>
      </w:r>
      <w:proofErr w:type="spellEnd"/>
      <w:r w:rsidRPr="00A95884">
        <w:rPr>
          <w:rFonts w:ascii="Times New Roman" w:eastAsia="Times New Roman" w:hAnsi="Times New Roman" w:cs="Times New Roman"/>
          <w:sz w:val="24"/>
          <w:szCs w:val="24"/>
        </w:rPr>
        <w:t xml:space="preserve"> corals. These specimens were collected off the temperate coast of southern Shikoku </w:t>
      </w:r>
      <w:r w:rsidRPr="00A95884">
        <w:rPr>
          <w:rFonts w:ascii="Times New Roman" w:eastAsia="Times New Roman" w:hAnsi="Times New Roman" w:cs="Times New Roman"/>
          <w:sz w:val="24"/>
          <w:szCs w:val="24"/>
        </w:rPr>
        <w:lastRenderedPageBreak/>
        <w:t xml:space="preserve">Island, Japan. Local sea-surface temperature varies between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 xml:space="preserve">17°C and 28°C with annual mean value of 22°C (1997-2002; Japan Oceanographic Data Center). All colonies were initially cultured for 10 weeks under a maximum light intensity of </w:t>
      </w:r>
      <w:r w:rsidRPr="00A95884">
        <w:rPr>
          <w:rFonts w:ascii="Cambria Math" w:eastAsia="Times New Roman" w:hAnsi="Cambria Math" w:cs="Cambria Math"/>
          <w:sz w:val="24"/>
          <w:szCs w:val="24"/>
        </w:rPr>
        <w:t>∼</w:t>
      </w:r>
      <w:r w:rsidRPr="00A95884">
        <w:rPr>
          <w:rFonts w:ascii="Times New Roman" w:eastAsia="Times New Roman" w:hAnsi="Times New Roman" w:cs="Times New Roman"/>
          <w:sz w:val="24"/>
          <w:szCs w:val="24"/>
        </w:rPr>
        <w:t xml:space="preserve">500 </w:t>
      </w:r>
      <w:proofErr w:type="spellStart"/>
      <w:r w:rsidRPr="00A95884">
        <w:rPr>
          <w:rFonts w:ascii="Times New Roman" w:eastAsia="Times New Roman" w:hAnsi="Times New Roman" w:cs="Times New Roman"/>
          <w:sz w:val="24"/>
          <w:szCs w:val="24"/>
        </w:rPr>
        <w:t>μmol</w:t>
      </w:r>
      <w:proofErr w:type="spellEnd"/>
      <w:r w:rsidRPr="00A95884">
        <w:rPr>
          <w:rFonts w:ascii="Times New Roman" w:eastAsia="Times New Roman" w:hAnsi="Times New Roman" w:cs="Times New Roman"/>
          <w:sz w:val="24"/>
          <w:szCs w:val="24"/>
        </w:rPr>
        <w:t xml:space="preserve"> m</w:t>
      </w:r>
      <w:r w:rsidRPr="00A95884">
        <w:rPr>
          <w:rFonts w:ascii="Times New Roman" w:eastAsia="Times New Roman" w:hAnsi="Times New Roman" w:cs="Times New Roman"/>
          <w:sz w:val="24"/>
          <w:szCs w:val="24"/>
          <w:vertAlign w:val="superscript"/>
        </w:rPr>
        <w:t>−2</w:t>
      </w:r>
      <w:r w:rsidRPr="00A95884">
        <w:rPr>
          <w:rFonts w:ascii="Times New Roman" w:eastAsia="Times New Roman" w:hAnsi="Times New Roman" w:cs="Times New Roman"/>
          <w:sz w:val="24"/>
          <w:szCs w:val="24"/>
        </w:rPr>
        <w:t xml:space="preserve"> s</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xml:space="preserve"> in an open-air tank with partial shading and then</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Tank Water Properties During the Experiment</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The water temperatures of five experimental tanks were successfully controlled near the </w:t>
      </w:r>
      <w:proofErr w:type="spellStart"/>
      <w:r w:rsidRPr="00A95884">
        <w:rPr>
          <w:rFonts w:ascii="Times New Roman" w:eastAsia="Times New Roman" w:hAnsi="Times New Roman" w:cs="Times New Roman"/>
          <w:sz w:val="24"/>
          <w:szCs w:val="24"/>
        </w:rPr>
        <w:t>thermostated</w:t>
      </w:r>
      <w:proofErr w:type="spellEnd"/>
      <w:r w:rsidRPr="00A95884">
        <w:rPr>
          <w:rFonts w:ascii="Times New Roman" w:eastAsia="Times New Roman" w:hAnsi="Times New Roman" w:cs="Times New Roman"/>
          <w:sz w:val="24"/>
          <w:szCs w:val="24"/>
        </w:rPr>
        <w:t xml:space="preserve"> settings; the average temperature (± standard deviation) in each tank was 21.0 ± 0.3°C, 23.1 ± 0.2°C, 25.1 ± 0.2°C, 26.8 ± 0.3°C, and 28.8 ± 0.3°C, respectively, based on monitoring by temperature loggers at 20-min intervals (Fig. 1A). Although some freshening events caused by local rainfall were evident in salinity, it varied within a relatively narrow range around 34.5 during most of the</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Temperature Dependence of Skeletal Isotope Composition</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We here examine the mean slope of the relationship between skeletal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 xml:space="preserve">O and temperature based on the entire data set, although the most surprising result of the present study was the unexpectedly large </w:t>
      </w:r>
      <w:proofErr w:type="spellStart"/>
      <w:r w:rsidRPr="00A95884">
        <w:rPr>
          <w:rFonts w:ascii="Times New Roman" w:eastAsia="Times New Roman" w:hAnsi="Times New Roman" w:cs="Times New Roman"/>
          <w:sz w:val="24"/>
          <w:szCs w:val="24"/>
        </w:rPr>
        <w:t>intercolony</w:t>
      </w:r>
      <w:proofErr w:type="spellEnd"/>
      <w:r w:rsidRPr="00A95884">
        <w:rPr>
          <w:rFonts w:ascii="Times New Roman" w:eastAsia="Times New Roman" w:hAnsi="Times New Roman" w:cs="Times New Roman"/>
          <w:sz w:val="24"/>
          <w:szCs w:val="24"/>
        </w:rPr>
        <w:t xml:space="preserve"> variation at each temperature setting. As shown in Fig. 4A, the slope of this relationship (−0.154‰ °C</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is somewhat lower than values obtained by field calibration and previously reported in the literature (−0.17‰ to −0.22‰ °C</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see Table 1 in Suzuki et al., 1999). Interestingly,</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Summary</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We conducted tank experiments in which we grew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spp. colonies in </w:t>
      </w:r>
      <w:proofErr w:type="spellStart"/>
      <w:r w:rsidRPr="00A95884">
        <w:rPr>
          <w:rFonts w:ascii="Times New Roman" w:eastAsia="Times New Roman" w:hAnsi="Times New Roman" w:cs="Times New Roman"/>
          <w:sz w:val="24"/>
          <w:szCs w:val="24"/>
        </w:rPr>
        <w:t>thermostated</w:t>
      </w:r>
      <w:proofErr w:type="spellEnd"/>
      <w:r w:rsidRPr="00A95884">
        <w:rPr>
          <w:rFonts w:ascii="Times New Roman" w:eastAsia="Times New Roman" w:hAnsi="Times New Roman" w:cs="Times New Roman"/>
          <w:sz w:val="24"/>
          <w:szCs w:val="24"/>
        </w:rPr>
        <w:t xml:space="preserve"> seawater at five temperature settings between 21°C and 29°C under moderate light intensity of 250 </w:t>
      </w:r>
      <w:proofErr w:type="spellStart"/>
      <w:r w:rsidRPr="00A95884">
        <w:rPr>
          <w:rFonts w:ascii="Times New Roman" w:eastAsia="Times New Roman" w:hAnsi="Times New Roman" w:cs="Times New Roman"/>
          <w:sz w:val="24"/>
          <w:szCs w:val="24"/>
        </w:rPr>
        <w:t>μmol</w:t>
      </w:r>
      <w:proofErr w:type="spellEnd"/>
      <w:r w:rsidRPr="00A95884">
        <w:rPr>
          <w:rFonts w:ascii="Times New Roman" w:eastAsia="Times New Roman" w:hAnsi="Times New Roman" w:cs="Times New Roman"/>
          <w:sz w:val="24"/>
          <w:szCs w:val="24"/>
        </w:rPr>
        <w:t xml:space="preserve"> m</w:t>
      </w:r>
      <w:r w:rsidRPr="00A95884">
        <w:rPr>
          <w:rFonts w:ascii="Times New Roman" w:eastAsia="Times New Roman" w:hAnsi="Times New Roman" w:cs="Times New Roman"/>
          <w:sz w:val="24"/>
          <w:szCs w:val="24"/>
          <w:vertAlign w:val="superscript"/>
        </w:rPr>
        <w:t>−2</w:t>
      </w:r>
      <w:r w:rsidRPr="00A95884">
        <w:rPr>
          <w:rFonts w:ascii="Times New Roman" w:eastAsia="Times New Roman" w:hAnsi="Times New Roman" w:cs="Times New Roman"/>
          <w:sz w:val="24"/>
          <w:szCs w:val="24"/>
        </w:rPr>
        <w:t xml:space="preserve"> s</w:t>
      </w:r>
      <w:r w:rsidRPr="00A95884">
        <w:rPr>
          <w:rFonts w:ascii="Times New Roman" w:eastAsia="Times New Roman" w:hAnsi="Times New Roman" w:cs="Times New Roman"/>
          <w:sz w:val="24"/>
          <w:szCs w:val="24"/>
          <w:vertAlign w:val="superscript"/>
        </w:rPr>
        <w:t>−1</w:t>
      </w:r>
      <w:r w:rsidRPr="00A95884">
        <w:rPr>
          <w:rFonts w:ascii="Times New Roman" w:eastAsia="Times New Roman" w:hAnsi="Times New Roman" w:cs="Times New Roman"/>
          <w:sz w:val="24"/>
          <w:szCs w:val="24"/>
        </w:rPr>
        <w:t xml:space="preserve"> with a 12:12 </w:t>
      </w:r>
      <w:proofErr w:type="spellStart"/>
      <w:proofErr w:type="gramStart"/>
      <w:r w:rsidRPr="00A95884">
        <w:rPr>
          <w:rFonts w:ascii="Times New Roman" w:eastAsia="Times New Roman" w:hAnsi="Times New Roman" w:cs="Times New Roman"/>
          <w:sz w:val="24"/>
          <w:szCs w:val="24"/>
        </w:rPr>
        <w:t>light:dark</w:t>
      </w:r>
      <w:proofErr w:type="spellEnd"/>
      <w:proofErr w:type="gramEnd"/>
      <w:r w:rsidRPr="00A95884">
        <w:rPr>
          <w:rFonts w:ascii="Times New Roman" w:eastAsia="Times New Roman" w:hAnsi="Times New Roman" w:cs="Times New Roman"/>
          <w:sz w:val="24"/>
          <w:szCs w:val="24"/>
        </w:rPr>
        <w:t xml:space="preserve"> photoperiod. The genus </w:t>
      </w:r>
      <w:r w:rsidRPr="00A95884">
        <w:rPr>
          <w:rFonts w:ascii="Times New Roman" w:eastAsia="Times New Roman" w:hAnsi="Times New Roman" w:cs="Times New Roman"/>
          <w:i/>
          <w:iCs/>
          <w:sz w:val="24"/>
          <w:szCs w:val="24"/>
        </w:rPr>
        <w:t>Porites</w:t>
      </w:r>
      <w:r w:rsidRPr="00A95884">
        <w:rPr>
          <w:rFonts w:ascii="Times New Roman" w:eastAsia="Times New Roman" w:hAnsi="Times New Roman" w:cs="Times New Roman"/>
          <w:sz w:val="24"/>
          <w:szCs w:val="24"/>
        </w:rPr>
        <w:t xml:space="preserve"> was chosen as the species of investigation because of its general importance in </w:t>
      </w:r>
      <w:proofErr w:type="spellStart"/>
      <w:r w:rsidRPr="00A95884">
        <w:rPr>
          <w:rFonts w:ascii="Times New Roman" w:eastAsia="Times New Roman" w:hAnsi="Times New Roman" w:cs="Times New Roman"/>
          <w:sz w:val="24"/>
          <w:szCs w:val="24"/>
        </w:rPr>
        <w:t>paleoclimatological</w:t>
      </w:r>
      <w:proofErr w:type="spellEnd"/>
      <w:r w:rsidRPr="00A95884">
        <w:rPr>
          <w:rFonts w:ascii="Times New Roman" w:eastAsia="Times New Roman" w:hAnsi="Times New Roman" w:cs="Times New Roman"/>
          <w:sz w:val="24"/>
          <w:szCs w:val="24"/>
        </w:rPr>
        <w:t xml:space="preserve"> studies. A skeletal isotope </w:t>
      </w:r>
      <w:proofErr w:type="spellStart"/>
      <w:r w:rsidRPr="00A95884">
        <w:rPr>
          <w:rFonts w:ascii="Times New Roman" w:eastAsia="Times New Roman" w:hAnsi="Times New Roman" w:cs="Times New Roman"/>
          <w:sz w:val="24"/>
          <w:szCs w:val="24"/>
        </w:rPr>
        <w:t>microprofiling</w:t>
      </w:r>
      <w:proofErr w:type="spellEnd"/>
      <w:r w:rsidRPr="00A95884">
        <w:rPr>
          <w:rFonts w:ascii="Times New Roman" w:eastAsia="Times New Roman" w:hAnsi="Times New Roman" w:cs="Times New Roman"/>
          <w:sz w:val="24"/>
          <w:szCs w:val="24"/>
        </w:rPr>
        <w:t xml:space="preserve"> technique applied along the major growth axes of each colony revealed that the δ</w:t>
      </w:r>
      <w:r w:rsidRPr="00A95884">
        <w:rPr>
          <w:rFonts w:ascii="Times New Roman" w:eastAsia="Times New Roman" w:hAnsi="Times New Roman" w:cs="Times New Roman"/>
          <w:sz w:val="24"/>
          <w:szCs w:val="24"/>
          <w:vertAlign w:val="superscript"/>
        </w:rPr>
        <w:t>18</w:t>
      </w:r>
      <w:r w:rsidRPr="00A95884">
        <w:rPr>
          <w:rFonts w:ascii="Times New Roman" w:eastAsia="Times New Roman" w:hAnsi="Times New Roman" w:cs="Times New Roman"/>
          <w:sz w:val="24"/>
          <w:szCs w:val="24"/>
        </w:rPr>
        <w:t>O value of newly</w:t>
      </w:r>
    </w:p>
    <w:p w:rsidR="00A95884" w:rsidRPr="00A95884" w:rsidRDefault="00A95884" w:rsidP="00A95884">
      <w:pPr>
        <w:spacing w:before="100" w:beforeAutospacing="1" w:after="100" w:afterAutospacing="1" w:line="240" w:lineRule="auto"/>
        <w:outlineLvl w:val="1"/>
        <w:rPr>
          <w:rFonts w:ascii="Times New Roman" w:eastAsia="Times New Roman" w:hAnsi="Times New Roman" w:cs="Times New Roman"/>
          <w:b/>
          <w:bCs/>
          <w:sz w:val="36"/>
          <w:szCs w:val="36"/>
        </w:rPr>
      </w:pPr>
      <w:r w:rsidRPr="00A95884">
        <w:rPr>
          <w:rFonts w:ascii="Times New Roman" w:eastAsia="Times New Roman" w:hAnsi="Times New Roman" w:cs="Times New Roman"/>
          <w:b/>
          <w:bCs/>
          <w:sz w:val="36"/>
          <w:szCs w:val="36"/>
        </w:rPr>
        <w:t>Acknowledgments</w:t>
      </w:r>
    </w:p>
    <w:p w:rsidR="00A95884" w:rsidRPr="00A95884" w:rsidRDefault="00A95884" w:rsidP="00A95884">
      <w:pPr>
        <w:spacing w:before="100" w:beforeAutospacing="1" w:after="100" w:afterAutospacing="1" w:line="240" w:lineRule="auto"/>
        <w:rPr>
          <w:rFonts w:ascii="Times New Roman" w:eastAsia="Times New Roman" w:hAnsi="Times New Roman" w:cs="Times New Roman"/>
          <w:sz w:val="24"/>
          <w:szCs w:val="24"/>
        </w:rPr>
      </w:pPr>
      <w:r w:rsidRPr="00A95884">
        <w:rPr>
          <w:rFonts w:ascii="Times New Roman" w:eastAsia="Times New Roman" w:hAnsi="Times New Roman" w:cs="Times New Roman"/>
          <w:sz w:val="24"/>
          <w:szCs w:val="24"/>
        </w:rPr>
        <w:t xml:space="preserve">We wish to thank K. </w:t>
      </w:r>
      <w:proofErr w:type="spellStart"/>
      <w:r w:rsidRPr="00A95884">
        <w:rPr>
          <w:rFonts w:ascii="Times New Roman" w:eastAsia="Times New Roman" w:hAnsi="Times New Roman" w:cs="Times New Roman"/>
          <w:sz w:val="24"/>
          <w:szCs w:val="24"/>
        </w:rPr>
        <w:t>Okaji</w:t>
      </w:r>
      <w:proofErr w:type="spellEnd"/>
      <w:r w:rsidRPr="00A95884">
        <w:rPr>
          <w:rFonts w:ascii="Times New Roman" w:eastAsia="Times New Roman" w:hAnsi="Times New Roman" w:cs="Times New Roman"/>
          <w:sz w:val="24"/>
          <w:szCs w:val="24"/>
        </w:rPr>
        <w:t xml:space="preserve">, K. Sasaki and I. </w:t>
      </w:r>
      <w:proofErr w:type="spellStart"/>
      <w:r w:rsidRPr="00A95884">
        <w:rPr>
          <w:rFonts w:ascii="Times New Roman" w:eastAsia="Times New Roman" w:hAnsi="Times New Roman" w:cs="Times New Roman"/>
          <w:sz w:val="24"/>
          <w:szCs w:val="24"/>
        </w:rPr>
        <w:t>Oshita</w:t>
      </w:r>
      <w:proofErr w:type="spellEnd"/>
      <w:r w:rsidRPr="00A95884">
        <w:rPr>
          <w:rFonts w:ascii="Times New Roman" w:eastAsia="Times New Roman" w:hAnsi="Times New Roman" w:cs="Times New Roman"/>
          <w:sz w:val="24"/>
          <w:szCs w:val="24"/>
        </w:rPr>
        <w:t xml:space="preserve"> of The General Environmental </w:t>
      </w:r>
      <w:proofErr w:type="spellStart"/>
      <w:r w:rsidRPr="00A95884">
        <w:rPr>
          <w:rFonts w:ascii="Times New Roman" w:eastAsia="Times New Roman" w:hAnsi="Times New Roman" w:cs="Times New Roman"/>
          <w:sz w:val="24"/>
          <w:szCs w:val="24"/>
        </w:rPr>
        <w:t>Technos</w:t>
      </w:r>
      <w:proofErr w:type="spellEnd"/>
      <w:r w:rsidRPr="00A95884">
        <w:rPr>
          <w:rFonts w:ascii="Times New Roman" w:eastAsia="Times New Roman" w:hAnsi="Times New Roman" w:cs="Times New Roman"/>
          <w:sz w:val="24"/>
          <w:szCs w:val="24"/>
        </w:rPr>
        <w:t xml:space="preserve"> Co., Ltd. (former Kansai Environmental Engineering Center Co., Ltd.). Special thanks are due to T. Maruyama of the Japan Agency for Marine-Earth Science and Technology, A. Murakami of Kobe University, K. Sakai of the University of the Ryukyus, and M. K. </w:t>
      </w:r>
      <w:proofErr w:type="spellStart"/>
      <w:r w:rsidRPr="00A95884">
        <w:rPr>
          <w:rFonts w:ascii="Times New Roman" w:eastAsia="Times New Roman" w:hAnsi="Times New Roman" w:cs="Times New Roman"/>
          <w:sz w:val="24"/>
          <w:szCs w:val="24"/>
        </w:rPr>
        <w:t>Gagan</w:t>
      </w:r>
      <w:proofErr w:type="spellEnd"/>
      <w:r w:rsidRPr="00A95884">
        <w:rPr>
          <w:rFonts w:ascii="Times New Roman" w:eastAsia="Times New Roman" w:hAnsi="Times New Roman" w:cs="Times New Roman"/>
          <w:sz w:val="24"/>
          <w:szCs w:val="24"/>
        </w:rPr>
        <w:t xml:space="preserve"> of the Australian National University for valuable discussion. The δ</w:t>
      </w:r>
      <w:r w:rsidRPr="00A95884">
        <w:rPr>
          <w:rFonts w:ascii="Times New Roman" w:eastAsia="Times New Roman" w:hAnsi="Times New Roman" w:cs="Times New Roman"/>
          <w:sz w:val="24"/>
          <w:szCs w:val="24"/>
          <w:vertAlign w:val="superscript"/>
        </w:rPr>
        <w:t>13</w:t>
      </w:r>
      <w:r w:rsidRPr="00A95884">
        <w:rPr>
          <w:rFonts w:ascii="Times New Roman" w:eastAsia="Times New Roman" w:hAnsi="Times New Roman" w:cs="Times New Roman"/>
          <w:sz w:val="24"/>
          <w:szCs w:val="24"/>
        </w:rPr>
        <w:t>C data of seawater DIC were provided by S. Murayama of the AIST. Comments of T.</w:t>
      </w:r>
    </w:p>
    <w:p w:rsidR="000654CB" w:rsidRDefault="000654CB"/>
    <w:sectPr w:rsidR="000654C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5884"/>
    <w:rsid w:val="000654CB"/>
    <w:rsid w:val="00A958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9264D4"/>
  <w15:chartTrackingRefBased/>
  <w15:docId w15:val="{3595EFAE-38FE-4896-90AE-6490253E7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0530139">
      <w:bodyDiv w:val="1"/>
      <w:marLeft w:val="0"/>
      <w:marRight w:val="0"/>
      <w:marTop w:val="0"/>
      <w:marBottom w:val="0"/>
      <w:divBdr>
        <w:top w:val="none" w:sz="0" w:space="0" w:color="auto"/>
        <w:left w:val="none" w:sz="0" w:space="0" w:color="auto"/>
        <w:bottom w:val="none" w:sz="0" w:space="0" w:color="auto"/>
        <w:right w:val="none" w:sz="0" w:space="0" w:color="auto"/>
      </w:divBdr>
      <w:divsChild>
        <w:div w:id="631209014">
          <w:marLeft w:val="0"/>
          <w:marRight w:val="0"/>
          <w:marTop w:val="0"/>
          <w:marBottom w:val="0"/>
          <w:divBdr>
            <w:top w:val="none" w:sz="0" w:space="0" w:color="auto"/>
            <w:left w:val="none" w:sz="0" w:space="0" w:color="auto"/>
            <w:bottom w:val="none" w:sz="0" w:space="0" w:color="auto"/>
            <w:right w:val="none" w:sz="0" w:space="0" w:color="auto"/>
          </w:divBdr>
          <w:divsChild>
            <w:div w:id="1997998739">
              <w:marLeft w:val="0"/>
              <w:marRight w:val="0"/>
              <w:marTop w:val="0"/>
              <w:marBottom w:val="0"/>
              <w:divBdr>
                <w:top w:val="none" w:sz="0" w:space="0" w:color="auto"/>
                <w:left w:val="none" w:sz="0" w:space="0" w:color="auto"/>
                <w:bottom w:val="none" w:sz="0" w:space="0" w:color="auto"/>
                <w:right w:val="none" w:sz="0" w:space="0" w:color="auto"/>
              </w:divBdr>
              <w:divsChild>
                <w:div w:id="773862760">
                  <w:marLeft w:val="0"/>
                  <w:marRight w:val="0"/>
                  <w:marTop w:val="0"/>
                  <w:marBottom w:val="0"/>
                  <w:divBdr>
                    <w:top w:val="none" w:sz="0" w:space="0" w:color="auto"/>
                    <w:left w:val="none" w:sz="0" w:space="0" w:color="auto"/>
                    <w:bottom w:val="none" w:sz="0" w:space="0" w:color="auto"/>
                    <w:right w:val="none" w:sz="0" w:space="0" w:color="auto"/>
                  </w:divBdr>
                  <w:divsChild>
                    <w:div w:id="101707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058822">
          <w:marLeft w:val="0"/>
          <w:marRight w:val="0"/>
          <w:marTop w:val="0"/>
          <w:marBottom w:val="0"/>
          <w:divBdr>
            <w:top w:val="none" w:sz="0" w:space="0" w:color="auto"/>
            <w:left w:val="none" w:sz="0" w:space="0" w:color="auto"/>
            <w:bottom w:val="none" w:sz="0" w:space="0" w:color="auto"/>
            <w:right w:val="none" w:sz="0" w:space="0" w:color="auto"/>
          </w:divBdr>
          <w:divsChild>
            <w:div w:id="416679500">
              <w:marLeft w:val="0"/>
              <w:marRight w:val="0"/>
              <w:marTop w:val="0"/>
              <w:marBottom w:val="0"/>
              <w:divBdr>
                <w:top w:val="none" w:sz="0" w:space="0" w:color="auto"/>
                <w:left w:val="none" w:sz="0" w:space="0" w:color="auto"/>
                <w:bottom w:val="none" w:sz="0" w:space="0" w:color="auto"/>
                <w:right w:val="none" w:sz="0" w:space="0" w:color="auto"/>
              </w:divBdr>
              <w:divsChild>
                <w:div w:id="1126191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2864">
          <w:marLeft w:val="0"/>
          <w:marRight w:val="0"/>
          <w:marTop w:val="0"/>
          <w:marBottom w:val="0"/>
          <w:divBdr>
            <w:top w:val="none" w:sz="0" w:space="0" w:color="auto"/>
            <w:left w:val="none" w:sz="0" w:space="0" w:color="auto"/>
            <w:bottom w:val="none" w:sz="0" w:space="0" w:color="auto"/>
            <w:right w:val="none" w:sz="0" w:space="0" w:color="auto"/>
          </w:divBdr>
          <w:divsChild>
            <w:div w:id="420179787">
              <w:marLeft w:val="0"/>
              <w:marRight w:val="0"/>
              <w:marTop w:val="0"/>
              <w:marBottom w:val="0"/>
              <w:divBdr>
                <w:top w:val="none" w:sz="0" w:space="0" w:color="auto"/>
                <w:left w:val="none" w:sz="0" w:space="0" w:color="auto"/>
                <w:bottom w:val="none" w:sz="0" w:space="0" w:color="auto"/>
                <w:right w:val="none" w:sz="0" w:space="0" w:color="auto"/>
              </w:divBdr>
              <w:divsChild>
                <w:div w:id="789474879">
                  <w:marLeft w:val="0"/>
                  <w:marRight w:val="0"/>
                  <w:marTop w:val="0"/>
                  <w:marBottom w:val="0"/>
                  <w:divBdr>
                    <w:top w:val="none" w:sz="0" w:space="0" w:color="auto"/>
                    <w:left w:val="none" w:sz="0" w:space="0" w:color="auto"/>
                    <w:bottom w:val="none" w:sz="0" w:space="0" w:color="auto"/>
                    <w:right w:val="none" w:sz="0" w:space="0" w:color="auto"/>
                  </w:divBdr>
                  <w:divsChild>
                    <w:div w:id="115036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049465">
          <w:marLeft w:val="0"/>
          <w:marRight w:val="0"/>
          <w:marTop w:val="0"/>
          <w:marBottom w:val="0"/>
          <w:divBdr>
            <w:top w:val="none" w:sz="0" w:space="0" w:color="auto"/>
            <w:left w:val="none" w:sz="0" w:space="0" w:color="auto"/>
            <w:bottom w:val="none" w:sz="0" w:space="0" w:color="auto"/>
            <w:right w:val="none" w:sz="0" w:space="0" w:color="auto"/>
          </w:divBdr>
          <w:divsChild>
            <w:div w:id="473719066">
              <w:marLeft w:val="0"/>
              <w:marRight w:val="0"/>
              <w:marTop w:val="0"/>
              <w:marBottom w:val="0"/>
              <w:divBdr>
                <w:top w:val="none" w:sz="0" w:space="0" w:color="auto"/>
                <w:left w:val="none" w:sz="0" w:space="0" w:color="auto"/>
                <w:bottom w:val="none" w:sz="0" w:space="0" w:color="auto"/>
                <w:right w:val="none" w:sz="0" w:space="0" w:color="auto"/>
              </w:divBdr>
            </w:div>
          </w:divsChild>
        </w:div>
        <w:div w:id="1072967925">
          <w:marLeft w:val="0"/>
          <w:marRight w:val="0"/>
          <w:marTop w:val="0"/>
          <w:marBottom w:val="0"/>
          <w:divBdr>
            <w:top w:val="none" w:sz="0" w:space="0" w:color="auto"/>
            <w:left w:val="none" w:sz="0" w:space="0" w:color="auto"/>
            <w:bottom w:val="none" w:sz="0" w:space="0" w:color="auto"/>
            <w:right w:val="none" w:sz="0" w:space="0" w:color="auto"/>
          </w:divBdr>
          <w:divsChild>
            <w:div w:id="65288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isotope-effec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photoperio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luminous-intensity"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oxygen-isotope-ratio" TargetMode="External"/><Relationship Id="rId10" Type="http://schemas.openxmlformats.org/officeDocument/2006/relationships/fontTable" Target="fontTable.xml"/><Relationship Id="rId4" Type="http://schemas.openxmlformats.org/officeDocument/2006/relationships/hyperlink" Target="https://doi.org/10.1016/j.gca.2005.05.018" TargetMode="External"/><Relationship Id="rId9" Type="http://schemas.openxmlformats.org/officeDocument/2006/relationships/hyperlink" Target="https://www.sciencedirect.com/topics/earth-and-planetary-sciences/carbon-isotope-rat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1556</Words>
  <Characters>8875</Characters>
  <Application>Microsoft Office Word</Application>
  <DocSecurity>0</DocSecurity>
  <Lines>73</Lines>
  <Paragraphs>20</Paragraphs>
  <ScaleCrop>false</ScaleCrop>
  <Company/>
  <LinksUpToDate>false</LinksUpToDate>
  <CharactersWithSpaces>10411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2023-11-18T00:47:00Z</dcterms:created>
  <dcterms:modified xsi:type="dcterms:W3CDTF">2023-11-18T00:48:00Z</dcterms:modified>
</cp:coreProperties>
</file>