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45833" w:rsidRPr="00045833" w:rsidRDefault="00045833" w:rsidP="00045833">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045833">
        <w:rPr>
          <w:rFonts w:ascii="Times New Roman" w:eastAsia="Times New Roman" w:hAnsi="Times New Roman" w:cs="Times New Roman"/>
          <w:b/>
          <w:bCs/>
          <w:kern w:val="36"/>
          <w:sz w:val="48"/>
          <w:szCs w:val="48"/>
        </w:rPr>
        <w:t>Annual fluctuation in the stable carbon isotope ratio of coral skeletons: The relative intensities of kinetic and metabolic isotope effects</w:t>
      </w:r>
    </w:p>
    <w:p w:rsidR="00045833" w:rsidRPr="00045833" w:rsidRDefault="00045833" w:rsidP="00045833">
      <w:pPr>
        <w:spacing w:after="0"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Author links open overlay panel</w:t>
      </w:r>
    </w:p>
    <w:p w:rsidR="00045833" w:rsidRPr="00045833" w:rsidRDefault="00045833" w:rsidP="00045833">
      <w:pPr>
        <w:spacing w:after="0"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 xml:space="preserve">, , , </w:t>
      </w:r>
    </w:p>
    <w:p w:rsidR="00045833" w:rsidRPr="00045833" w:rsidRDefault="00045833" w:rsidP="00045833">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045833">
          <w:rPr>
            <w:rFonts w:ascii="Times New Roman" w:eastAsia="Times New Roman" w:hAnsi="Times New Roman" w:cs="Times New Roman"/>
            <w:color w:val="0000FF"/>
            <w:sz w:val="24"/>
            <w:szCs w:val="24"/>
            <w:u w:val="single"/>
          </w:rPr>
          <w:t>https://doi.org/10.1016/j.gca.2004.12.018</w:t>
        </w:r>
      </w:hyperlink>
      <w:bookmarkStart w:id="0" w:name="_GoBack"/>
      <w:bookmarkEnd w:id="0"/>
      <w:r w:rsidRPr="00045833">
        <w:rPr>
          <w:rFonts w:ascii="Times New Roman" w:eastAsia="Times New Roman" w:hAnsi="Times New Roman" w:cs="Times New Roman"/>
          <w:sz w:val="24"/>
          <w:szCs w:val="24"/>
        </w:rPr>
        <w:t xml:space="preserve"> </w:t>
      </w:r>
    </w:p>
    <w:p w:rsidR="00045833" w:rsidRPr="00045833" w:rsidRDefault="00045833" w:rsidP="00045833">
      <w:pPr>
        <w:spacing w:after="0"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Referred to by</w:t>
      </w:r>
    </w:p>
    <w:p w:rsidR="00045833" w:rsidRPr="00045833" w:rsidRDefault="00045833" w:rsidP="00045833">
      <w:pPr>
        <w:spacing w:after="0" w:line="240" w:lineRule="auto"/>
        <w:rPr>
          <w:rFonts w:ascii="Times New Roman" w:eastAsia="Times New Roman" w:hAnsi="Times New Roman" w:cs="Times New Roman"/>
          <w:sz w:val="24"/>
          <w:szCs w:val="24"/>
        </w:rPr>
      </w:pPr>
      <w:hyperlink r:id="rId5" w:tooltip="Erratum to Tamano Omata, Atsushi Suzuki, Hodaka Kawahata and Mineo Okamoto (2005) “Annual fluctuation in the stable carbon isotope ratio of coral skeletons: The relative intensities of kinetic and metabolic isotope effects”, Geochimica et Cosmochimica Acta 69, 3007–3016" w:history="1">
        <w:r w:rsidRPr="00045833">
          <w:rPr>
            <w:rFonts w:ascii="Times New Roman" w:eastAsia="Times New Roman" w:hAnsi="Times New Roman" w:cs="Times New Roman"/>
            <w:color w:val="0000FF"/>
            <w:sz w:val="24"/>
            <w:szCs w:val="24"/>
            <w:u w:val="single"/>
          </w:rPr>
          <w:t xml:space="preserve">Erratum to </w:t>
        </w:r>
        <w:proofErr w:type="spellStart"/>
        <w:r w:rsidRPr="00045833">
          <w:rPr>
            <w:rFonts w:ascii="Times New Roman" w:eastAsia="Times New Roman" w:hAnsi="Times New Roman" w:cs="Times New Roman"/>
            <w:color w:val="0000FF"/>
            <w:sz w:val="24"/>
            <w:szCs w:val="24"/>
            <w:u w:val="single"/>
          </w:rPr>
          <w:t>Tamano</w:t>
        </w:r>
        <w:proofErr w:type="spellEnd"/>
        <w:r w:rsidRPr="00045833">
          <w:rPr>
            <w:rFonts w:ascii="Times New Roman" w:eastAsia="Times New Roman" w:hAnsi="Times New Roman" w:cs="Times New Roman"/>
            <w:color w:val="0000FF"/>
            <w:sz w:val="24"/>
            <w:szCs w:val="24"/>
            <w:u w:val="single"/>
          </w:rPr>
          <w:t xml:space="preserve"> </w:t>
        </w:r>
        <w:proofErr w:type="spellStart"/>
        <w:r w:rsidRPr="00045833">
          <w:rPr>
            <w:rFonts w:ascii="Times New Roman" w:eastAsia="Times New Roman" w:hAnsi="Times New Roman" w:cs="Times New Roman"/>
            <w:color w:val="0000FF"/>
            <w:sz w:val="24"/>
            <w:szCs w:val="24"/>
            <w:u w:val="single"/>
          </w:rPr>
          <w:t>Omata</w:t>
        </w:r>
        <w:proofErr w:type="spellEnd"/>
        <w:r w:rsidRPr="00045833">
          <w:rPr>
            <w:rFonts w:ascii="Times New Roman" w:eastAsia="Times New Roman" w:hAnsi="Times New Roman" w:cs="Times New Roman"/>
            <w:color w:val="0000FF"/>
            <w:sz w:val="24"/>
            <w:szCs w:val="24"/>
            <w:u w:val="single"/>
          </w:rPr>
          <w:t xml:space="preserve">, Atsushi Suzuki, </w:t>
        </w:r>
        <w:proofErr w:type="spellStart"/>
        <w:r w:rsidRPr="00045833">
          <w:rPr>
            <w:rFonts w:ascii="Times New Roman" w:eastAsia="Times New Roman" w:hAnsi="Times New Roman" w:cs="Times New Roman"/>
            <w:color w:val="0000FF"/>
            <w:sz w:val="24"/>
            <w:szCs w:val="24"/>
            <w:u w:val="single"/>
          </w:rPr>
          <w:t>Hodaka</w:t>
        </w:r>
        <w:proofErr w:type="spellEnd"/>
        <w:r w:rsidRPr="00045833">
          <w:rPr>
            <w:rFonts w:ascii="Times New Roman" w:eastAsia="Times New Roman" w:hAnsi="Times New Roman" w:cs="Times New Roman"/>
            <w:color w:val="0000FF"/>
            <w:sz w:val="24"/>
            <w:szCs w:val="24"/>
            <w:u w:val="single"/>
          </w:rPr>
          <w:t xml:space="preserve"> </w:t>
        </w:r>
        <w:proofErr w:type="spellStart"/>
        <w:r w:rsidRPr="00045833">
          <w:rPr>
            <w:rFonts w:ascii="Times New Roman" w:eastAsia="Times New Roman" w:hAnsi="Times New Roman" w:cs="Times New Roman"/>
            <w:color w:val="0000FF"/>
            <w:sz w:val="24"/>
            <w:szCs w:val="24"/>
            <w:u w:val="single"/>
          </w:rPr>
          <w:t>Kawahata</w:t>
        </w:r>
        <w:proofErr w:type="spellEnd"/>
        <w:r w:rsidRPr="00045833">
          <w:rPr>
            <w:rFonts w:ascii="Times New Roman" w:eastAsia="Times New Roman" w:hAnsi="Times New Roman" w:cs="Times New Roman"/>
            <w:color w:val="0000FF"/>
            <w:sz w:val="24"/>
            <w:szCs w:val="24"/>
            <w:u w:val="single"/>
          </w:rPr>
          <w:t xml:space="preserve"> and </w:t>
        </w:r>
        <w:proofErr w:type="spellStart"/>
        <w:r w:rsidRPr="00045833">
          <w:rPr>
            <w:rFonts w:ascii="Times New Roman" w:eastAsia="Times New Roman" w:hAnsi="Times New Roman" w:cs="Times New Roman"/>
            <w:color w:val="0000FF"/>
            <w:sz w:val="24"/>
            <w:szCs w:val="24"/>
            <w:u w:val="single"/>
          </w:rPr>
          <w:t>Mineo</w:t>
        </w:r>
        <w:proofErr w:type="spellEnd"/>
        <w:r w:rsidRPr="00045833">
          <w:rPr>
            <w:rFonts w:ascii="Times New Roman" w:eastAsia="Times New Roman" w:hAnsi="Times New Roman" w:cs="Times New Roman"/>
            <w:color w:val="0000FF"/>
            <w:sz w:val="24"/>
            <w:szCs w:val="24"/>
            <w:u w:val="single"/>
          </w:rPr>
          <w:t xml:space="preserve"> Okamoto (2005) “Annual fluctuation in the stable carbon isotope ratio of coral skeletons: The relative intensities of kinetic and metabolic isotope effects”, </w:t>
        </w:r>
        <w:proofErr w:type="spellStart"/>
        <w:r w:rsidRPr="00045833">
          <w:rPr>
            <w:rFonts w:ascii="Times New Roman" w:eastAsia="Times New Roman" w:hAnsi="Times New Roman" w:cs="Times New Roman"/>
            <w:i/>
            <w:iCs/>
            <w:color w:val="0000FF"/>
            <w:sz w:val="24"/>
            <w:szCs w:val="24"/>
            <w:u w:val="single"/>
          </w:rPr>
          <w:t>Geochimica</w:t>
        </w:r>
        <w:proofErr w:type="spellEnd"/>
        <w:r w:rsidRPr="00045833">
          <w:rPr>
            <w:rFonts w:ascii="Times New Roman" w:eastAsia="Times New Roman" w:hAnsi="Times New Roman" w:cs="Times New Roman"/>
            <w:i/>
            <w:iCs/>
            <w:color w:val="0000FF"/>
            <w:sz w:val="24"/>
            <w:szCs w:val="24"/>
            <w:u w:val="single"/>
          </w:rPr>
          <w:t xml:space="preserve"> et </w:t>
        </w:r>
        <w:proofErr w:type="spellStart"/>
        <w:r w:rsidRPr="00045833">
          <w:rPr>
            <w:rFonts w:ascii="Times New Roman" w:eastAsia="Times New Roman" w:hAnsi="Times New Roman" w:cs="Times New Roman"/>
            <w:i/>
            <w:iCs/>
            <w:color w:val="0000FF"/>
            <w:sz w:val="24"/>
            <w:szCs w:val="24"/>
            <w:u w:val="single"/>
          </w:rPr>
          <w:t>Cosmochimica</w:t>
        </w:r>
        <w:proofErr w:type="spellEnd"/>
        <w:r w:rsidRPr="00045833">
          <w:rPr>
            <w:rFonts w:ascii="Times New Roman" w:eastAsia="Times New Roman" w:hAnsi="Times New Roman" w:cs="Times New Roman"/>
            <w:i/>
            <w:iCs/>
            <w:color w:val="0000FF"/>
            <w:sz w:val="24"/>
            <w:szCs w:val="24"/>
            <w:u w:val="single"/>
          </w:rPr>
          <w:t xml:space="preserve"> Acta</w:t>
        </w:r>
        <w:r w:rsidRPr="00045833">
          <w:rPr>
            <w:rFonts w:ascii="Times New Roman" w:eastAsia="Times New Roman" w:hAnsi="Times New Roman" w:cs="Times New Roman"/>
            <w:color w:val="0000FF"/>
            <w:sz w:val="24"/>
            <w:szCs w:val="24"/>
            <w:u w:val="single"/>
          </w:rPr>
          <w:t xml:space="preserve"> 69, 3007–3016</w:t>
        </w:r>
      </w:hyperlink>
    </w:p>
    <w:p w:rsidR="00045833" w:rsidRPr="00045833" w:rsidRDefault="00045833" w:rsidP="00045833">
      <w:pPr>
        <w:spacing w:after="0" w:line="240" w:lineRule="auto"/>
        <w:rPr>
          <w:rFonts w:ascii="Times New Roman" w:eastAsia="Times New Roman" w:hAnsi="Times New Roman" w:cs="Times New Roman"/>
          <w:sz w:val="24"/>
          <w:szCs w:val="24"/>
        </w:rPr>
      </w:pPr>
      <w:proofErr w:type="spellStart"/>
      <w:r w:rsidRPr="00045833">
        <w:rPr>
          <w:rFonts w:ascii="Times New Roman" w:eastAsia="Times New Roman" w:hAnsi="Times New Roman" w:cs="Times New Roman"/>
          <w:sz w:val="24"/>
          <w:szCs w:val="24"/>
        </w:rPr>
        <w:t>Geochimica</w:t>
      </w:r>
      <w:proofErr w:type="spellEnd"/>
      <w:r w:rsidRPr="00045833">
        <w:rPr>
          <w:rFonts w:ascii="Times New Roman" w:eastAsia="Times New Roman" w:hAnsi="Times New Roman" w:cs="Times New Roman"/>
          <w:sz w:val="24"/>
          <w:szCs w:val="24"/>
        </w:rPr>
        <w:t xml:space="preserve"> et </w:t>
      </w:r>
      <w:proofErr w:type="spellStart"/>
      <w:r w:rsidRPr="00045833">
        <w:rPr>
          <w:rFonts w:ascii="Times New Roman" w:eastAsia="Times New Roman" w:hAnsi="Times New Roman" w:cs="Times New Roman"/>
          <w:sz w:val="24"/>
          <w:szCs w:val="24"/>
        </w:rPr>
        <w:t>Cosmochimica</w:t>
      </w:r>
      <w:proofErr w:type="spellEnd"/>
      <w:r w:rsidRPr="00045833">
        <w:rPr>
          <w:rFonts w:ascii="Times New Roman" w:eastAsia="Times New Roman" w:hAnsi="Times New Roman" w:cs="Times New Roman"/>
          <w:sz w:val="24"/>
          <w:szCs w:val="24"/>
        </w:rPr>
        <w:t xml:space="preserve"> Acta, Volume 69, Issue 23, 1 December 2005, Pages 5627</w:t>
      </w:r>
    </w:p>
    <w:p w:rsidR="00045833" w:rsidRPr="00045833" w:rsidRDefault="00045833" w:rsidP="00045833">
      <w:pPr>
        <w:spacing w:after="0"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 xml:space="preserve">Frank A. </w:t>
      </w:r>
      <w:proofErr w:type="spellStart"/>
      <w:r w:rsidRPr="00045833">
        <w:rPr>
          <w:rFonts w:ascii="Times New Roman" w:eastAsia="Times New Roman" w:hAnsi="Times New Roman" w:cs="Times New Roman"/>
          <w:sz w:val="24"/>
          <w:szCs w:val="24"/>
        </w:rPr>
        <w:t>Podosek</w:t>
      </w:r>
      <w:proofErr w:type="spellEnd"/>
    </w:p>
    <w:p w:rsidR="00045833" w:rsidRPr="00045833" w:rsidRDefault="00045833" w:rsidP="00045833">
      <w:pPr>
        <w:spacing w:after="0" w:line="240" w:lineRule="auto"/>
        <w:rPr>
          <w:rFonts w:ascii="Times New Roman" w:eastAsia="Times New Roman" w:hAnsi="Times New Roman" w:cs="Times New Roman"/>
          <w:sz w:val="24"/>
          <w:szCs w:val="24"/>
        </w:rPr>
      </w:pPr>
      <w:hyperlink r:id="rId6" w:tgtFrame="_blank" w:history="1">
        <w:r w:rsidRPr="00045833">
          <w:rPr>
            <w:rFonts w:ascii="Times New Roman" w:eastAsia="Times New Roman" w:hAnsi="Times New Roman" w:cs="Times New Roman"/>
            <w:color w:val="0000FF"/>
            <w:sz w:val="24"/>
            <w:szCs w:val="24"/>
            <w:u w:val="single"/>
          </w:rPr>
          <w:t>View PDF</w:t>
        </w:r>
      </w:hyperlink>
    </w:p>
    <w:p w:rsidR="00045833" w:rsidRPr="00045833" w:rsidRDefault="00045833" w:rsidP="00045833">
      <w:pPr>
        <w:spacing w:before="100" w:beforeAutospacing="1" w:after="100" w:afterAutospacing="1" w:line="240" w:lineRule="auto"/>
        <w:outlineLvl w:val="1"/>
        <w:rPr>
          <w:rFonts w:ascii="Times New Roman" w:eastAsia="Times New Roman" w:hAnsi="Times New Roman" w:cs="Times New Roman"/>
          <w:b/>
          <w:bCs/>
          <w:sz w:val="36"/>
          <w:szCs w:val="36"/>
        </w:rPr>
      </w:pPr>
      <w:r w:rsidRPr="00045833">
        <w:rPr>
          <w:rFonts w:ascii="Times New Roman" w:eastAsia="Times New Roman" w:hAnsi="Times New Roman" w:cs="Times New Roman"/>
          <w:b/>
          <w:bCs/>
          <w:sz w:val="36"/>
          <w:szCs w:val="36"/>
        </w:rPr>
        <w:t>Abstract</w:t>
      </w:r>
    </w:p>
    <w:p w:rsidR="00045833" w:rsidRPr="00045833" w:rsidRDefault="00045833" w:rsidP="00045833">
      <w:pPr>
        <w:spacing w:before="100" w:beforeAutospacing="1" w:after="100" w:afterAutospacing="1"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 xml:space="preserve">Stable carbon and oxygen isotope measurements of biogenic carbonate provide information for reconstructing past oceanic environments. In particular, </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w:t>
      </w:r>
      <w:r w:rsidRPr="00045833">
        <w:rPr>
          <w:rFonts w:ascii="Times New Roman" w:eastAsia="Times New Roman" w:hAnsi="Times New Roman" w:cs="Times New Roman"/>
          <w:sz w:val="24"/>
          <w:szCs w:val="24"/>
          <w:vertAlign w:val="superscript"/>
        </w:rPr>
        <w:t>16</w:t>
      </w:r>
      <w:r w:rsidRPr="00045833">
        <w:rPr>
          <w:rFonts w:ascii="Times New Roman" w:eastAsia="Times New Roman" w:hAnsi="Times New Roman" w:cs="Times New Roman"/>
          <w:sz w:val="24"/>
          <w:szCs w:val="24"/>
        </w:rPr>
        <w:t xml:space="preserve">O ratios correlate with the temperature and </w:t>
      </w:r>
      <w:hyperlink r:id="rId7" w:tooltip="Learn more about salinity from ScienceDirect's AI-generated Topic Pages" w:history="1">
        <w:r w:rsidRPr="00045833">
          <w:rPr>
            <w:rFonts w:ascii="Times New Roman" w:eastAsia="Times New Roman" w:hAnsi="Times New Roman" w:cs="Times New Roman"/>
            <w:color w:val="0000FF"/>
            <w:sz w:val="24"/>
            <w:szCs w:val="24"/>
            <w:u w:val="single"/>
          </w:rPr>
          <w:t>salinity</w:t>
        </w:r>
      </w:hyperlink>
      <w:r w:rsidRPr="00045833">
        <w:rPr>
          <w:rFonts w:ascii="Times New Roman" w:eastAsia="Times New Roman" w:hAnsi="Times New Roman" w:cs="Times New Roman"/>
          <w:sz w:val="24"/>
          <w:szCs w:val="24"/>
        </w:rPr>
        <w:t xml:space="preserve"> of seawater and </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w:t>
      </w:r>
      <w:r w:rsidRPr="00045833">
        <w:rPr>
          <w:rFonts w:ascii="Times New Roman" w:eastAsia="Times New Roman" w:hAnsi="Times New Roman" w:cs="Times New Roman"/>
          <w:sz w:val="24"/>
          <w:szCs w:val="24"/>
          <w:vertAlign w:val="superscript"/>
        </w:rPr>
        <w:t>12</w:t>
      </w:r>
      <w:r w:rsidRPr="00045833">
        <w:rPr>
          <w:rFonts w:ascii="Times New Roman" w:eastAsia="Times New Roman" w:hAnsi="Times New Roman" w:cs="Times New Roman"/>
          <w:sz w:val="24"/>
          <w:szCs w:val="24"/>
        </w:rPr>
        <w:t xml:space="preserve">C is a proxy for </w:t>
      </w:r>
      <w:hyperlink r:id="rId8" w:tooltip="Learn more about dissolved inorganic carbon from ScienceDirect's AI-generated Topic Pages" w:history="1">
        <w:r w:rsidRPr="00045833">
          <w:rPr>
            <w:rFonts w:ascii="Times New Roman" w:eastAsia="Times New Roman" w:hAnsi="Times New Roman" w:cs="Times New Roman"/>
            <w:color w:val="0000FF"/>
            <w:sz w:val="24"/>
            <w:szCs w:val="24"/>
            <w:u w:val="single"/>
          </w:rPr>
          <w:t>dissolved inorganic carbon</w:t>
        </w:r>
      </w:hyperlink>
      <w:r w:rsidRPr="00045833">
        <w:rPr>
          <w:rFonts w:ascii="Times New Roman" w:eastAsia="Times New Roman" w:hAnsi="Times New Roman" w:cs="Times New Roman"/>
          <w:sz w:val="24"/>
          <w:szCs w:val="24"/>
        </w:rPr>
        <w:t xml:space="preserve"> in seawater and symbiont photosynthesis. Here, we report </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w:t>
      </w:r>
      <w:r w:rsidRPr="00045833">
        <w:rPr>
          <w:rFonts w:ascii="Times New Roman" w:eastAsia="Times New Roman" w:hAnsi="Times New Roman" w:cs="Times New Roman"/>
          <w:sz w:val="24"/>
          <w:szCs w:val="24"/>
          <w:vertAlign w:val="superscript"/>
        </w:rPr>
        <w:t>12</w:t>
      </w:r>
      <w:r w:rsidRPr="00045833">
        <w:rPr>
          <w:rFonts w:ascii="Times New Roman" w:eastAsia="Times New Roman" w:hAnsi="Times New Roman" w:cs="Times New Roman"/>
          <w:sz w:val="24"/>
          <w:szCs w:val="24"/>
        </w:rPr>
        <w:t xml:space="preserve">C and </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w:t>
      </w:r>
      <w:r w:rsidRPr="00045833">
        <w:rPr>
          <w:rFonts w:ascii="Times New Roman" w:eastAsia="Times New Roman" w:hAnsi="Times New Roman" w:cs="Times New Roman"/>
          <w:sz w:val="24"/>
          <w:szCs w:val="24"/>
          <w:vertAlign w:val="superscript"/>
        </w:rPr>
        <w:t>16</w:t>
      </w:r>
      <w:r w:rsidRPr="00045833">
        <w:rPr>
          <w:rFonts w:ascii="Times New Roman" w:eastAsia="Times New Roman" w:hAnsi="Times New Roman" w:cs="Times New Roman"/>
          <w:sz w:val="24"/>
          <w:szCs w:val="24"/>
        </w:rPr>
        <w:t xml:space="preserve">O values for skeletons of corals (genus </w:t>
      </w:r>
      <w:r w:rsidRPr="00045833">
        <w:rPr>
          <w:rFonts w:ascii="Times New Roman" w:eastAsia="Times New Roman" w:hAnsi="Times New Roman" w:cs="Times New Roman"/>
          <w:i/>
          <w:iCs/>
          <w:sz w:val="24"/>
          <w:szCs w:val="24"/>
        </w:rPr>
        <w:t>Porites</w:t>
      </w:r>
      <w:r w:rsidRPr="00045833">
        <w:rPr>
          <w:rFonts w:ascii="Times New Roman" w:eastAsia="Times New Roman" w:hAnsi="Times New Roman" w:cs="Times New Roman"/>
          <w:sz w:val="24"/>
          <w:szCs w:val="24"/>
        </w:rPr>
        <w:t xml:space="preserve">) with various growth rates. In faster-growing corals, </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w:t>
      </w:r>
      <w:r w:rsidRPr="00045833">
        <w:rPr>
          <w:rFonts w:ascii="Times New Roman" w:eastAsia="Times New Roman" w:hAnsi="Times New Roman" w:cs="Times New Roman"/>
          <w:sz w:val="24"/>
          <w:szCs w:val="24"/>
          <w:vertAlign w:val="superscript"/>
        </w:rPr>
        <w:t>12</w:t>
      </w:r>
      <w:r w:rsidRPr="00045833">
        <w:rPr>
          <w:rFonts w:ascii="Times New Roman" w:eastAsia="Times New Roman" w:hAnsi="Times New Roman" w:cs="Times New Roman"/>
          <w:sz w:val="24"/>
          <w:szCs w:val="24"/>
        </w:rPr>
        <w:t xml:space="preserve">C and </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w:t>
      </w:r>
      <w:r w:rsidRPr="00045833">
        <w:rPr>
          <w:rFonts w:ascii="Times New Roman" w:eastAsia="Times New Roman" w:hAnsi="Times New Roman" w:cs="Times New Roman"/>
          <w:sz w:val="24"/>
          <w:szCs w:val="24"/>
          <w:vertAlign w:val="superscript"/>
        </w:rPr>
        <w:t>16</w:t>
      </w:r>
      <w:r w:rsidRPr="00045833">
        <w:rPr>
          <w:rFonts w:ascii="Times New Roman" w:eastAsia="Times New Roman" w:hAnsi="Times New Roman" w:cs="Times New Roman"/>
          <w:sz w:val="24"/>
          <w:szCs w:val="24"/>
        </w:rPr>
        <w:t xml:space="preserve">O showed out-of-phase annual fluctuations. In slower-growing corals, the isotopes fluctuated in phase. We developed a simple vector notation to show two patterns of </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w:t>
      </w:r>
      <w:r w:rsidRPr="00045833">
        <w:rPr>
          <w:rFonts w:ascii="Times New Roman" w:eastAsia="Times New Roman" w:hAnsi="Times New Roman" w:cs="Times New Roman"/>
          <w:sz w:val="24"/>
          <w:szCs w:val="24"/>
          <w:vertAlign w:val="superscript"/>
        </w:rPr>
        <w:t>12</w:t>
      </w:r>
      <w:r w:rsidRPr="00045833">
        <w:rPr>
          <w:rFonts w:ascii="Times New Roman" w:eastAsia="Times New Roman" w:hAnsi="Times New Roman" w:cs="Times New Roman"/>
          <w:sz w:val="24"/>
          <w:szCs w:val="24"/>
        </w:rPr>
        <w:t xml:space="preserve">C annual fluctuation, each with a different offset in relation to </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w:t>
      </w:r>
      <w:r w:rsidRPr="00045833">
        <w:rPr>
          <w:rFonts w:ascii="Times New Roman" w:eastAsia="Times New Roman" w:hAnsi="Times New Roman" w:cs="Times New Roman"/>
          <w:sz w:val="24"/>
          <w:szCs w:val="24"/>
          <w:vertAlign w:val="superscript"/>
        </w:rPr>
        <w:t>16</w:t>
      </w:r>
      <w:r w:rsidRPr="00045833">
        <w:rPr>
          <w:rFonts w:ascii="Times New Roman" w:eastAsia="Times New Roman" w:hAnsi="Times New Roman" w:cs="Times New Roman"/>
          <w:sz w:val="24"/>
          <w:szCs w:val="24"/>
        </w:rPr>
        <w:t xml:space="preserve">O annual fluctuation. The phase offset between </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w:t>
      </w:r>
      <w:r w:rsidRPr="00045833">
        <w:rPr>
          <w:rFonts w:ascii="Times New Roman" w:eastAsia="Times New Roman" w:hAnsi="Times New Roman" w:cs="Times New Roman"/>
          <w:sz w:val="24"/>
          <w:szCs w:val="24"/>
          <w:vertAlign w:val="superscript"/>
        </w:rPr>
        <w:t>12</w:t>
      </w:r>
      <w:r w:rsidRPr="00045833">
        <w:rPr>
          <w:rFonts w:ascii="Times New Roman" w:eastAsia="Times New Roman" w:hAnsi="Times New Roman" w:cs="Times New Roman"/>
          <w:sz w:val="24"/>
          <w:szCs w:val="24"/>
        </w:rPr>
        <w:t xml:space="preserve">C and </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w:t>
      </w:r>
      <w:r w:rsidRPr="00045833">
        <w:rPr>
          <w:rFonts w:ascii="Times New Roman" w:eastAsia="Times New Roman" w:hAnsi="Times New Roman" w:cs="Times New Roman"/>
          <w:sz w:val="24"/>
          <w:szCs w:val="24"/>
          <w:vertAlign w:val="superscript"/>
        </w:rPr>
        <w:t>16</w:t>
      </w:r>
      <w:r w:rsidRPr="00045833">
        <w:rPr>
          <w:rFonts w:ascii="Times New Roman" w:eastAsia="Times New Roman" w:hAnsi="Times New Roman" w:cs="Times New Roman"/>
          <w:sz w:val="24"/>
          <w:szCs w:val="24"/>
        </w:rPr>
        <w:t xml:space="preserve">O annual fluctuations depends on the relative intensities of kinetic </w:t>
      </w:r>
      <w:hyperlink r:id="rId9" w:tooltip="Learn more about isotope effects from ScienceDirect's AI-generated Topic Pages" w:history="1">
        <w:r w:rsidRPr="00045833">
          <w:rPr>
            <w:rFonts w:ascii="Times New Roman" w:eastAsia="Times New Roman" w:hAnsi="Times New Roman" w:cs="Times New Roman"/>
            <w:color w:val="0000FF"/>
            <w:sz w:val="24"/>
            <w:szCs w:val="24"/>
            <w:u w:val="single"/>
          </w:rPr>
          <w:t>isotope effects</w:t>
        </w:r>
      </w:hyperlink>
      <w:r w:rsidRPr="00045833">
        <w:rPr>
          <w:rFonts w:ascii="Times New Roman" w:eastAsia="Times New Roman" w:hAnsi="Times New Roman" w:cs="Times New Roman"/>
          <w:sz w:val="24"/>
          <w:szCs w:val="24"/>
        </w:rPr>
        <w:t xml:space="preserve"> on calcification and metabolic isotope effects such as photosynthesis. This model might improve our ability to infer past climate and oceanographic conditions from coral skeletons.</w:t>
      </w:r>
    </w:p>
    <w:p w:rsidR="00045833" w:rsidRPr="00045833" w:rsidRDefault="00045833" w:rsidP="00045833">
      <w:pPr>
        <w:spacing w:before="100" w:beforeAutospacing="1" w:after="100" w:afterAutospacing="1" w:line="240" w:lineRule="auto"/>
        <w:outlineLvl w:val="1"/>
        <w:rPr>
          <w:rFonts w:ascii="Times New Roman" w:eastAsia="Times New Roman" w:hAnsi="Times New Roman" w:cs="Times New Roman"/>
          <w:b/>
          <w:bCs/>
          <w:sz w:val="36"/>
          <w:szCs w:val="36"/>
        </w:rPr>
      </w:pPr>
      <w:r w:rsidRPr="00045833">
        <w:rPr>
          <w:rFonts w:ascii="Times New Roman" w:eastAsia="Times New Roman" w:hAnsi="Times New Roman" w:cs="Times New Roman"/>
          <w:b/>
          <w:bCs/>
          <w:sz w:val="36"/>
          <w:szCs w:val="36"/>
        </w:rPr>
        <w:t>Introduction</w:t>
      </w:r>
    </w:p>
    <w:p w:rsidR="00045833" w:rsidRPr="00045833" w:rsidRDefault="00045833" w:rsidP="00045833">
      <w:pPr>
        <w:spacing w:before="100" w:beforeAutospacing="1" w:after="100" w:afterAutospacing="1"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Carbon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and oxygen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 xml:space="preserve">O) isotope ratios of biogenic carbonate are widely measured and discussed as environmental proxies. Biogenic carbonate contains less of the heavy isotopes such as </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 xml:space="preserve">O and </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than expected for isotopic equilibrium with ambient seawater. The fractionation processes give paleoenvironmental information. In biogenic carbonate,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 is known to be controlled mainly by seawater temperature and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 of seawater, which in turn is correlated with salinity (Epstein et al 1953, Cole et al 1993). In some oceanic settings, annual fluctuations of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 in coral skeletons relate to seawater temperature, with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 xml:space="preserve">O depletion associated with higher temperatures (Weber and Woodhead 1972, </w:t>
      </w:r>
      <w:proofErr w:type="spellStart"/>
      <w:r w:rsidRPr="00045833">
        <w:rPr>
          <w:rFonts w:ascii="Times New Roman" w:eastAsia="Times New Roman" w:hAnsi="Times New Roman" w:cs="Times New Roman"/>
          <w:sz w:val="24"/>
          <w:szCs w:val="24"/>
        </w:rPr>
        <w:t>Gagan</w:t>
      </w:r>
      <w:proofErr w:type="spellEnd"/>
      <w:r w:rsidRPr="00045833">
        <w:rPr>
          <w:rFonts w:ascii="Times New Roman" w:eastAsia="Times New Roman" w:hAnsi="Times New Roman" w:cs="Times New Roman"/>
          <w:sz w:val="24"/>
          <w:szCs w:val="24"/>
        </w:rPr>
        <w:t xml:space="preserve"> et al 1994). In oceanic settings with little temperature variation,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 in coral skeletons can vary with salinity and the hydrological cycle (Fairbanks et al., 1997). In contrast, interpretation of the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record in coral skeletons is more problematic (</w:t>
      </w:r>
      <w:proofErr w:type="spellStart"/>
      <w:r w:rsidRPr="00045833">
        <w:rPr>
          <w:rFonts w:ascii="Times New Roman" w:eastAsia="Times New Roman" w:hAnsi="Times New Roman" w:cs="Times New Roman"/>
          <w:sz w:val="24"/>
          <w:szCs w:val="24"/>
        </w:rPr>
        <w:t>Swart</w:t>
      </w:r>
      <w:proofErr w:type="spellEnd"/>
      <w:r w:rsidRPr="00045833">
        <w:rPr>
          <w:rFonts w:ascii="Times New Roman" w:eastAsia="Times New Roman" w:hAnsi="Times New Roman" w:cs="Times New Roman"/>
          <w:sz w:val="24"/>
          <w:szCs w:val="24"/>
        </w:rPr>
        <w:t xml:space="preserve"> et al 1996, </w:t>
      </w:r>
      <w:proofErr w:type="spellStart"/>
      <w:r w:rsidRPr="00045833">
        <w:rPr>
          <w:rFonts w:ascii="Times New Roman" w:eastAsia="Times New Roman" w:hAnsi="Times New Roman" w:cs="Times New Roman"/>
          <w:sz w:val="24"/>
          <w:szCs w:val="24"/>
        </w:rPr>
        <w:t>Leder</w:t>
      </w:r>
      <w:proofErr w:type="spellEnd"/>
      <w:r w:rsidRPr="00045833">
        <w:rPr>
          <w:rFonts w:ascii="Times New Roman" w:eastAsia="Times New Roman" w:hAnsi="Times New Roman" w:cs="Times New Roman"/>
          <w:sz w:val="24"/>
          <w:szCs w:val="24"/>
        </w:rPr>
        <w:t xml:space="preserve"> et al 1996). In many locations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shows an annual cyclic fluctuation, which has been interpreted in two ways: (1) One hypothesis is that the coral’s algal symbiont preferentially takes up the light carbon isotope during photosynthesis, leading to heavy isotope (</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 xml:space="preserve">C) enrichment of the internal dissolved inorganic carbon pool of corals (Fairbanks and </w:t>
      </w:r>
      <w:r w:rsidRPr="00045833">
        <w:rPr>
          <w:rFonts w:ascii="Times New Roman" w:eastAsia="Times New Roman" w:hAnsi="Times New Roman" w:cs="Times New Roman"/>
          <w:sz w:val="24"/>
          <w:szCs w:val="24"/>
        </w:rPr>
        <w:lastRenderedPageBreak/>
        <w:t xml:space="preserve">Dodge 1979, </w:t>
      </w:r>
      <w:proofErr w:type="spellStart"/>
      <w:r w:rsidRPr="00045833">
        <w:rPr>
          <w:rFonts w:ascii="Times New Roman" w:eastAsia="Times New Roman" w:hAnsi="Times New Roman" w:cs="Times New Roman"/>
          <w:sz w:val="24"/>
          <w:szCs w:val="24"/>
        </w:rPr>
        <w:t>McConnaughey</w:t>
      </w:r>
      <w:proofErr w:type="spellEnd"/>
      <w:r w:rsidRPr="00045833">
        <w:rPr>
          <w:rFonts w:ascii="Times New Roman" w:eastAsia="Times New Roman" w:hAnsi="Times New Roman" w:cs="Times New Roman"/>
          <w:sz w:val="24"/>
          <w:szCs w:val="24"/>
        </w:rPr>
        <w:t xml:space="preserve"> 1989a, Weber et al 1976). During the warmer summer, a period of active photosynthesis,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maxima and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 minima in coral skeletons would therefore occur together at locations where the seasonal coral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 cycle is temperature controlled. (2) Alternatively, CO</w:t>
      </w:r>
      <w:r w:rsidRPr="00045833">
        <w:rPr>
          <w:rFonts w:ascii="Times New Roman" w:eastAsia="Times New Roman" w:hAnsi="Times New Roman" w:cs="Times New Roman"/>
          <w:sz w:val="24"/>
          <w:szCs w:val="24"/>
          <w:vertAlign w:val="subscript"/>
        </w:rPr>
        <w:t>2</w:t>
      </w:r>
      <w:r w:rsidRPr="00045833">
        <w:rPr>
          <w:rFonts w:ascii="Times New Roman" w:eastAsia="Times New Roman" w:hAnsi="Times New Roman" w:cs="Times New Roman"/>
          <w:sz w:val="24"/>
          <w:szCs w:val="24"/>
        </w:rPr>
        <w:t xml:space="preserve"> depleted in </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may be incorporated into the skeletons during periods of active photosynthesis (</w:t>
      </w:r>
      <w:proofErr w:type="spellStart"/>
      <w:r w:rsidRPr="00045833">
        <w:rPr>
          <w:rFonts w:ascii="Times New Roman" w:eastAsia="Times New Roman" w:hAnsi="Times New Roman" w:cs="Times New Roman"/>
          <w:sz w:val="24"/>
          <w:szCs w:val="24"/>
        </w:rPr>
        <w:t>Erez</w:t>
      </w:r>
      <w:proofErr w:type="spellEnd"/>
      <w:r w:rsidRPr="00045833">
        <w:rPr>
          <w:rFonts w:ascii="Times New Roman" w:eastAsia="Times New Roman" w:hAnsi="Times New Roman" w:cs="Times New Roman"/>
          <w:sz w:val="24"/>
          <w:szCs w:val="24"/>
        </w:rPr>
        <w:t xml:space="preserve">, 1978). </w:t>
      </w:r>
      <w:proofErr w:type="spellStart"/>
      <w:r w:rsidRPr="00045833">
        <w:rPr>
          <w:rFonts w:ascii="Times New Roman" w:eastAsia="Times New Roman" w:hAnsi="Times New Roman" w:cs="Times New Roman"/>
          <w:sz w:val="24"/>
          <w:szCs w:val="24"/>
        </w:rPr>
        <w:t>Swart</w:t>
      </w:r>
      <w:proofErr w:type="spellEnd"/>
      <w:r w:rsidRPr="00045833">
        <w:rPr>
          <w:rFonts w:ascii="Times New Roman" w:eastAsia="Times New Roman" w:hAnsi="Times New Roman" w:cs="Times New Roman"/>
          <w:sz w:val="24"/>
          <w:szCs w:val="24"/>
        </w:rPr>
        <w:t xml:space="preserve"> et al. (1996) documented that cyclic fluctuations of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and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 xml:space="preserve">O in the common massive coral, </w:t>
      </w:r>
      <w:proofErr w:type="spellStart"/>
      <w:r w:rsidRPr="00045833">
        <w:rPr>
          <w:rFonts w:ascii="Times New Roman" w:eastAsia="Times New Roman" w:hAnsi="Times New Roman" w:cs="Times New Roman"/>
          <w:i/>
          <w:iCs/>
          <w:sz w:val="24"/>
          <w:szCs w:val="24"/>
        </w:rPr>
        <w:t>Montastarea</w:t>
      </w:r>
      <w:proofErr w:type="spellEnd"/>
      <w:r w:rsidRPr="00045833">
        <w:rPr>
          <w:rFonts w:ascii="Times New Roman" w:eastAsia="Times New Roman" w:hAnsi="Times New Roman" w:cs="Times New Roman"/>
          <w:i/>
          <w:iCs/>
          <w:sz w:val="24"/>
          <w:szCs w:val="24"/>
        </w:rPr>
        <w:t xml:space="preserve"> </w:t>
      </w:r>
      <w:proofErr w:type="spellStart"/>
      <w:r w:rsidRPr="00045833">
        <w:rPr>
          <w:rFonts w:ascii="Times New Roman" w:eastAsia="Times New Roman" w:hAnsi="Times New Roman" w:cs="Times New Roman"/>
          <w:i/>
          <w:iCs/>
          <w:sz w:val="24"/>
          <w:szCs w:val="24"/>
        </w:rPr>
        <w:t>annularis</w:t>
      </w:r>
      <w:proofErr w:type="spellEnd"/>
      <w:r w:rsidRPr="00045833">
        <w:rPr>
          <w:rFonts w:ascii="Times New Roman" w:eastAsia="Times New Roman" w:hAnsi="Times New Roman" w:cs="Times New Roman"/>
          <w:sz w:val="24"/>
          <w:szCs w:val="24"/>
        </w:rPr>
        <w:t>, are in phase, indicating that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is inversely correlated with more active photosynthesis. They concluded that the data support the second hypothesis. Although most studies support the first hypothesis (</w:t>
      </w:r>
      <w:proofErr w:type="spellStart"/>
      <w:r w:rsidRPr="00045833">
        <w:rPr>
          <w:rFonts w:ascii="Times New Roman" w:eastAsia="Times New Roman" w:hAnsi="Times New Roman" w:cs="Times New Roman"/>
          <w:sz w:val="24"/>
          <w:szCs w:val="24"/>
        </w:rPr>
        <w:t>Grottoli</w:t>
      </w:r>
      <w:proofErr w:type="spellEnd"/>
      <w:r w:rsidRPr="00045833">
        <w:rPr>
          <w:rFonts w:ascii="Times New Roman" w:eastAsia="Times New Roman" w:hAnsi="Times New Roman" w:cs="Times New Roman"/>
          <w:sz w:val="24"/>
          <w:szCs w:val="24"/>
        </w:rPr>
        <w:t>, 1999), the factors controlling variation in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are still debated. Because the “kinetic isotope effects” sometimes superimpose on the effect of photosynthesis (</w:t>
      </w:r>
      <w:proofErr w:type="spellStart"/>
      <w:r w:rsidRPr="00045833">
        <w:rPr>
          <w:rFonts w:ascii="Times New Roman" w:eastAsia="Times New Roman" w:hAnsi="Times New Roman" w:cs="Times New Roman"/>
          <w:sz w:val="24"/>
          <w:szCs w:val="24"/>
        </w:rPr>
        <w:t>McConnaughey</w:t>
      </w:r>
      <w:proofErr w:type="spellEnd"/>
      <w:r w:rsidRPr="00045833">
        <w:rPr>
          <w:rFonts w:ascii="Times New Roman" w:eastAsia="Times New Roman" w:hAnsi="Times New Roman" w:cs="Times New Roman"/>
          <w:sz w:val="24"/>
          <w:szCs w:val="24"/>
        </w:rPr>
        <w:t xml:space="preserve"> 1989a, </w:t>
      </w:r>
      <w:proofErr w:type="spellStart"/>
      <w:r w:rsidRPr="00045833">
        <w:rPr>
          <w:rFonts w:ascii="Times New Roman" w:eastAsia="Times New Roman" w:hAnsi="Times New Roman" w:cs="Times New Roman"/>
          <w:sz w:val="24"/>
          <w:szCs w:val="24"/>
        </w:rPr>
        <w:t>McConnaughey</w:t>
      </w:r>
      <w:proofErr w:type="spellEnd"/>
      <w:r w:rsidRPr="00045833">
        <w:rPr>
          <w:rFonts w:ascii="Times New Roman" w:eastAsia="Times New Roman" w:hAnsi="Times New Roman" w:cs="Times New Roman"/>
          <w:sz w:val="24"/>
          <w:szCs w:val="24"/>
        </w:rPr>
        <w:t xml:space="preserve"> 1989b), it is difficult to estimate how photosynthetic activity, the “metabolic isotope effects,” controls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variations. In this study, we focused on correlations and phase offsets between annual variation in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and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 xml:space="preserve">O in coral skeletons of </w:t>
      </w:r>
      <w:r w:rsidRPr="00045833">
        <w:rPr>
          <w:rFonts w:ascii="Times New Roman" w:eastAsia="Times New Roman" w:hAnsi="Times New Roman" w:cs="Times New Roman"/>
          <w:i/>
          <w:iCs/>
          <w:sz w:val="24"/>
          <w:szCs w:val="24"/>
        </w:rPr>
        <w:t>Porites</w:t>
      </w:r>
      <w:r w:rsidRPr="00045833">
        <w:rPr>
          <w:rFonts w:ascii="Times New Roman" w:eastAsia="Times New Roman" w:hAnsi="Times New Roman" w:cs="Times New Roman"/>
          <w:sz w:val="24"/>
          <w:szCs w:val="24"/>
        </w:rPr>
        <w:t xml:space="preserve"> spp., which has been investigated widely to establish the coral-based paleoclimatology of the Indo-Pacific region. This was achieved through examination of the isotopic variations in a set of coral cores with different growth rates.</w:t>
      </w:r>
    </w:p>
    <w:p w:rsidR="00045833" w:rsidRPr="00045833" w:rsidRDefault="00045833" w:rsidP="00045833">
      <w:pPr>
        <w:spacing w:before="100" w:beforeAutospacing="1" w:after="100" w:afterAutospacing="1" w:line="240" w:lineRule="auto"/>
        <w:outlineLvl w:val="1"/>
        <w:rPr>
          <w:rFonts w:ascii="Times New Roman" w:eastAsia="Times New Roman" w:hAnsi="Times New Roman" w:cs="Times New Roman"/>
          <w:b/>
          <w:bCs/>
          <w:sz w:val="36"/>
          <w:szCs w:val="36"/>
        </w:rPr>
      </w:pPr>
      <w:r w:rsidRPr="00045833">
        <w:rPr>
          <w:rFonts w:ascii="Times New Roman" w:eastAsia="Times New Roman" w:hAnsi="Times New Roman" w:cs="Times New Roman"/>
          <w:b/>
          <w:bCs/>
          <w:sz w:val="36"/>
          <w:szCs w:val="36"/>
        </w:rPr>
        <w:t>Section snippets</w:t>
      </w:r>
    </w:p>
    <w:p w:rsidR="00045833" w:rsidRPr="00045833" w:rsidRDefault="00045833" w:rsidP="00045833">
      <w:pPr>
        <w:spacing w:before="100" w:beforeAutospacing="1" w:after="100" w:afterAutospacing="1" w:line="240" w:lineRule="auto"/>
        <w:outlineLvl w:val="1"/>
        <w:rPr>
          <w:rFonts w:ascii="Times New Roman" w:eastAsia="Times New Roman" w:hAnsi="Times New Roman" w:cs="Times New Roman"/>
          <w:b/>
          <w:bCs/>
          <w:sz w:val="36"/>
          <w:szCs w:val="36"/>
        </w:rPr>
      </w:pPr>
      <w:r w:rsidRPr="00045833">
        <w:rPr>
          <w:rFonts w:ascii="Times New Roman" w:eastAsia="Times New Roman" w:hAnsi="Times New Roman" w:cs="Times New Roman"/>
          <w:b/>
          <w:bCs/>
          <w:sz w:val="36"/>
          <w:szCs w:val="36"/>
        </w:rPr>
        <w:t>Methods</w:t>
      </w:r>
    </w:p>
    <w:p w:rsidR="00045833" w:rsidRPr="00045833" w:rsidRDefault="00045833" w:rsidP="00045833">
      <w:pPr>
        <w:spacing w:before="100" w:beforeAutospacing="1" w:after="100" w:afterAutospacing="1"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 xml:space="preserve">Initially, we collected 82 coral core samples from 12 sites on </w:t>
      </w:r>
      <w:proofErr w:type="spellStart"/>
      <w:r w:rsidRPr="00045833">
        <w:rPr>
          <w:rFonts w:ascii="Times New Roman" w:eastAsia="Times New Roman" w:hAnsi="Times New Roman" w:cs="Times New Roman"/>
          <w:sz w:val="24"/>
          <w:szCs w:val="24"/>
        </w:rPr>
        <w:t>Sekisei</w:t>
      </w:r>
      <w:proofErr w:type="spellEnd"/>
      <w:r w:rsidRPr="00045833">
        <w:rPr>
          <w:rFonts w:ascii="Times New Roman" w:eastAsia="Times New Roman" w:hAnsi="Times New Roman" w:cs="Times New Roman"/>
          <w:sz w:val="24"/>
          <w:szCs w:val="24"/>
        </w:rPr>
        <w:t xml:space="preserve"> Reef in the Ryukyu Islands, Japan, between October 8 and November 8, 2000 (study area, 25 × 20 km; approx. latitude 24°20′N, longitude 124°00′E; Fig. 1). The cores, 2.4 cm in diameter, were collected from eight different </w:t>
      </w:r>
      <w:r w:rsidRPr="00045833">
        <w:rPr>
          <w:rFonts w:ascii="Times New Roman" w:eastAsia="Times New Roman" w:hAnsi="Times New Roman" w:cs="Times New Roman"/>
          <w:i/>
          <w:iCs/>
          <w:sz w:val="24"/>
          <w:szCs w:val="24"/>
        </w:rPr>
        <w:t>Porites</w:t>
      </w:r>
      <w:r w:rsidRPr="00045833">
        <w:rPr>
          <w:rFonts w:ascii="Times New Roman" w:eastAsia="Times New Roman" w:hAnsi="Times New Roman" w:cs="Times New Roman"/>
          <w:sz w:val="24"/>
          <w:szCs w:val="24"/>
        </w:rPr>
        <w:t xml:space="preserve"> colonies (Table 1) by drilling vertically into the top of each colony with a custom-made underwater microboring machine (Okamoto et al., 2001). Then, we selected eight core samples with different</w:t>
      </w:r>
    </w:p>
    <w:p w:rsidR="00045833" w:rsidRPr="00045833" w:rsidRDefault="00045833" w:rsidP="00045833">
      <w:pPr>
        <w:spacing w:before="100" w:beforeAutospacing="1" w:after="100" w:afterAutospacing="1" w:line="240" w:lineRule="auto"/>
        <w:outlineLvl w:val="1"/>
        <w:rPr>
          <w:rFonts w:ascii="Times New Roman" w:eastAsia="Times New Roman" w:hAnsi="Times New Roman" w:cs="Times New Roman"/>
          <w:b/>
          <w:bCs/>
          <w:sz w:val="36"/>
          <w:szCs w:val="36"/>
        </w:rPr>
      </w:pPr>
      <w:r w:rsidRPr="00045833">
        <w:rPr>
          <w:rFonts w:ascii="Times New Roman" w:eastAsia="Times New Roman" w:hAnsi="Times New Roman" w:cs="Times New Roman"/>
          <w:b/>
          <w:bCs/>
          <w:sz w:val="36"/>
          <w:szCs w:val="36"/>
        </w:rPr>
        <w:t>Results</w:t>
      </w:r>
    </w:p>
    <w:p w:rsidR="00045833" w:rsidRPr="00045833" w:rsidRDefault="00045833" w:rsidP="00045833">
      <w:pPr>
        <w:spacing w:before="100" w:beforeAutospacing="1" w:after="100" w:afterAutospacing="1"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Oxygen isotope measurements along major growth axes of the coral skeletons showed that cyclic fluctuations corresponded to seasonal changes in SST (Fig. 3a) with seasonally higher SSTs associated with more depleted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 The mean of all regressions between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 xml:space="preserve">O and SST is expressed as follows: </w:t>
      </w:r>
    </w:p>
    <w:p w:rsidR="00045833" w:rsidRPr="00045833" w:rsidRDefault="00045833" w:rsidP="00045833">
      <w:pPr>
        <w:spacing w:before="100" w:beforeAutospacing="1" w:after="100" w:afterAutospacing="1"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 xml:space="preserve">The value of the slope (0.15‰/°C) is between that obtained by Suzuki et al. (1999) (0.165‰/°C) and that reported by </w:t>
      </w:r>
      <w:proofErr w:type="spellStart"/>
      <w:r w:rsidRPr="00045833">
        <w:rPr>
          <w:rFonts w:ascii="Times New Roman" w:eastAsia="Times New Roman" w:hAnsi="Times New Roman" w:cs="Times New Roman"/>
          <w:sz w:val="24"/>
          <w:szCs w:val="24"/>
        </w:rPr>
        <w:t>Mitsuguchi</w:t>
      </w:r>
      <w:proofErr w:type="spellEnd"/>
      <w:r w:rsidRPr="00045833">
        <w:rPr>
          <w:rFonts w:ascii="Times New Roman" w:eastAsia="Times New Roman" w:hAnsi="Times New Roman" w:cs="Times New Roman"/>
          <w:sz w:val="24"/>
          <w:szCs w:val="24"/>
        </w:rPr>
        <w:t xml:space="preserve"> et al. (1996) (0.134‰/°C), who</w:t>
      </w:r>
    </w:p>
    <w:p w:rsidR="00045833" w:rsidRPr="00045833" w:rsidRDefault="00045833" w:rsidP="00045833">
      <w:pPr>
        <w:spacing w:before="100" w:beforeAutospacing="1" w:after="100" w:afterAutospacing="1" w:line="240" w:lineRule="auto"/>
        <w:outlineLvl w:val="1"/>
        <w:rPr>
          <w:rFonts w:ascii="Times New Roman" w:eastAsia="Times New Roman" w:hAnsi="Times New Roman" w:cs="Times New Roman"/>
          <w:b/>
          <w:bCs/>
          <w:sz w:val="36"/>
          <w:szCs w:val="36"/>
        </w:rPr>
      </w:pPr>
      <w:r w:rsidRPr="00045833">
        <w:rPr>
          <w:rFonts w:ascii="Times New Roman" w:eastAsia="Times New Roman" w:hAnsi="Times New Roman" w:cs="Times New Roman"/>
          <w:b/>
          <w:bCs/>
          <w:sz w:val="36"/>
          <w:szCs w:val="36"/>
        </w:rPr>
        <w:t>Kinetic and Metabolic Isotope Effect in Coral Skeleton</w:t>
      </w:r>
    </w:p>
    <w:p w:rsidR="00045833" w:rsidRPr="00045833" w:rsidRDefault="00045833" w:rsidP="00045833">
      <w:pPr>
        <w:spacing w:before="100" w:beforeAutospacing="1" w:after="100" w:afterAutospacing="1"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 xml:space="preserve">The data imply another controlling factor in addition to metabolic processes. </w:t>
      </w:r>
      <w:proofErr w:type="spellStart"/>
      <w:r w:rsidRPr="00045833">
        <w:rPr>
          <w:rFonts w:ascii="Times New Roman" w:eastAsia="Times New Roman" w:hAnsi="Times New Roman" w:cs="Times New Roman"/>
          <w:sz w:val="24"/>
          <w:szCs w:val="24"/>
        </w:rPr>
        <w:t>McConnaughey</w:t>
      </w:r>
      <w:proofErr w:type="spellEnd"/>
      <w:r w:rsidRPr="00045833">
        <w:rPr>
          <w:rFonts w:ascii="Times New Roman" w:eastAsia="Times New Roman" w:hAnsi="Times New Roman" w:cs="Times New Roman"/>
          <w:sz w:val="24"/>
          <w:szCs w:val="24"/>
        </w:rPr>
        <w:t xml:space="preserve"> (1989</w:t>
      </w:r>
      <w:proofErr w:type="gramStart"/>
      <w:r w:rsidRPr="00045833">
        <w:rPr>
          <w:rFonts w:ascii="Times New Roman" w:eastAsia="Times New Roman" w:hAnsi="Times New Roman" w:cs="Times New Roman"/>
          <w:sz w:val="24"/>
          <w:szCs w:val="24"/>
        </w:rPr>
        <w:t>a,b</w:t>
      </w:r>
      <w:proofErr w:type="gramEnd"/>
      <w:r w:rsidRPr="00045833">
        <w:rPr>
          <w:rFonts w:ascii="Times New Roman" w:eastAsia="Times New Roman" w:hAnsi="Times New Roman" w:cs="Times New Roman"/>
          <w:sz w:val="24"/>
          <w:szCs w:val="24"/>
        </w:rPr>
        <w:t>) pointed out the importance of kinetic isotope effects, which accompany calcification, in controlling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and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 in coral. He showed that strong kinetic isotope effects lead to simultaneous depletion of both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and 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 xml:space="preserve">O, in a proportion of </w:t>
      </w:r>
      <w:r w:rsidRPr="00045833">
        <w:rPr>
          <w:rFonts w:ascii="Cambria Math" w:eastAsia="Times New Roman" w:hAnsi="Cambria Math" w:cs="Cambria Math"/>
          <w:sz w:val="24"/>
          <w:szCs w:val="24"/>
        </w:rPr>
        <w:t>∼</w:t>
      </w:r>
      <w:r w:rsidRPr="00045833">
        <w:rPr>
          <w:rFonts w:ascii="Times New Roman" w:eastAsia="Times New Roman" w:hAnsi="Times New Roman" w:cs="Times New Roman"/>
          <w:sz w:val="24"/>
          <w:szCs w:val="24"/>
        </w:rPr>
        <w:t>3:1, from isotopic equilibrium in the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C–δ</w:t>
      </w:r>
      <w:r w:rsidRPr="00045833">
        <w:rPr>
          <w:rFonts w:ascii="Times New Roman" w:eastAsia="Times New Roman" w:hAnsi="Times New Roman" w:cs="Times New Roman"/>
          <w:sz w:val="24"/>
          <w:szCs w:val="24"/>
          <w:vertAlign w:val="superscript"/>
        </w:rPr>
        <w:t>18</w:t>
      </w:r>
      <w:r w:rsidRPr="00045833">
        <w:rPr>
          <w:rFonts w:ascii="Times New Roman" w:eastAsia="Times New Roman" w:hAnsi="Times New Roman" w:cs="Times New Roman"/>
          <w:sz w:val="24"/>
          <w:szCs w:val="24"/>
        </w:rPr>
        <w:t>O plane (Fig. 4). On the other hand, metabolic isotope effects cause δ</w:t>
      </w:r>
      <w:r w:rsidRPr="00045833">
        <w:rPr>
          <w:rFonts w:ascii="Times New Roman" w:eastAsia="Times New Roman" w:hAnsi="Times New Roman" w:cs="Times New Roman"/>
          <w:sz w:val="24"/>
          <w:szCs w:val="24"/>
          <w:vertAlign w:val="superscript"/>
        </w:rPr>
        <w:t>13</w:t>
      </w:r>
      <w:r w:rsidRPr="00045833">
        <w:rPr>
          <w:rFonts w:ascii="Times New Roman" w:eastAsia="Times New Roman" w:hAnsi="Times New Roman" w:cs="Times New Roman"/>
          <w:sz w:val="24"/>
          <w:szCs w:val="24"/>
        </w:rPr>
        <w:t>C variation only; photosynthesis</w:t>
      </w:r>
    </w:p>
    <w:p w:rsidR="00045833" w:rsidRPr="00045833" w:rsidRDefault="00045833" w:rsidP="00045833">
      <w:pPr>
        <w:spacing w:before="100" w:beforeAutospacing="1" w:after="100" w:afterAutospacing="1" w:line="240" w:lineRule="auto"/>
        <w:outlineLvl w:val="1"/>
        <w:rPr>
          <w:rFonts w:ascii="Times New Roman" w:eastAsia="Times New Roman" w:hAnsi="Times New Roman" w:cs="Times New Roman"/>
          <w:b/>
          <w:bCs/>
          <w:sz w:val="36"/>
          <w:szCs w:val="36"/>
        </w:rPr>
      </w:pPr>
      <w:r w:rsidRPr="00045833">
        <w:rPr>
          <w:rFonts w:ascii="Times New Roman" w:eastAsia="Times New Roman" w:hAnsi="Times New Roman" w:cs="Times New Roman"/>
          <w:b/>
          <w:bCs/>
          <w:sz w:val="36"/>
          <w:szCs w:val="36"/>
        </w:rPr>
        <w:lastRenderedPageBreak/>
        <w:t>Conclusion</w:t>
      </w:r>
    </w:p>
    <w:p w:rsidR="00045833" w:rsidRPr="00045833" w:rsidRDefault="00045833" w:rsidP="00045833">
      <w:pPr>
        <w:spacing w:before="100" w:beforeAutospacing="1" w:after="100" w:afterAutospacing="1"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Carbon and oxygen isotopes in biogenic carbonate are depleted relative to isotopic equilibrium as a result of equilibrium processes such as temperature and disequilibrium processes of kinetic and metabolic isotope effects. This separate estimation of metabolic and kinetic isotope effects, the complexities of which confuse the interpretation of carbon and oxygen isotope data from biogenic carbonates, is important for reconstructing biologic and environmental history. In our study, the carbon</w:t>
      </w:r>
    </w:p>
    <w:p w:rsidR="00045833" w:rsidRPr="00045833" w:rsidRDefault="00045833" w:rsidP="00045833">
      <w:pPr>
        <w:spacing w:before="100" w:beforeAutospacing="1" w:after="100" w:afterAutospacing="1" w:line="240" w:lineRule="auto"/>
        <w:outlineLvl w:val="1"/>
        <w:rPr>
          <w:rFonts w:ascii="Times New Roman" w:eastAsia="Times New Roman" w:hAnsi="Times New Roman" w:cs="Times New Roman"/>
          <w:b/>
          <w:bCs/>
          <w:sz w:val="36"/>
          <w:szCs w:val="36"/>
        </w:rPr>
      </w:pPr>
      <w:r w:rsidRPr="00045833">
        <w:rPr>
          <w:rFonts w:ascii="Times New Roman" w:eastAsia="Times New Roman" w:hAnsi="Times New Roman" w:cs="Times New Roman"/>
          <w:b/>
          <w:bCs/>
          <w:sz w:val="36"/>
          <w:szCs w:val="36"/>
        </w:rPr>
        <w:t>Acknowledgments</w:t>
      </w:r>
    </w:p>
    <w:p w:rsidR="00045833" w:rsidRPr="00045833" w:rsidRDefault="00045833" w:rsidP="00045833">
      <w:pPr>
        <w:spacing w:before="100" w:beforeAutospacing="1" w:after="100" w:afterAutospacing="1" w:line="240" w:lineRule="auto"/>
        <w:rPr>
          <w:rFonts w:ascii="Times New Roman" w:eastAsia="Times New Roman" w:hAnsi="Times New Roman" w:cs="Times New Roman"/>
          <w:sz w:val="24"/>
          <w:szCs w:val="24"/>
        </w:rPr>
      </w:pPr>
      <w:r w:rsidRPr="00045833">
        <w:rPr>
          <w:rFonts w:ascii="Times New Roman" w:eastAsia="Times New Roman" w:hAnsi="Times New Roman" w:cs="Times New Roman"/>
          <w:sz w:val="24"/>
          <w:szCs w:val="24"/>
        </w:rPr>
        <w:t xml:space="preserve">We thank T. Maruyama, H. Yamamoto, C. Kato, and Y. </w:t>
      </w:r>
      <w:proofErr w:type="spellStart"/>
      <w:r w:rsidRPr="00045833">
        <w:rPr>
          <w:rFonts w:ascii="Times New Roman" w:eastAsia="Times New Roman" w:hAnsi="Times New Roman" w:cs="Times New Roman"/>
          <w:sz w:val="24"/>
          <w:szCs w:val="24"/>
        </w:rPr>
        <w:t>Furushima</w:t>
      </w:r>
      <w:proofErr w:type="spellEnd"/>
      <w:r w:rsidRPr="00045833">
        <w:rPr>
          <w:rFonts w:ascii="Times New Roman" w:eastAsia="Times New Roman" w:hAnsi="Times New Roman" w:cs="Times New Roman"/>
          <w:sz w:val="24"/>
          <w:szCs w:val="24"/>
        </w:rPr>
        <w:t xml:space="preserve"> of JAMSTEC for valuable discussions. We are grateful to K. </w:t>
      </w:r>
      <w:proofErr w:type="spellStart"/>
      <w:r w:rsidRPr="00045833">
        <w:rPr>
          <w:rFonts w:ascii="Times New Roman" w:eastAsia="Times New Roman" w:hAnsi="Times New Roman" w:cs="Times New Roman"/>
          <w:sz w:val="24"/>
          <w:szCs w:val="24"/>
        </w:rPr>
        <w:t>Minoshima</w:t>
      </w:r>
      <w:proofErr w:type="spellEnd"/>
      <w:r w:rsidRPr="00045833">
        <w:rPr>
          <w:rFonts w:ascii="Times New Roman" w:eastAsia="Times New Roman" w:hAnsi="Times New Roman" w:cs="Times New Roman"/>
          <w:sz w:val="24"/>
          <w:szCs w:val="24"/>
        </w:rPr>
        <w:t xml:space="preserve"> and Y. Yoshinaga of AIST for technical assistance in stable isotope measurements. We also thank S. </w:t>
      </w:r>
      <w:proofErr w:type="spellStart"/>
      <w:r w:rsidRPr="00045833">
        <w:rPr>
          <w:rFonts w:ascii="Times New Roman" w:eastAsia="Times New Roman" w:hAnsi="Times New Roman" w:cs="Times New Roman"/>
          <w:sz w:val="24"/>
          <w:szCs w:val="24"/>
        </w:rPr>
        <w:t>Nojima</w:t>
      </w:r>
      <w:proofErr w:type="spellEnd"/>
      <w:r w:rsidRPr="00045833">
        <w:rPr>
          <w:rFonts w:ascii="Times New Roman" w:eastAsia="Times New Roman" w:hAnsi="Times New Roman" w:cs="Times New Roman"/>
          <w:sz w:val="24"/>
          <w:szCs w:val="24"/>
        </w:rPr>
        <w:t xml:space="preserve"> of the </w:t>
      </w:r>
      <w:proofErr w:type="spellStart"/>
      <w:r w:rsidRPr="00045833">
        <w:rPr>
          <w:rFonts w:ascii="Times New Roman" w:eastAsia="Times New Roman" w:hAnsi="Times New Roman" w:cs="Times New Roman"/>
          <w:sz w:val="24"/>
          <w:szCs w:val="24"/>
        </w:rPr>
        <w:t>Amakusa</w:t>
      </w:r>
      <w:proofErr w:type="spellEnd"/>
      <w:r w:rsidRPr="00045833">
        <w:rPr>
          <w:rFonts w:ascii="Times New Roman" w:eastAsia="Times New Roman" w:hAnsi="Times New Roman" w:cs="Times New Roman"/>
          <w:sz w:val="24"/>
          <w:szCs w:val="24"/>
        </w:rPr>
        <w:t xml:space="preserve"> Marine Biological Laboratory, K. Kobayashi of Shimane University, L. P. Gupta of AIST, and A. Iwase of University of the Ryukyus for valuable comments and useful information. S. Duhon improved the English for this manuscript. The manuscript was</w:t>
      </w:r>
    </w:p>
    <w:p w:rsidR="000A34E0" w:rsidRDefault="000A34E0"/>
    <w:sectPr w:rsidR="000A34E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833"/>
    <w:rsid w:val="00045833"/>
    <w:rsid w:val="000A34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4606F4"/>
  <w15:chartTrackingRefBased/>
  <w15:docId w15:val="{677CE68C-D421-477E-94E8-BE4AED03A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43921653">
      <w:bodyDiv w:val="1"/>
      <w:marLeft w:val="0"/>
      <w:marRight w:val="0"/>
      <w:marTop w:val="0"/>
      <w:marBottom w:val="0"/>
      <w:divBdr>
        <w:top w:val="none" w:sz="0" w:space="0" w:color="auto"/>
        <w:left w:val="none" w:sz="0" w:space="0" w:color="auto"/>
        <w:bottom w:val="none" w:sz="0" w:space="0" w:color="auto"/>
        <w:right w:val="none" w:sz="0" w:space="0" w:color="auto"/>
      </w:divBdr>
      <w:divsChild>
        <w:div w:id="1199315035">
          <w:marLeft w:val="0"/>
          <w:marRight w:val="0"/>
          <w:marTop w:val="0"/>
          <w:marBottom w:val="0"/>
          <w:divBdr>
            <w:top w:val="none" w:sz="0" w:space="0" w:color="auto"/>
            <w:left w:val="none" w:sz="0" w:space="0" w:color="auto"/>
            <w:bottom w:val="none" w:sz="0" w:space="0" w:color="auto"/>
            <w:right w:val="none" w:sz="0" w:space="0" w:color="auto"/>
          </w:divBdr>
          <w:divsChild>
            <w:div w:id="531650878">
              <w:marLeft w:val="0"/>
              <w:marRight w:val="0"/>
              <w:marTop w:val="0"/>
              <w:marBottom w:val="0"/>
              <w:divBdr>
                <w:top w:val="none" w:sz="0" w:space="0" w:color="auto"/>
                <w:left w:val="none" w:sz="0" w:space="0" w:color="auto"/>
                <w:bottom w:val="none" w:sz="0" w:space="0" w:color="auto"/>
                <w:right w:val="none" w:sz="0" w:space="0" w:color="auto"/>
              </w:divBdr>
              <w:divsChild>
                <w:div w:id="1801025055">
                  <w:marLeft w:val="0"/>
                  <w:marRight w:val="0"/>
                  <w:marTop w:val="0"/>
                  <w:marBottom w:val="0"/>
                  <w:divBdr>
                    <w:top w:val="none" w:sz="0" w:space="0" w:color="auto"/>
                    <w:left w:val="none" w:sz="0" w:space="0" w:color="auto"/>
                    <w:bottom w:val="none" w:sz="0" w:space="0" w:color="auto"/>
                    <w:right w:val="none" w:sz="0" w:space="0" w:color="auto"/>
                  </w:divBdr>
                  <w:divsChild>
                    <w:div w:id="202469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271477">
          <w:marLeft w:val="0"/>
          <w:marRight w:val="0"/>
          <w:marTop w:val="0"/>
          <w:marBottom w:val="0"/>
          <w:divBdr>
            <w:top w:val="none" w:sz="0" w:space="0" w:color="auto"/>
            <w:left w:val="none" w:sz="0" w:space="0" w:color="auto"/>
            <w:bottom w:val="none" w:sz="0" w:space="0" w:color="auto"/>
            <w:right w:val="none" w:sz="0" w:space="0" w:color="auto"/>
          </w:divBdr>
          <w:divsChild>
            <w:div w:id="1664240152">
              <w:marLeft w:val="0"/>
              <w:marRight w:val="0"/>
              <w:marTop w:val="0"/>
              <w:marBottom w:val="0"/>
              <w:divBdr>
                <w:top w:val="none" w:sz="0" w:space="0" w:color="auto"/>
                <w:left w:val="none" w:sz="0" w:space="0" w:color="auto"/>
                <w:bottom w:val="none" w:sz="0" w:space="0" w:color="auto"/>
                <w:right w:val="none" w:sz="0" w:space="0" w:color="auto"/>
              </w:divBdr>
            </w:div>
            <w:div w:id="1529681090">
              <w:marLeft w:val="0"/>
              <w:marRight w:val="0"/>
              <w:marTop w:val="0"/>
              <w:marBottom w:val="0"/>
              <w:divBdr>
                <w:top w:val="none" w:sz="0" w:space="0" w:color="auto"/>
                <w:left w:val="none" w:sz="0" w:space="0" w:color="auto"/>
                <w:bottom w:val="none" w:sz="0" w:space="0" w:color="auto"/>
                <w:right w:val="none" w:sz="0" w:space="0" w:color="auto"/>
              </w:divBdr>
              <w:divsChild>
                <w:div w:id="142045385">
                  <w:marLeft w:val="0"/>
                  <w:marRight w:val="0"/>
                  <w:marTop w:val="0"/>
                  <w:marBottom w:val="0"/>
                  <w:divBdr>
                    <w:top w:val="none" w:sz="0" w:space="0" w:color="auto"/>
                    <w:left w:val="none" w:sz="0" w:space="0" w:color="auto"/>
                    <w:bottom w:val="none" w:sz="0" w:space="0" w:color="auto"/>
                    <w:right w:val="none" w:sz="0" w:space="0" w:color="auto"/>
                  </w:divBdr>
                </w:div>
                <w:div w:id="2021152456">
                  <w:marLeft w:val="0"/>
                  <w:marRight w:val="0"/>
                  <w:marTop w:val="0"/>
                  <w:marBottom w:val="0"/>
                  <w:divBdr>
                    <w:top w:val="none" w:sz="0" w:space="0" w:color="auto"/>
                    <w:left w:val="none" w:sz="0" w:space="0" w:color="auto"/>
                    <w:bottom w:val="none" w:sz="0" w:space="0" w:color="auto"/>
                    <w:right w:val="none" w:sz="0" w:space="0" w:color="auto"/>
                  </w:divBdr>
                </w:div>
                <w:div w:id="1797672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280934">
          <w:marLeft w:val="0"/>
          <w:marRight w:val="0"/>
          <w:marTop w:val="0"/>
          <w:marBottom w:val="0"/>
          <w:divBdr>
            <w:top w:val="none" w:sz="0" w:space="0" w:color="auto"/>
            <w:left w:val="none" w:sz="0" w:space="0" w:color="auto"/>
            <w:bottom w:val="none" w:sz="0" w:space="0" w:color="auto"/>
            <w:right w:val="none" w:sz="0" w:space="0" w:color="auto"/>
          </w:divBdr>
          <w:divsChild>
            <w:div w:id="500433519">
              <w:marLeft w:val="0"/>
              <w:marRight w:val="0"/>
              <w:marTop w:val="0"/>
              <w:marBottom w:val="0"/>
              <w:divBdr>
                <w:top w:val="none" w:sz="0" w:space="0" w:color="auto"/>
                <w:left w:val="none" w:sz="0" w:space="0" w:color="auto"/>
                <w:bottom w:val="none" w:sz="0" w:space="0" w:color="auto"/>
                <w:right w:val="none" w:sz="0" w:space="0" w:color="auto"/>
              </w:divBdr>
            </w:div>
          </w:divsChild>
        </w:div>
        <w:div w:id="1763530658">
          <w:marLeft w:val="0"/>
          <w:marRight w:val="0"/>
          <w:marTop w:val="0"/>
          <w:marBottom w:val="0"/>
          <w:divBdr>
            <w:top w:val="none" w:sz="0" w:space="0" w:color="auto"/>
            <w:left w:val="none" w:sz="0" w:space="0" w:color="auto"/>
            <w:bottom w:val="none" w:sz="0" w:space="0" w:color="auto"/>
            <w:right w:val="none" w:sz="0" w:space="0" w:color="auto"/>
          </w:divBdr>
          <w:divsChild>
            <w:div w:id="383870629">
              <w:marLeft w:val="0"/>
              <w:marRight w:val="0"/>
              <w:marTop w:val="0"/>
              <w:marBottom w:val="0"/>
              <w:divBdr>
                <w:top w:val="none" w:sz="0" w:space="0" w:color="auto"/>
                <w:left w:val="none" w:sz="0" w:space="0" w:color="auto"/>
                <w:bottom w:val="none" w:sz="0" w:space="0" w:color="auto"/>
                <w:right w:val="none" w:sz="0" w:space="0" w:color="auto"/>
              </w:divBdr>
              <w:divsChild>
                <w:div w:id="596864198">
                  <w:marLeft w:val="0"/>
                  <w:marRight w:val="0"/>
                  <w:marTop w:val="0"/>
                  <w:marBottom w:val="0"/>
                  <w:divBdr>
                    <w:top w:val="none" w:sz="0" w:space="0" w:color="auto"/>
                    <w:left w:val="none" w:sz="0" w:space="0" w:color="auto"/>
                    <w:bottom w:val="none" w:sz="0" w:space="0" w:color="auto"/>
                    <w:right w:val="none" w:sz="0" w:space="0" w:color="auto"/>
                  </w:divBdr>
                  <w:divsChild>
                    <w:div w:id="2008171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746792">
          <w:marLeft w:val="0"/>
          <w:marRight w:val="0"/>
          <w:marTop w:val="0"/>
          <w:marBottom w:val="0"/>
          <w:divBdr>
            <w:top w:val="none" w:sz="0" w:space="0" w:color="auto"/>
            <w:left w:val="none" w:sz="0" w:space="0" w:color="auto"/>
            <w:bottom w:val="none" w:sz="0" w:space="0" w:color="auto"/>
            <w:right w:val="none" w:sz="0" w:space="0" w:color="auto"/>
          </w:divBdr>
          <w:divsChild>
            <w:div w:id="2106218829">
              <w:marLeft w:val="0"/>
              <w:marRight w:val="0"/>
              <w:marTop w:val="0"/>
              <w:marBottom w:val="0"/>
              <w:divBdr>
                <w:top w:val="none" w:sz="0" w:space="0" w:color="auto"/>
                <w:left w:val="none" w:sz="0" w:space="0" w:color="auto"/>
                <w:bottom w:val="none" w:sz="0" w:space="0" w:color="auto"/>
                <w:right w:val="none" w:sz="0" w:space="0" w:color="auto"/>
              </w:divBdr>
            </w:div>
          </w:divsChild>
        </w:div>
        <w:div w:id="8679791">
          <w:marLeft w:val="0"/>
          <w:marRight w:val="0"/>
          <w:marTop w:val="0"/>
          <w:marBottom w:val="0"/>
          <w:divBdr>
            <w:top w:val="none" w:sz="0" w:space="0" w:color="auto"/>
            <w:left w:val="none" w:sz="0" w:space="0" w:color="auto"/>
            <w:bottom w:val="none" w:sz="0" w:space="0" w:color="auto"/>
            <w:right w:val="none" w:sz="0" w:space="0" w:color="auto"/>
          </w:divBdr>
          <w:divsChild>
            <w:div w:id="1580941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dissolved-inorganic-carbon"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salinit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science/article/pii/S0016703705007933/pdfft?md5=d5cd378074ddbb306e02b924159f36f5&amp;pid=1-s2.0-S0016703705007933-main.pdf" TargetMode="External"/><Relationship Id="rId11" Type="http://schemas.openxmlformats.org/officeDocument/2006/relationships/theme" Target="theme/theme1.xml"/><Relationship Id="rId5" Type="http://schemas.openxmlformats.org/officeDocument/2006/relationships/hyperlink" Target="https://www.sciencedirect.com/science/article/pii/S0016703705007933" TargetMode="External"/><Relationship Id="rId10" Type="http://schemas.openxmlformats.org/officeDocument/2006/relationships/fontTable" Target="fontTable.xml"/><Relationship Id="rId4" Type="http://schemas.openxmlformats.org/officeDocument/2006/relationships/hyperlink" Target="https://doi.org/10.1016/j.gca.2004.12.018" TargetMode="External"/><Relationship Id="rId9" Type="http://schemas.openxmlformats.org/officeDocument/2006/relationships/hyperlink" Target="https://www.sciencedirect.com/topics/earth-and-planetary-sciences/isotope-effec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1226</Words>
  <Characters>6989</Characters>
  <Application>Microsoft Office Word</Application>
  <DocSecurity>0</DocSecurity>
  <Lines>58</Lines>
  <Paragraphs>16</Paragraphs>
  <ScaleCrop>false</ScaleCrop>
  <Company/>
  <LinksUpToDate>false</LinksUpToDate>
  <CharactersWithSpaces>8199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2023-11-18T08:32:00Z</dcterms:created>
  <dcterms:modified xsi:type="dcterms:W3CDTF">2023-11-18T08:33:00Z</dcterms:modified>
</cp:coreProperties>
</file>