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032A9" w:rsidRPr="007032A9" w:rsidRDefault="007032A9" w:rsidP="007032A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032A9">
        <w:rPr>
          <w:rFonts w:ascii="Times New Roman" w:eastAsia="Times New Roman" w:hAnsi="Times New Roman" w:cs="Times New Roman"/>
          <w:b/>
          <w:bCs/>
          <w:kern w:val="36"/>
          <w:sz w:val="48"/>
          <w:szCs w:val="48"/>
        </w:rPr>
        <w:t xml:space="preserve">An investigation into thermodynamic consistency of data for the olivine, </w:t>
      </w:r>
      <w:proofErr w:type="spellStart"/>
      <w:r w:rsidRPr="007032A9">
        <w:rPr>
          <w:rFonts w:ascii="Times New Roman" w:eastAsia="Times New Roman" w:hAnsi="Times New Roman" w:cs="Times New Roman"/>
          <w:b/>
          <w:bCs/>
          <w:kern w:val="36"/>
          <w:sz w:val="48"/>
          <w:szCs w:val="48"/>
        </w:rPr>
        <w:t>wadsleyite</w:t>
      </w:r>
      <w:proofErr w:type="spellEnd"/>
      <w:r w:rsidRPr="007032A9">
        <w:rPr>
          <w:rFonts w:ascii="Times New Roman" w:eastAsia="Times New Roman" w:hAnsi="Times New Roman" w:cs="Times New Roman"/>
          <w:b/>
          <w:bCs/>
          <w:kern w:val="36"/>
          <w:sz w:val="48"/>
          <w:szCs w:val="48"/>
        </w:rPr>
        <w:t xml:space="preserve"> and ringwoodite form of (</w:t>
      </w:r>
      <w:proofErr w:type="spellStart"/>
      <w:proofErr w:type="gramStart"/>
      <w:r w:rsidRPr="007032A9">
        <w:rPr>
          <w:rFonts w:ascii="Times New Roman" w:eastAsia="Times New Roman" w:hAnsi="Times New Roman" w:cs="Times New Roman"/>
          <w:b/>
          <w:bCs/>
          <w:kern w:val="36"/>
          <w:sz w:val="48"/>
          <w:szCs w:val="48"/>
        </w:rPr>
        <w:t>Mg,Fe</w:t>
      </w:r>
      <w:proofErr w:type="spellEnd"/>
      <w:proofErr w:type="gramEnd"/>
      <w:r w:rsidRPr="007032A9">
        <w:rPr>
          <w:rFonts w:ascii="Times New Roman" w:eastAsia="Times New Roman" w:hAnsi="Times New Roman" w:cs="Times New Roman"/>
          <w:b/>
          <w:bCs/>
          <w:kern w:val="36"/>
          <w:sz w:val="48"/>
          <w:szCs w:val="48"/>
        </w:rPr>
        <w:t>)</w:t>
      </w:r>
      <w:r w:rsidRPr="007032A9">
        <w:rPr>
          <w:rFonts w:ascii="Times New Roman" w:eastAsia="Times New Roman" w:hAnsi="Times New Roman" w:cs="Times New Roman"/>
          <w:b/>
          <w:bCs/>
          <w:kern w:val="36"/>
          <w:sz w:val="48"/>
          <w:szCs w:val="48"/>
          <w:vertAlign w:val="subscript"/>
        </w:rPr>
        <w:t>2</w:t>
      </w:r>
      <w:r w:rsidRPr="007032A9">
        <w:rPr>
          <w:rFonts w:ascii="Times New Roman" w:eastAsia="Times New Roman" w:hAnsi="Times New Roman" w:cs="Times New Roman"/>
          <w:b/>
          <w:bCs/>
          <w:kern w:val="36"/>
          <w:sz w:val="48"/>
          <w:szCs w:val="48"/>
        </w:rPr>
        <w:t>SiO</w:t>
      </w:r>
      <w:r w:rsidRPr="007032A9">
        <w:rPr>
          <w:rFonts w:ascii="Times New Roman" w:eastAsia="Times New Roman" w:hAnsi="Times New Roman" w:cs="Times New Roman"/>
          <w:b/>
          <w:bCs/>
          <w:kern w:val="36"/>
          <w:sz w:val="48"/>
          <w:szCs w:val="48"/>
          <w:vertAlign w:val="subscript"/>
        </w:rPr>
        <w:t>4</w:t>
      </w:r>
    </w:p>
    <w:p w:rsidR="007032A9" w:rsidRPr="007032A9" w:rsidRDefault="007032A9" w:rsidP="007032A9">
      <w:pPr>
        <w:spacing w:after="0"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Author links open overlay panel</w:t>
      </w:r>
    </w:p>
    <w:p w:rsidR="007032A9" w:rsidRPr="007032A9" w:rsidRDefault="007032A9" w:rsidP="007032A9">
      <w:pPr>
        <w:spacing w:after="0"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 </w:t>
      </w:r>
    </w:p>
    <w:p w:rsidR="007032A9" w:rsidRPr="007032A9" w:rsidRDefault="007032A9" w:rsidP="007032A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032A9">
          <w:rPr>
            <w:rFonts w:ascii="Times New Roman" w:eastAsia="Times New Roman" w:hAnsi="Times New Roman" w:cs="Times New Roman"/>
            <w:color w:val="0000FF"/>
            <w:sz w:val="24"/>
            <w:szCs w:val="24"/>
            <w:u w:val="single"/>
          </w:rPr>
          <w:t>https://doi.org/10.1016/j.gca.2005.05.002</w:t>
        </w:r>
      </w:hyperlink>
      <w:bookmarkStart w:id="0" w:name="_GoBack"/>
      <w:bookmarkEnd w:id="0"/>
      <w:r w:rsidRPr="007032A9">
        <w:rPr>
          <w:rFonts w:ascii="Times New Roman" w:eastAsia="Times New Roman" w:hAnsi="Times New Roman" w:cs="Times New Roman"/>
          <w:sz w:val="24"/>
          <w:szCs w:val="24"/>
        </w:rPr>
        <w:t xml:space="preserve"> </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Abstract</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We have performed a thermodynamic analysis to determine the internal consistency of state-of-the-art experimental data for olivine, </w:t>
      </w:r>
      <w:hyperlink r:id="rId5" w:tooltip="Learn more about wadsleyite from ScienceDirect's AI-generated Topic Pages" w:history="1">
        <w:proofErr w:type="spellStart"/>
        <w:r w:rsidRPr="007032A9">
          <w:rPr>
            <w:rFonts w:ascii="Times New Roman" w:eastAsia="Times New Roman" w:hAnsi="Times New Roman" w:cs="Times New Roman"/>
            <w:color w:val="0000FF"/>
            <w:sz w:val="24"/>
            <w:szCs w:val="24"/>
            <w:u w:val="single"/>
          </w:rPr>
          <w:t>wadsleyite</w:t>
        </w:r>
        <w:proofErr w:type="spellEnd"/>
      </w:hyperlink>
      <w:r w:rsidRPr="007032A9">
        <w:rPr>
          <w:rFonts w:ascii="Times New Roman" w:eastAsia="Times New Roman" w:hAnsi="Times New Roman" w:cs="Times New Roman"/>
          <w:sz w:val="24"/>
          <w:szCs w:val="24"/>
        </w:rPr>
        <w:t xml:space="preserve">, and </w:t>
      </w:r>
      <w:hyperlink r:id="rId6" w:tooltip="Learn more about ringwoodite from ScienceDirect's AI-generated Topic Pages" w:history="1">
        <w:r w:rsidRPr="007032A9">
          <w:rPr>
            <w:rFonts w:ascii="Times New Roman" w:eastAsia="Times New Roman" w:hAnsi="Times New Roman" w:cs="Times New Roman"/>
            <w:color w:val="0000FF"/>
            <w:sz w:val="24"/>
            <w:szCs w:val="24"/>
            <w:u w:val="single"/>
          </w:rPr>
          <w:t>ringwoodite</w:t>
        </w:r>
      </w:hyperlink>
      <w:r w:rsidRPr="007032A9">
        <w:rPr>
          <w:rFonts w:ascii="Times New Roman" w:eastAsia="Times New Roman" w:hAnsi="Times New Roman" w:cs="Times New Roman"/>
          <w:sz w:val="24"/>
          <w:szCs w:val="24"/>
        </w:rPr>
        <w:t xml:space="preserve"> solid solutions. The analysis has been carried out between 200 and 2200 K and 0 and 20 </w:t>
      </w:r>
      <w:proofErr w:type="spellStart"/>
      <w:r w:rsidRPr="007032A9">
        <w:rPr>
          <w:rFonts w:ascii="Times New Roman" w:eastAsia="Times New Roman" w:hAnsi="Times New Roman" w:cs="Times New Roman"/>
          <w:sz w:val="24"/>
          <w:szCs w:val="24"/>
        </w:rPr>
        <w:t>GPa</w:t>
      </w:r>
      <w:proofErr w:type="spellEnd"/>
      <w:r w:rsidRPr="007032A9">
        <w:rPr>
          <w:rFonts w:ascii="Times New Roman" w:eastAsia="Times New Roman" w:hAnsi="Times New Roman" w:cs="Times New Roman"/>
          <w:sz w:val="24"/>
          <w:szCs w:val="24"/>
        </w:rPr>
        <w:t xml:space="preserve">. We conclude that the volume-pressure-temperature data of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and ringwoodite show very large inconsistencies, which hamper the accurate prediction of bulk </w:t>
      </w:r>
      <w:hyperlink r:id="rId7" w:tooltip="Learn more about sound velocities from ScienceDirect's AI-generated Topic Pages" w:history="1">
        <w:r w:rsidRPr="007032A9">
          <w:rPr>
            <w:rFonts w:ascii="Times New Roman" w:eastAsia="Times New Roman" w:hAnsi="Times New Roman" w:cs="Times New Roman"/>
            <w:color w:val="0000FF"/>
            <w:sz w:val="24"/>
            <w:szCs w:val="24"/>
            <w:u w:val="single"/>
          </w:rPr>
          <w:t>sound velocities</w:t>
        </w:r>
      </w:hyperlink>
      <w:r w:rsidRPr="007032A9">
        <w:rPr>
          <w:rFonts w:ascii="Times New Roman" w:eastAsia="Times New Roman" w:hAnsi="Times New Roman" w:cs="Times New Roman"/>
          <w:sz w:val="24"/>
          <w:szCs w:val="24"/>
        </w:rPr>
        <w:t xml:space="preserve"> in the transition zone to within tomographic accuracy. Owing to the compositional effect in two-phase regions, thermodynamic properties, crucial for </w:t>
      </w:r>
      <w:hyperlink r:id="rId8" w:tooltip="Learn more about geodynamic from ScienceDirect's AI-generated Topic Pages" w:history="1">
        <w:r w:rsidRPr="007032A9">
          <w:rPr>
            <w:rFonts w:ascii="Times New Roman" w:eastAsia="Times New Roman" w:hAnsi="Times New Roman" w:cs="Times New Roman"/>
            <w:color w:val="0000FF"/>
            <w:sz w:val="24"/>
            <w:szCs w:val="24"/>
            <w:u w:val="single"/>
          </w:rPr>
          <w:t>geodynamic</w:t>
        </w:r>
      </w:hyperlink>
      <w:r w:rsidRPr="007032A9">
        <w:rPr>
          <w:rFonts w:ascii="Times New Roman" w:eastAsia="Times New Roman" w:hAnsi="Times New Roman" w:cs="Times New Roman"/>
          <w:sz w:val="24"/>
          <w:szCs w:val="24"/>
        </w:rPr>
        <w:t xml:space="preserve"> modeling, differ up to an order of magnitude relative to values in single-phase regions at conditions prevailing in the earth’s transition zone. Thermal expansivity in the olivine-</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two-phase region is </w:t>
      </w:r>
      <w:r w:rsidRPr="007032A9">
        <w:rPr>
          <w:rFonts w:ascii="Cambria Math" w:eastAsia="Times New Roman" w:hAnsi="Cambria Math" w:cs="Cambria Math"/>
          <w:sz w:val="24"/>
          <w:szCs w:val="24"/>
        </w:rPr>
        <w:t>∼</w:t>
      </w:r>
      <w:r w:rsidRPr="007032A9">
        <w:rPr>
          <w:rFonts w:ascii="Times New Roman" w:eastAsia="Times New Roman" w:hAnsi="Times New Roman" w:cs="Times New Roman"/>
          <w:sz w:val="24"/>
          <w:szCs w:val="24"/>
        </w:rPr>
        <w:t xml:space="preserve">23 times larger than that in the olivine region. For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-ringwoodite two-phase region, thermal expansivity is </w:t>
      </w:r>
      <w:r w:rsidRPr="007032A9">
        <w:rPr>
          <w:rFonts w:ascii="Cambria Math" w:eastAsia="Times New Roman" w:hAnsi="Cambria Math" w:cs="Cambria Math"/>
          <w:sz w:val="24"/>
          <w:szCs w:val="24"/>
        </w:rPr>
        <w:t>∼</w:t>
      </w:r>
      <w:r w:rsidRPr="007032A9">
        <w:rPr>
          <w:rFonts w:ascii="Times New Roman" w:eastAsia="Times New Roman" w:hAnsi="Times New Roman" w:cs="Times New Roman"/>
          <w:sz w:val="24"/>
          <w:szCs w:val="24"/>
        </w:rPr>
        <w:t xml:space="preserve">6 times larger than that in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region. It may be anticipated that this differential thermal expansivity significantly affects future geodynamic model calculations.</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Introduction</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It is generally accepted that (</w:t>
      </w:r>
      <w:proofErr w:type="spellStart"/>
      <w:proofErr w:type="gramStart"/>
      <w:r w:rsidRPr="007032A9">
        <w:rPr>
          <w:rFonts w:ascii="Times New Roman" w:eastAsia="Times New Roman" w:hAnsi="Times New Roman" w:cs="Times New Roman"/>
          <w:sz w:val="24"/>
          <w:szCs w:val="24"/>
        </w:rPr>
        <w:t>Mg,Fe</w:t>
      </w:r>
      <w:proofErr w:type="spellEnd"/>
      <w:proofErr w:type="gramEnd"/>
      <w:r w:rsidRPr="007032A9">
        <w:rPr>
          <w:rFonts w:ascii="Times New Roman" w:eastAsia="Times New Roman" w:hAnsi="Times New Roman" w:cs="Times New Roman"/>
          <w:sz w:val="24"/>
          <w:szCs w:val="24"/>
        </w:rPr>
        <w:t>)</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is a major constituent material in the earth’s transition zone, which is located at </w:t>
      </w:r>
      <w:r w:rsidRPr="007032A9">
        <w:rPr>
          <w:rFonts w:ascii="Cambria Math" w:eastAsia="Times New Roman" w:hAnsi="Cambria Math" w:cs="Cambria Math"/>
          <w:sz w:val="24"/>
          <w:szCs w:val="24"/>
        </w:rPr>
        <w:t>∼</w:t>
      </w:r>
      <w:r w:rsidRPr="007032A9">
        <w:rPr>
          <w:rFonts w:ascii="Times New Roman" w:eastAsia="Times New Roman" w:hAnsi="Times New Roman" w:cs="Times New Roman"/>
          <w:sz w:val="24"/>
          <w:szCs w:val="24"/>
        </w:rPr>
        <w:t xml:space="preserve">400–520 km depth in the earth’s upper mantle. This zone is characterized by a transformation of the olivine to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and ringwoodite polymorphs of (</w:t>
      </w:r>
      <w:proofErr w:type="spellStart"/>
      <w:proofErr w:type="gramStart"/>
      <w:r w:rsidRPr="007032A9">
        <w:rPr>
          <w:rFonts w:ascii="Times New Roman" w:eastAsia="Times New Roman" w:hAnsi="Times New Roman" w:cs="Times New Roman"/>
          <w:sz w:val="24"/>
          <w:szCs w:val="24"/>
        </w:rPr>
        <w:t>Mg,Fe</w:t>
      </w:r>
      <w:proofErr w:type="spellEnd"/>
      <w:proofErr w:type="gramEnd"/>
      <w:r w:rsidRPr="007032A9">
        <w:rPr>
          <w:rFonts w:ascii="Times New Roman" w:eastAsia="Times New Roman" w:hAnsi="Times New Roman" w:cs="Times New Roman"/>
          <w:sz w:val="24"/>
          <w:szCs w:val="24"/>
        </w:rPr>
        <w:t>)</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during displacement to deeper regions. To explain the experimentally obtained seismic jumps when sound waves propagate through this zone mandates a thermodynamic framework capable of predicting thermophysical properties at conditions prevailing in it. Recently we have developed a thermodynamic formulation for the endmembers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and Fe</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using an equation of state based on the linear relationship between volume and logarithm of isothermal bulk modulus (Jacobs and </w:t>
      </w:r>
      <w:proofErr w:type="spellStart"/>
      <w:r w:rsidRPr="007032A9">
        <w:rPr>
          <w:rFonts w:ascii="Times New Roman" w:eastAsia="Times New Roman" w:hAnsi="Times New Roman" w:cs="Times New Roman"/>
          <w:sz w:val="24"/>
          <w:szCs w:val="24"/>
        </w:rPr>
        <w:t>Oonk</w:t>
      </w:r>
      <w:proofErr w:type="spellEnd"/>
      <w:r w:rsidRPr="007032A9">
        <w:rPr>
          <w:rFonts w:ascii="Times New Roman" w:eastAsia="Times New Roman" w:hAnsi="Times New Roman" w:cs="Times New Roman"/>
          <w:sz w:val="24"/>
          <w:szCs w:val="24"/>
        </w:rPr>
        <w:t xml:space="preserve"> 2001, Jacobs et al 2001). In this paper we present a thermodynamic assessment of experimental data for the α olivine, the β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and the γ spinel form of (</w:t>
      </w:r>
      <w:proofErr w:type="spellStart"/>
      <w:proofErr w:type="gramStart"/>
      <w:r w:rsidRPr="007032A9">
        <w:rPr>
          <w:rFonts w:ascii="Times New Roman" w:eastAsia="Times New Roman" w:hAnsi="Times New Roman" w:cs="Times New Roman"/>
          <w:sz w:val="24"/>
          <w:szCs w:val="24"/>
        </w:rPr>
        <w:t>Mg,Fe</w:t>
      </w:r>
      <w:proofErr w:type="spellEnd"/>
      <w:proofErr w:type="gramEnd"/>
      <w:r w:rsidRPr="007032A9">
        <w:rPr>
          <w:rFonts w:ascii="Times New Roman" w:eastAsia="Times New Roman" w:hAnsi="Times New Roman" w:cs="Times New Roman"/>
          <w:sz w:val="24"/>
          <w:szCs w:val="24"/>
        </w:rPr>
        <w:t>)</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mixtures. The need for this assessment was that large scatter occurs in experimental volume and thermal expansivity data of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and ringwoodite, presumably because of the presence of moisture in some experimental samples. Our aim in this study is to represent the available experimental data on phase boundaries and thermophysical properties, and to show which data are inconsistent within the developed thermodynamic framework. The outcome of our study may be used to pinpoint areas where new experimental data are needed.</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Several earlier studies have been undertaken to develop an internally consistent database in the system MgO-FeO-SiO</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 xml:space="preserve">, among them those of Fei et al 1991, Saxena 1996, and </w:t>
      </w:r>
      <w:proofErr w:type="spellStart"/>
      <w:r w:rsidRPr="007032A9">
        <w:rPr>
          <w:rFonts w:ascii="Times New Roman" w:eastAsia="Times New Roman" w:hAnsi="Times New Roman" w:cs="Times New Roman"/>
          <w:sz w:val="24"/>
          <w:szCs w:val="24"/>
        </w:rPr>
        <w:t>Fabrichnaya</w:t>
      </w:r>
      <w:proofErr w:type="spellEnd"/>
      <w:r w:rsidRPr="007032A9">
        <w:rPr>
          <w:rFonts w:ascii="Times New Roman" w:eastAsia="Times New Roman" w:hAnsi="Times New Roman" w:cs="Times New Roman"/>
          <w:sz w:val="24"/>
          <w:szCs w:val="24"/>
        </w:rPr>
        <w:t xml:space="preserve"> et al. (2004). In our work we have included sources generated since those previous databases were </w:t>
      </w:r>
      <w:r w:rsidRPr="007032A9">
        <w:rPr>
          <w:rFonts w:ascii="Times New Roman" w:eastAsia="Times New Roman" w:hAnsi="Times New Roman" w:cs="Times New Roman"/>
          <w:sz w:val="24"/>
          <w:szCs w:val="24"/>
        </w:rPr>
        <w:lastRenderedPageBreak/>
        <w:t>constructed incorporating the latest experimental information on phase boundaries and thermophysical properties of (</w:t>
      </w:r>
      <w:proofErr w:type="spellStart"/>
      <w:proofErr w:type="gramStart"/>
      <w:r w:rsidRPr="007032A9">
        <w:rPr>
          <w:rFonts w:ascii="Times New Roman" w:eastAsia="Times New Roman" w:hAnsi="Times New Roman" w:cs="Times New Roman"/>
          <w:sz w:val="24"/>
          <w:szCs w:val="24"/>
        </w:rPr>
        <w:t>Mg,Fe</w:t>
      </w:r>
      <w:proofErr w:type="spellEnd"/>
      <w:proofErr w:type="gramEnd"/>
      <w:r w:rsidRPr="007032A9">
        <w:rPr>
          <w:rFonts w:ascii="Times New Roman" w:eastAsia="Times New Roman" w:hAnsi="Times New Roman" w:cs="Times New Roman"/>
          <w:sz w:val="24"/>
          <w:szCs w:val="24"/>
        </w:rPr>
        <w:t>)</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mixtures.</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We will proceed by first presenting a short description of the thermodynamic framework within which the calculations were performed. In 3 Results for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and ringwoodite form of endmember Mg, 4 Results for the olivine,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and ringwoodite form of (</w:t>
      </w:r>
      <w:proofErr w:type="spellStart"/>
      <w:proofErr w:type="gramStart"/>
      <w:r w:rsidRPr="007032A9">
        <w:rPr>
          <w:rFonts w:ascii="Times New Roman" w:eastAsia="Times New Roman" w:hAnsi="Times New Roman" w:cs="Times New Roman"/>
          <w:sz w:val="24"/>
          <w:szCs w:val="24"/>
        </w:rPr>
        <w:t>Mg,Fe</w:t>
      </w:r>
      <w:proofErr w:type="spellEnd"/>
      <w:proofErr w:type="gramEnd"/>
      <w:r w:rsidRPr="007032A9">
        <w:rPr>
          <w:rFonts w:ascii="Times New Roman" w:eastAsia="Times New Roman" w:hAnsi="Times New Roman" w:cs="Times New Roman"/>
          <w:sz w:val="24"/>
          <w:szCs w:val="24"/>
        </w:rPr>
        <w:t>) the significance of the results will be checked, by comparing experimental data and calculated values for thermophysical properties and phase boundaries. In section 5 we discuss differences between our results and results obtained from various modern databases and finish with discussing some seismological implications.</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Section snippets</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The equation of state and formulation of the Gibbs energy</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The purpose of the present study is to derive expressions for the thermodynamic potentials of the endmembers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and Fe</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and the excess Gibbs energy of the solid solution phases olivine,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and ringwoodite. The parameters needed in the Gibbs energy formulation of the polymorphs of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and Fe</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are given in Table 1, Table 2. The Gibbs energy formulation of α-Mg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and α-Fe</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were taken from Jacobs and </w:t>
      </w:r>
      <w:proofErr w:type="spellStart"/>
      <w:r w:rsidRPr="007032A9">
        <w:rPr>
          <w:rFonts w:ascii="Times New Roman" w:eastAsia="Times New Roman" w:hAnsi="Times New Roman" w:cs="Times New Roman"/>
          <w:sz w:val="24"/>
          <w:szCs w:val="24"/>
        </w:rPr>
        <w:t>Oonk</w:t>
      </w:r>
      <w:proofErr w:type="spellEnd"/>
      <w:r w:rsidRPr="007032A9">
        <w:rPr>
          <w:rFonts w:ascii="Times New Roman" w:eastAsia="Times New Roman" w:hAnsi="Times New Roman" w:cs="Times New Roman"/>
          <w:sz w:val="24"/>
          <w:szCs w:val="24"/>
        </w:rPr>
        <w:t xml:space="preserve"> (2001) and Jacobs et al. (2001), respectively.</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To carry out</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7032A9">
        <w:rPr>
          <w:rFonts w:ascii="Times New Roman" w:eastAsia="Times New Roman" w:hAnsi="Times New Roman" w:cs="Times New Roman"/>
          <w:b/>
          <w:bCs/>
          <w:sz w:val="36"/>
          <w:szCs w:val="36"/>
        </w:rPr>
        <w:t>Wadsleyite</w:t>
      </w:r>
      <w:proofErr w:type="spellEnd"/>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Previously (Jacobs and </w:t>
      </w:r>
      <w:proofErr w:type="spellStart"/>
      <w:r w:rsidRPr="007032A9">
        <w:rPr>
          <w:rFonts w:ascii="Times New Roman" w:eastAsia="Times New Roman" w:hAnsi="Times New Roman" w:cs="Times New Roman"/>
          <w:sz w:val="24"/>
          <w:szCs w:val="24"/>
        </w:rPr>
        <w:t>Oonk</w:t>
      </w:r>
      <w:proofErr w:type="spellEnd"/>
      <w:r w:rsidRPr="007032A9">
        <w:rPr>
          <w:rFonts w:ascii="Times New Roman" w:eastAsia="Times New Roman" w:hAnsi="Times New Roman" w:cs="Times New Roman"/>
          <w:sz w:val="24"/>
          <w:szCs w:val="24"/>
        </w:rPr>
        <w:t xml:space="preserve">, 2001), we have used the data compiled by </w:t>
      </w:r>
      <w:proofErr w:type="spellStart"/>
      <w:r w:rsidRPr="007032A9">
        <w:rPr>
          <w:rFonts w:ascii="Times New Roman" w:eastAsia="Times New Roman" w:hAnsi="Times New Roman" w:cs="Times New Roman"/>
          <w:sz w:val="24"/>
          <w:szCs w:val="24"/>
        </w:rPr>
        <w:t>Jeanloz</w:t>
      </w:r>
      <w:proofErr w:type="spellEnd"/>
      <w:r w:rsidRPr="007032A9">
        <w:rPr>
          <w:rFonts w:ascii="Times New Roman" w:eastAsia="Times New Roman" w:hAnsi="Times New Roman" w:cs="Times New Roman"/>
          <w:sz w:val="24"/>
          <w:szCs w:val="24"/>
        </w:rPr>
        <w:t xml:space="preserve"> and Thompson (1983) for the volumes of the three polymorphs of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at ambient conditions. However, the resulting Gibbs energy formulation of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(β) and ringwoodite (γ) forms of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leads to an unsatisfactory representation of experimental volume data of Meng et al. (1993). In the present study we get a better representation of these data by accepting the value measured by Hazen et al. (1990) for</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 xml:space="preserve">Results for the olivine, </w:t>
      </w:r>
      <w:proofErr w:type="spellStart"/>
      <w:r w:rsidRPr="007032A9">
        <w:rPr>
          <w:rFonts w:ascii="Times New Roman" w:eastAsia="Times New Roman" w:hAnsi="Times New Roman" w:cs="Times New Roman"/>
          <w:b/>
          <w:bCs/>
          <w:sz w:val="36"/>
          <w:szCs w:val="36"/>
        </w:rPr>
        <w:t>wadsleyite</w:t>
      </w:r>
      <w:proofErr w:type="spellEnd"/>
      <w:r w:rsidRPr="007032A9">
        <w:rPr>
          <w:rFonts w:ascii="Times New Roman" w:eastAsia="Times New Roman" w:hAnsi="Times New Roman" w:cs="Times New Roman"/>
          <w:b/>
          <w:bCs/>
          <w:sz w:val="36"/>
          <w:szCs w:val="36"/>
        </w:rPr>
        <w:t>, and ringwoodite form of (</w:t>
      </w:r>
      <w:proofErr w:type="spellStart"/>
      <w:proofErr w:type="gramStart"/>
      <w:r w:rsidRPr="007032A9">
        <w:rPr>
          <w:rFonts w:ascii="Times New Roman" w:eastAsia="Times New Roman" w:hAnsi="Times New Roman" w:cs="Times New Roman"/>
          <w:b/>
          <w:bCs/>
          <w:sz w:val="36"/>
          <w:szCs w:val="36"/>
        </w:rPr>
        <w:t>Mg,Fe</w:t>
      </w:r>
      <w:proofErr w:type="spellEnd"/>
      <w:proofErr w:type="gramEnd"/>
      <w:r w:rsidRPr="007032A9">
        <w:rPr>
          <w:rFonts w:ascii="Times New Roman" w:eastAsia="Times New Roman" w:hAnsi="Times New Roman" w:cs="Times New Roman"/>
          <w:b/>
          <w:bCs/>
          <w:sz w:val="36"/>
          <w:szCs w:val="36"/>
        </w:rPr>
        <w:t>)</w:t>
      </w:r>
      <w:r w:rsidRPr="007032A9">
        <w:rPr>
          <w:rFonts w:ascii="Times New Roman" w:eastAsia="Times New Roman" w:hAnsi="Times New Roman" w:cs="Times New Roman"/>
          <w:b/>
          <w:bCs/>
          <w:sz w:val="36"/>
          <w:szCs w:val="36"/>
          <w:vertAlign w:val="subscript"/>
        </w:rPr>
        <w:t>2</w:t>
      </w:r>
      <w:r w:rsidRPr="007032A9">
        <w:rPr>
          <w:rFonts w:ascii="Times New Roman" w:eastAsia="Times New Roman" w:hAnsi="Times New Roman" w:cs="Times New Roman"/>
          <w:b/>
          <w:bCs/>
          <w:sz w:val="36"/>
          <w:szCs w:val="36"/>
        </w:rPr>
        <w:t>SiO</w:t>
      </w:r>
      <w:r w:rsidRPr="007032A9">
        <w:rPr>
          <w:rFonts w:ascii="Times New Roman" w:eastAsia="Times New Roman" w:hAnsi="Times New Roman" w:cs="Times New Roman"/>
          <w:b/>
          <w:bCs/>
          <w:sz w:val="36"/>
          <w:szCs w:val="36"/>
          <w:vertAlign w:val="subscript"/>
        </w:rPr>
        <w:t>4</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The excess Gibbs energy of olivine solid solutions was obtained by optimizing heat of mixing data of Wood and </w:t>
      </w:r>
      <w:proofErr w:type="spellStart"/>
      <w:r w:rsidRPr="007032A9">
        <w:rPr>
          <w:rFonts w:ascii="Times New Roman" w:eastAsia="Times New Roman" w:hAnsi="Times New Roman" w:cs="Times New Roman"/>
          <w:sz w:val="24"/>
          <w:szCs w:val="24"/>
        </w:rPr>
        <w:t>Kleppa</w:t>
      </w:r>
      <w:proofErr w:type="spellEnd"/>
      <w:r w:rsidRPr="007032A9">
        <w:rPr>
          <w:rFonts w:ascii="Times New Roman" w:eastAsia="Times New Roman" w:hAnsi="Times New Roman" w:cs="Times New Roman"/>
          <w:sz w:val="24"/>
          <w:szCs w:val="24"/>
        </w:rPr>
        <w:t xml:space="preserve"> (1981) and </w:t>
      </w:r>
      <w:proofErr w:type="spellStart"/>
      <w:r w:rsidRPr="007032A9">
        <w:rPr>
          <w:rFonts w:ascii="Times New Roman" w:eastAsia="Times New Roman" w:hAnsi="Times New Roman" w:cs="Times New Roman"/>
          <w:sz w:val="24"/>
          <w:szCs w:val="24"/>
        </w:rPr>
        <w:t>Kojitani</w:t>
      </w:r>
      <w:proofErr w:type="spellEnd"/>
      <w:r w:rsidRPr="007032A9">
        <w:rPr>
          <w:rFonts w:ascii="Times New Roman" w:eastAsia="Times New Roman" w:hAnsi="Times New Roman" w:cs="Times New Roman"/>
          <w:sz w:val="24"/>
          <w:szCs w:val="24"/>
        </w:rPr>
        <w:t xml:space="preserve"> and </w:t>
      </w:r>
      <w:proofErr w:type="spellStart"/>
      <w:r w:rsidRPr="007032A9">
        <w:rPr>
          <w:rFonts w:ascii="Times New Roman" w:eastAsia="Times New Roman" w:hAnsi="Times New Roman" w:cs="Times New Roman"/>
          <w:sz w:val="24"/>
          <w:szCs w:val="24"/>
        </w:rPr>
        <w:t>Akaogi</w:t>
      </w:r>
      <w:proofErr w:type="spellEnd"/>
      <w:r w:rsidRPr="007032A9">
        <w:rPr>
          <w:rFonts w:ascii="Times New Roman" w:eastAsia="Times New Roman" w:hAnsi="Times New Roman" w:cs="Times New Roman"/>
          <w:sz w:val="24"/>
          <w:szCs w:val="24"/>
        </w:rPr>
        <w:t xml:space="preserve"> (1994) and activity data of Nafziger and </w:t>
      </w:r>
      <w:proofErr w:type="spellStart"/>
      <w:r w:rsidRPr="007032A9">
        <w:rPr>
          <w:rFonts w:ascii="Times New Roman" w:eastAsia="Times New Roman" w:hAnsi="Times New Roman" w:cs="Times New Roman"/>
          <w:sz w:val="24"/>
          <w:szCs w:val="24"/>
        </w:rPr>
        <w:t>Muan</w:t>
      </w:r>
      <w:proofErr w:type="spellEnd"/>
      <w:r w:rsidRPr="007032A9">
        <w:rPr>
          <w:rFonts w:ascii="Times New Roman" w:eastAsia="Times New Roman" w:hAnsi="Times New Roman" w:cs="Times New Roman"/>
          <w:sz w:val="24"/>
          <w:szCs w:val="24"/>
        </w:rPr>
        <w:t xml:space="preserve"> (1967), and Wiser and Wood (1991). The accuracy of the experiments prevents </w:t>
      </w:r>
      <w:proofErr w:type="spellStart"/>
      <w:r w:rsidRPr="007032A9">
        <w:rPr>
          <w:rFonts w:ascii="Times New Roman" w:eastAsia="Times New Roman" w:hAnsi="Times New Roman" w:cs="Times New Roman"/>
          <w:sz w:val="24"/>
          <w:szCs w:val="24"/>
        </w:rPr>
        <w:t>optimisation</w:t>
      </w:r>
      <w:proofErr w:type="spellEnd"/>
      <w:r w:rsidRPr="007032A9">
        <w:rPr>
          <w:rFonts w:ascii="Times New Roman" w:eastAsia="Times New Roman" w:hAnsi="Times New Roman" w:cs="Times New Roman"/>
          <w:sz w:val="24"/>
          <w:szCs w:val="24"/>
        </w:rPr>
        <w:t xml:space="preserve"> of more than one excess energy parameter. Fisher and </w:t>
      </w:r>
      <w:proofErr w:type="spellStart"/>
      <w:r w:rsidRPr="007032A9">
        <w:rPr>
          <w:rFonts w:ascii="Times New Roman" w:eastAsia="Times New Roman" w:hAnsi="Times New Roman" w:cs="Times New Roman"/>
          <w:sz w:val="24"/>
          <w:szCs w:val="24"/>
        </w:rPr>
        <w:t>Medaris</w:t>
      </w:r>
      <w:proofErr w:type="spellEnd"/>
      <w:r w:rsidRPr="007032A9">
        <w:rPr>
          <w:rFonts w:ascii="Times New Roman" w:eastAsia="Times New Roman" w:hAnsi="Times New Roman" w:cs="Times New Roman"/>
          <w:sz w:val="24"/>
          <w:szCs w:val="24"/>
        </w:rPr>
        <w:t xml:space="preserve"> (1969) have determined excess volumes for olivine mixtures in an x-ray diffraction study, from which we derived one excess volume coefficient. The</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Olivine</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lastRenderedPageBreak/>
        <w:t>Figure 4 shows that the predicted adiabatic bulk modulus of an olivine (Mg</w:t>
      </w:r>
      <w:r w:rsidRPr="007032A9">
        <w:rPr>
          <w:rFonts w:ascii="Times New Roman" w:eastAsia="Times New Roman" w:hAnsi="Times New Roman" w:cs="Times New Roman"/>
          <w:sz w:val="24"/>
          <w:szCs w:val="24"/>
          <w:vertAlign w:val="subscript"/>
        </w:rPr>
        <w:t>0.</w:t>
      </w:r>
      <w:proofErr w:type="gramStart"/>
      <w:r w:rsidRPr="007032A9">
        <w:rPr>
          <w:rFonts w:ascii="Times New Roman" w:eastAsia="Times New Roman" w:hAnsi="Times New Roman" w:cs="Times New Roman"/>
          <w:sz w:val="24"/>
          <w:szCs w:val="24"/>
          <w:vertAlign w:val="subscript"/>
        </w:rPr>
        <w:t>9</w:t>
      </w:r>
      <w:r w:rsidRPr="007032A9">
        <w:rPr>
          <w:rFonts w:ascii="Times New Roman" w:eastAsia="Times New Roman" w:hAnsi="Times New Roman" w:cs="Times New Roman"/>
          <w:sz w:val="24"/>
          <w:szCs w:val="24"/>
        </w:rPr>
        <w:t>,Fe</w:t>
      </w:r>
      <w:proofErr w:type="gramEnd"/>
      <w:r w:rsidRPr="007032A9">
        <w:rPr>
          <w:rFonts w:ascii="Times New Roman" w:eastAsia="Times New Roman" w:hAnsi="Times New Roman" w:cs="Times New Roman"/>
          <w:sz w:val="24"/>
          <w:szCs w:val="24"/>
          <w:vertAlign w:val="subscript"/>
        </w:rPr>
        <w:t>0.1</w:t>
      </w:r>
      <w:r w:rsidRPr="007032A9">
        <w:rPr>
          <w:rFonts w:ascii="Times New Roman" w:eastAsia="Times New Roman" w:hAnsi="Times New Roman" w:cs="Times New Roman"/>
          <w:sz w:val="24"/>
          <w:szCs w:val="24"/>
        </w:rPr>
        <w:t>)</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mixture is in excellent agreement up to 17 </w:t>
      </w:r>
      <w:proofErr w:type="spellStart"/>
      <w:r w:rsidRPr="007032A9">
        <w:rPr>
          <w:rFonts w:ascii="Times New Roman" w:eastAsia="Times New Roman" w:hAnsi="Times New Roman" w:cs="Times New Roman"/>
          <w:sz w:val="24"/>
          <w:szCs w:val="24"/>
        </w:rPr>
        <w:t>GPa</w:t>
      </w:r>
      <w:proofErr w:type="spellEnd"/>
      <w:r w:rsidRPr="007032A9">
        <w:rPr>
          <w:rFonts w:ascii="Times New Roman" w:eastAsia="Times New Roman" w:hAnsi="Times New Roman" w:cs="Times New Roman"/>
          <w:sz w:val="24"/>
          <w:szCs w:val="24"/>
        </w:rPr>
        <w:t xml:space="preserve"> with experimental data of Abramson et al. (1997) and </w:t>
      </w:r>
      <w:proofErr w:type="spellStart"/>
      <w:r w:rsidRPr="007032A9">
        <w:rPr>
          <w:rFonts w:ascii="Times New Roman" w:eastAsia="Times New Roman" w:hAnsi="Times New Roman" w:cs="Times New Roman"/>
          <w:sz w:val="24"/>
          <w:szCs w:val="24"/>
        </w:rPr>
        <w:t>Zha</w:t>
      </w:r>
      <w:proofErr w:type="spellEnd"/>
      <w:r w:rsidRPr="007032A9">
        <w:rPr>
          <w:rFonts w:ascii="Times New Roman" w:eastAsia="Times New Roman" w:hAnsi="Times New Roman" w:cs="Times New Roman"/>
          <w:sz w:val="24"/>
          <w:szCs w:val="24"/>
        </w:rPr>
        <w:t xml:space="preserve"> et al.(1998). Above 17 </w:t>
      </w:r>
      <w:proofErr w:type="spellStart"/>
      <w:r w:rsidRPr="007032A9">
        <w:rPr>
          <w:rFonts w:ascii="Times New Roman" w:eastAsia="Times New Roman" w:hAnsi="Times New Roman" w:cs="Times New Roman"/>
          <w:sz w:val="24"/>
          <w:szCs w:val="24"/>
        </w:rPr>
        <w:t>GPa</w:t>
      </w:r>
      <w:proofErr w:type="spellEnd"/>
      <w:r w:rsidRPr="007032A9">
        <w:rPr>
          <w:rFonts w:ascii="Times New Roman" w:eastAsia="Times New Roman" w:hAnsi="Times New Roman" w:cs="Times New Roman"/>
          <w:sz w:val="24"/>
          <w:szCs w:val="24"/>
        </w:rPr>
        <w:t xml:space="preserve">, the latter investigators found a nonlinear behavior of shear elastic moduli with pressure, which may be associated with the onset of lattice instability when the material is compressed outside its stability field, resulting in amorphization of the material. We assumed that </w:t>
      </w:r>
      <w:proofErr w:type="gramStart"/>
      <w:r w:rsidRPr="007032A9">
        <w:rPr>
          <w:rFonts w:ascii="Times New Roman" w:eastAsia="Times New Roman" w:hAnsi="Times New Roman" w:cs="Times New Roman"/>
          <w:sz w:val="24"/>
          <w:szCs w:val="24"/>
        </w:rPr>
        <w:t>our</w:t>
      </w:r>
      <w:proofErr w:type="gramEnd"/>
      <w:r w:rsidRPr="007032A9">
        <w:rPr>
          <w:rFonts w:ascii="Times New Roman" w:eastAsia="Times New Roman" w:hAnsi="Times New Roman" w:cs="Times New Roman"/>
          <w:sz w:val="24"/>
          <w:szCs w:val="24"/>
        </w:rPr>
        <w:t xml:space="preserve"> </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Conclusions</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Volume-pressure-temperature measurements of the </w:t>
      </w:r>
      <w:proofErr w:type="spellStart"/>
      <w:r w:rsidRPr="007032A9">
        <w:rPr>
          <w:rFonts w:ascii="Times New Roman" w:eastAsia="Times New Roman" w:hAnsi="Times New Roman" w:cs="Times New Roman"/>
          <w:sz w:val="24"/>
          <w:szCs w:val="24"/>
        </w:rPr>
        <w:t>wadsleyite</w:t>
      </w:r>
      <w:proofErr w:type="spellEnd"/>
      <w:r w:rsidRPr="007032A9">
        <w:rPr>
          <w:rFonts w:ascii="Times New Roman" w:eastAsia="Times New Roman" w:hAnsi="Times New Roman" w:cs="Times New Roman"/>
          <w:sz w:val="24"/>
          <w:szCs w:val="24"/>
        </w:rPr>
        <w:t xml:space="preserve"> and ringwoodite solid solution phases in the system Mg</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-Fe</w:t>
      </w:r>
      <w:r w:rsidRPr="007032A9">
        <w:rPr>
          <w:rFonts w:ascii="Times New Roman" w:eastAsia="Times New Roman" w:hAnsi="Times New Roman" w:cs="Times New Roman"/>
          <w:sz w:val="24"/>
          <w:szCs w:val="24"/>
          <w:vertAlign w:val="subscript"/>
        </w:rPr>
        <w:t>2</w:t>
      </w:r>
      <w:r w:rsidRPr="007032A9">
        <w:rPr>
          <w:rFonts w:ascii="Times New Roman" w:eastAsia="Times New Roman" w:hAnsi="Times New Roman" w:cs="Times New Roman"/>
          <w:sz w:val="24"/>
          <w:szCs w:val="24"/>
        </w:rPr>
        <w:t>SiO</w:t>
      </w:r>
      <w:r w:rsidRPr="007032A9">
        <w:rPr>
          <w:rFonts w:ascii="Times New Roman" w:eastAsia="Times New Roman" w:hAnsi="Times New Roman" w:cs="Times New Roman"/>
          <w:sz w:val="24"/>
          <w:szCs w:val="24"/>
          <w:vertAlign w:val="subscript"/>
        </w:rPr>
        <w:t>4</w:t>
      </w:r>
      <w:r w:rsidRPr="007032A9">
        <w:rPr>
          <w:rFonts w:ascii="Times New Roman" w:eastAsia="Times New Roman" w:hAnsi="Times New Roman" w:cs="Times New Roman"/>
          <w:sz w:val="24"/>
          <w:szCs w:val="24"/>
        </w:rPr>
        <w:t xml:space="preserve"> show large inconsistencies. The explanation that the experiments of Hazen 1993, Meng et al 1993 and Meng et al. (1994) for ringwoodite suffered from a hydration effect is not consistent with the high value for the adiabatic bulk modulus at ambient conditions derived from these experiments.</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Two analyses were conducted to determine which experimental data sources are</w:t>
      </w:r>
    </w:p>
    <w:p w:rsidR="007032A9" w:rsidRPr="007032A9" w:rsidRDefault="007032A9" w:rsidP="007032A9">
      <w:pPr>
        <w:spacing w:before="100" w:beforeAutospacing="1" w:after="100" w:afterAutospacing="1" w:line="240" w:lineRule="auto"/>
        <w:outlineLvl w:val="1"/>
        <w:rPr>
          <w:rFonts w:ascii="Times New Roman" w:eastAsia="Times New Roman" w:hAnsi="Times New Roman" w:cs="Times New Roman"/>
          <w:b/>
          <w:bCs/>
          <w:sz w:val="36"/>
          <w:szCs w:val="36"/>
        </w:rPr>
      </w:pPr>
      <w:r w:rsidRPr="007032A9">
        <w:rPr>
          <w:rFonts w:ascii="Times New Roman" w:eastAsia="Times New Roman" w:hAnsi="Times New Roman" w:cs="Times New Roman"/>
          <w:b/>
          <w:bCs/>
          <w:sz w:val="36"/>
          <w:szCs w:val="36"/>
        </w:rPr>
        <w:t>Acknowledgments</w:t>
      </w:r>
    </w:p>
    <w:p w:rsidR="007032A9" w:rsidRPr="007032A9" w:rsidRDefault="007032A9" w:rsidP="007032A9">
      <w:pPr>
        <w:spacing w:before="100" w:beforeAutospacing="1" w:after="100" w:afterAutospacing="1" w:line="240" w:lineRule="auto"/>
        <w:rPr>
          <w:rFonts w:ascii="Times New Roman" w:eastAsia="Times New Roman" w:hAnsi="Times New Roman" w:cs="Times New Roman"/>
          <w:sz w:val="24"/>
          <w:szCs w:val="24"/>
        </w:rPr>
      </w:pPr>
      <w:r w:rsidRPr="007032A9">
        <w:rPr>
          <w:rFonts w:ascii="Times New Roman" w:eastAsia="Times New Roman" w:hAnsi="Times New Roman" w:cs="Times New Roman"/>
          <w:sz w:val="24"/>
          <w:szCs w:val="24"/>
        </w:rPr>
        <w:t xml:space="preserve">This work was supported by the Netherlands Research Centre for Integrated Solid Earth Science, for which we express our gratitude. We gratefully acknowledge constructive remarks and suggestions of J. </w:t>
      </w:r>
      <w:proofErr w:type="spellStart"/>
      <w:r w:rsidRPr="007032A9">
        <w:rPr>
          <w:rFonts w:ascii="Times New Roman" w:eastAsia="Times New Roman" w:hAnsi="Times New Roman" w:cs="Times New Roman"/>
          <w:sz w:val="24"/>
          <w:szCs w:val="24"/>
        </w:rPr>
        <w:t>Rustad</w:t>
      </w:r>
      <w:proofErr w:type="spellEnd"/>
      <w:r w:rsidRPr="007032A9">
        <w:rPr>
          <w:rFonts w:ascii="Times New Roman" w:eastAsia="Times New Roman" w:hAnsi="Times New Roman" w:cs="Times New Roman"/>
          <w:sz w:val="24"/>
          <w:szCs w:val="24"/>
        </w:rPr>
        <w:t xml:space="preserve"> and two anonymous reviewers, which improved the quality of the manuscript.</w:t>
      </w:r>
    </w:p>
    <w:p w:rsidR="00A451C5" w:rsidRDefault="00A451C5"/>
    <w:sectPr w:rsidR="00A451C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2A9"/>
    <w:rsid w:val="007032A9"/>
    <w:rsid w:val="00A45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6CCEC"/>
  <w15:chartTrackingRefBased/>
  <w15:docId w15:val="{ED9B615E-D9B2-492A-867F-E61DBA9F2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50164991">
      <w:bodyDiv w:val="1"/>
      <w:marLeft w:val="0"/>
      <w:marRight w:val="0"/>
      <w:marTop w:val="0"/>
      <w:marBottom w:val="0"/>
      <w:divBdr>
        <w:top w:val="none" w:sz="0" w:space="0" w:color="auto"/>
        <w:left w:val="none" w:sz="0" w:space="0" w:color="auto"/>
        <w:bottom w:val="none" w:sz="0" w:space="0" w:color="auto"/>
        <w:right w:val="none" w:sz="0" w:space="0" w:color="auto"/>
      </w:divBdr>
      <w:divsChild>
        <w:div w:id="504635818">
          <w:marLeft w:val="0"/>
          <w:marRight w:val="0"/>
          <w:marTop w:val="0"/>
          <w:marBottom w:val="0"/>
          <w:divBdr>
            <w:top w:val="none" w:sz="0" w:space="0" w:color="auto"/>
            <w:left w:val="none" w:sz="0" w:space="0" w:color="auto"/>
            <w:bottom w:val="none" w:sz="0" w:space="0" w:color="auto"/>
            <w:right w:val="none" w:sz="0" w:space="0" w:color="auto"/>
          </w:divBdr>
          <w:divsChild>
            <w:div w:id="1417750782">
              <w:marLeft w:val="0"/>
              <w:marRight w:val="0"/>
              <w:marTop w:val="0"/>
              <w:marBottom w:val="0"/>
              <w:divBdr>
                <w:top w:val="none" w:sz="0" w:space="0" w:color="auto"/>
                <w:left w:val="none" w:sz="0" w:space="0" w:color="auto"/>
                <w:bottom w:val="none" w:sz="0" w:space="0" w:color="auto"/>
                <w:right w:val="none" w:sz="0" w:space="0" w:color="auto"/>
              </w:divBdr>
              <w:divsChild>
                <w:div w:id="1583485875">
                  <w:marLeft w:val="0"/>
                  <w:marRight w:val="0"/>
                  <w:marTop w:val="0"/>
                  <w:marBottom w:val="0"/>
                  <w:divBdr>
                    <w:top w:val="none" w:sz="0" w:space="0" w:color="auto"/>
                    <w:left w:val="none" w:sz="0" w:space="0" w:color="auto"/>
                    <w:bottom w:val="none" w:sz="0" w:space="0" w:color="auto"/>
                    <w:right w:val="none" w:sz="0" w:space="0" w:color="auto"/>
                  </w:divBdr>
                  <w:divsChild>
                    <w:div w:id="181698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453248">
          <w:marLeft w:val="0"/>
          <w:marRight w:val="0"/>
          <w:marTop w:val="0"/>
          <w:marBottom w:val="0"/>
          <w:divBdr>
            <w:top w:val="none" w:sz="0" w:space="0" w:color="auto"/>
            <w:left w:val="none" w:sz="0" w:space="0" w:color="auto"/>
            <w:bottom w:val="none" w:sz="0" w:space="0" w:color="auto"/>
            <w:right w:val="none" w:sz="0" w:space="0" w:color="auto"/>
          </w:divBdr>
          <w:divsChild>
            <w:div w:id="1385064153">
              <w:marLeft w:val="0"/>
              <w:marRight w:val="0"/>
              <w:marTop w:val="0"/>
              <w:marBottom w:val="0"/>
              <w:divBdr>
                <w:top w:val="none" w:sz="0" w:space="0" w:color="auto"/>
                <w:left w:val="none" w:sz="0" w:space="0" w:color="auto"/>
                <w:bottom w:val="none" w:sz="0" w:space="0" w:color="auto"/>
                <w:right w:val="none" w:sz="0" w:space="0" w:color="auto"/>
              </w:divBdr>
              <w:divsChild>
                <w:div w:id="1523010194">
                  <w:marLeft w:val="0"/>
                  <w:marRight w:val="0"/>
                  <w:marTop w:val="0"/>
                  <w:marBottom w:val="0"/>
                  <w:divBdr>
                    <w:top w:val="none" w:sz="0" w:space="0" w:color="auto"/>
                    <w:left w:val="none" w:sz="0" w:space="0" w:color="auto"/>
                    <w:bottom w:val="none" w:sz="0" w:space="0" w:color="auto"/>
                    <w:right w:val="none" w:sz="0" w:space="0" w:color="auto"/>
                  </w:divBdr>
                  <w:divsChild>
                    <w:div w:id="33164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074051">
          <w:marLeft w:val="0"/>
          <w:marRight w:val="0"/>
          <w:marTop w:val="0"/>
          <w:marBottom w:val="0"/>
          <w:divBdr>
            <w:top w:val="none" w:sz="0" w:space="0" w:color="auto"/>
            <w:left w:val="none" w:sz="0" w:space="0" w:color="auto"/>
            <w:bottom w:val="none" w:sz="0" w:space="0" w:color="auto"/>
            <w:right w:val="none" w:sz="0" w:space="0" w:color="auto"/>
          </w:divBdr>
          <w:divsChild>
            <w:div w:id="1500463603">
              <w:marLeft w:val="0"/>
              <w:marRight w:val="0"/>
              <w:marTop w:val="0"/>
              <w:marBottom w:val="0"/>
              <w:divBdr>
                <w:top w:val="none" w:sz="0" w:space="0" w:color="auto"/>
                <w:left w:val="none" w:sz="0" w:space="0" w:color="auto"/>
                <w:bottom w:val="none" w:sz="0" w:space="0" w:color="auto"/>
                <w:right w:val="none" w:sz="0" w:space="0" w:color="auto"/>
              </w:divBdr>
            </w:div>
          </w:divsChild>
        </w:div>
        <w:div w:id="1645743148">
          <w:marLeft w:val="0"/>
          <w:marRight w:val="0"/>
          <w:marTop w:val="0"/>
          <w:marBottom w:val="0"/>
          <w:divBdr>
            <w:top w:val="none" w:sz="0" w:space="0" w:color="auto"/>
            <w:left w:val="none" w:sz="0" w:space="0" w:color="auto"/>
            <w:bottom w:val="none" w:sz="0" w:space="0" w:color="auto"/>
            <w:right w:val="none" w:sz="0" w:space="0" w:color="auto"/>
          </w:divBdr>
          <w:divsChild>
            <w:div w:id="17107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eodynamics"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acoustic-velocit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ingwoodite" TargetMode="External"/><Relationship Id="rId5" Type="http://schemas.openxmlformats.org/officeDocument/2006/relationships/hyperlink" Target="https://www.sciencedirect.com/topics/earth-and-planetary-sciences/wadsleyite" TargetMode="External"/><Relationship Id="rId10" Type="http://schemas.openxmlformats.org/officeDocument/2006/relationships/theme" Target="theme/theme1.xml"/><Relationship Id="rId4" Type="http://schemas.openxmlformats.org/officeDocument/2006/relationships/hyperlink" Target="https://doi.org/10.1016/j.gca.2005.05.002"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1135</Words>
  <Characters>6470</Characters>
  <Application>Microsoft Office Word</Application>
  <DocSecurity>0</DocSecurity>
  <Lines>53</Lines>
  <Paragraphs>15</Paragraphs>
  <ScaleCrop>false</ScaleCrop>
  <Company/>
  <LinksUpToDate>false</LinksUpToDate>
  <CharactersWithSpaces>7590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2023-11-18T03:31:00Z</dcterms:created>
  <dcterms:modified xsi:type="dcterms:W3CDTF">2023-11-18T03:31:00Z</dcterms:modified>
</cp:coreProperties>
</file>