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A46C1" w:rsidRPr="00EA46C1" w:rsidRDefault="00EA46C1" w:rsidP="00EA46C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A46C1">
        <w:rPr>
          <w:rFonts w:ascii="Times New Roman" w:eastAsia="Times New Roman" w:hAnsi="Times New Roman" w:cs="Times New Roman"/>
          <w:b/>
          <w:bCs/>
          <w:kern w:val="36"/>
          <w:sz w:val="48"/>
          <w:szCs w:val="48"/>
        </w:rPr>
        <w:t>Stable boron isotope fractionation between dissolved B(OH)</w:t>
      </w:r>
      <w:r w:rsidRPr="00EA46C1">
        <w:rPr>
          <w:rFonts w:ascii="Times New Roman" w:eastAsia="Times New Roman" w:hAnsi="Times New Roman" w:cs="Times New Roman"/>
          <w:b/>
          <w:bCs/>
          <w:kern w:val="36"/>
          <w:sz w:val="48"/>
          <w:szCs w:val="48"/>
          <w:vertAlign w:val="subscript"/>
        </w:rPr>
        <w:t>3</w:t>
      </w:r>
      <w:r w:rsidRPr="00EA46C1">
        <w:rPr>
          <w:rFonts w:ascii="Times New Roman" w:eastAsia="Times New Roman" w:hAnsi="Times New Roman" w:cs="Times New Roman"/>
          <w:b/>
          <w:bCs/>
          <w:kern w:val="36"/>
          <w:sz w:val="48"/>
          <w:szCs w:val="48"/>
        </w:rPr>
        <w:t xml:space="preserve"> and B(OH)</w:t>
      </w:r>
      <w:r w:rsidRPr="00EA46C1">
        <w:rPr>
          <w:rFonts w:ascii="Times New Roman" w:eastAsia="Times New Roman" w:hAnsi="Times New Roman" w:cs="Times New Roman"/>
          <w:b/>
          <w:bCs/>
          <w:kern w:val="36"/>
          <w:sz w:val="48"/>
          <w:szCs w:val="48"/>
          <w:vertAlign w:val="subscript"/>
        </w:rPr>
        <w:t>4</w:t>
      </w:r>
      <w:r w:rsidRPr="00EA46C1">
        <w:rPr>
          <w:rFonts w:ascii="Times New Roman" w:eastAsia="Times New Roman" w:hAnsi="Times New Roman" w:cs="Times New Roman"/>
          <w:b/>
          <w:bCs/>
          <w:kern w:val="36"/>
          <w:sz w:val="48"/>
          <w:szCs w:val="48"/>
          <w:vertAlign w:val="superscript"/>
        </w:rPr>
        <w:t>−</w:t>
      </w:r>
    </w:p>
    <w:p w:rsidR="00EA46C1" w:rsidRPr="00EA46C1" w:rsidRDefault="00EA46C1" w:rsidP="00EA46C1">
      <w:pPr>
        <w:spacing w:after="0"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Author links open overlay panel</w:t>
      </w:r>
    </w:p>
    <w:p w:rsidR="00EA46C1" w:rsidRPr="00EA46C1" w:rsidRDefault="00EA46C1" w:rsidP="00EA46C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EA46C1">
          <w:rPr>
            <w:rFonts w:ascii="Times New Roman" w:eastAsia="Times New Roman" w:hAnsi="Times New Roman" w:cs="Times New Roman"/>
            <w:color w:val="0000FF"/>
            <w:sz w:val="24"/>
            <w:szCs w:val="24"/>
            <w:u w:val="single"/>
          </w:rPr>
          <w:t>https://doi.org/10.1016/j.gca.2004.12.011</w:t>
        </w:r>
      </w:hyperlink>
      <w:bookmarkStart w:id="0" w:name="_GoBack"/>
      <w:bookmarkEnd w:id="0"/>
      <w:r w:rsidRPr="00EA46C1">
        <w:rPr>
          <w:rFonts w:ascii="Times New Roman" w:eastAsia="Times New Roman" w:hAnsi="Times New Roman" w:cs="Times New Roman"/>
          <w:sz w:val="24"/>
          <w:szCs w:val="24"/>
        </w:rPr>
        <w:t xml:space="preserve"> </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Abstract</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stable boron isotope ratio (</w:t>
      </w:r>
      <w:r w:rsidRPr="00EA46C1">
        <w:rPr>
          <w:rFonts w:ascii="Times New Roman" w:eastAsia="Times New Roman" w:hAnsi="Times New Roman" w:cs="Times New Roman"/>
          <w:sz w:val="24"/>
          <w:szCs w:val="24"/>
          <w:vertAlign w:val="superscript"/>
        </w:rPr>
        <w:t>11</w:t>
      </w:r>
      <w:r w:rsidRPr="00EA46C1">
        <w:rPr>
          <w:rFonts w:ascii="Times New Roman" w:eastAsia="Times New Roman" w:hAnsi="Times New Roman" w:cs="Times New Roman"/>
          <w:sz w:val="24"/>
          <w:szCs w:val="24"/>
        </w:rPr>
        <w:t>B/</w:t>
      </w:r>
      <w:r w:rsidRPr="00EA46C1">
        <w:rPr>
          <w:rFonts w:ascii="Times New Roman" w:eastAsia="Times New Roman" w:hAnsi="Times New Roman" w:cs="Times New Roman"/>
          <w:sz w:val="24"/>
          <w:szCs w:val="24"/>
          <w:vertAlign w:val="superscript"/>
        </w:rPr>
        <w:t>10</w:t>
      </w:r>
      <w:r w:rsidRPr="00EA46C1">
        <w:rPr>
          <w:rFonts w:ascii="Times New Roman" w:eastAsia="Times New Roman" w:hAnsi="Times New Roman" w:cs="Times New Roman"/>
          <w:sz w:val="24"/>
          <w:szCs w:val="24"/>
        </w:rPr>
        <w:t xml:space="preserve">B) in marine carbonates is used as a paleo-pH recorder and is one of the most promising paleo-carbonate chemistry proxies. Understanding the thermodynamic basis of the proxy is of fundamental importance, including knowledge on the equilibrium fractionation factor between dissolved </w:t>
      </w:r>
      <w:hyperlink r:id="rId5" w:tooltip="Learn more about boric acid from ScienceDirect's AI-generated Topic Pages" w:history="1">
        <w:r w:rsidRPr="00EA46C1">
          <w:rPr>
            <w:rFonts w:ascii="Times New Roman" w:eastAsia="Times New Roman" w:hAnsi="Times New Roman" w:cs="Times New Roman"/>
            <w:color w:val="0000FF"/>
            <w:sz w:val="24"/>
            <w:szCs w:val="24"/>
            <w:u w:val="single"/>
          </w:rPr>
          <w:t>boric acid</w:t>
        </w:r>
      </w:hyperlink>
      <w:r w:rsidRPr="00EA46C1">
        <w:rPr>
          <w:rFonts w:ascii="Times New Roman" w:eastAsia="Times New Roman" w:hAnsi="Times New Roman" w:cs="Times New Roman"/>
          <w:sz w:val="24"/>
          <w:szCs w:val="24"/>
        </w:rPr>
        <w:t>,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and borate ion,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xml:space="preserve"> (</w:t>
      </w:r>
    </w:p>
    <w:p w:rsidR="00EA46C1" w:rsidRPr="00EA46C1" w:rsidRDefault="00EA46C1" w:rsidP="00EA46C1">
      <w:pPr>
        <w:spacing w:after="0"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hereafter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However, this factor has hitherto not been determined experimentally and a theoretically calculated value (</w:t>
      </w:r>
      <w:proofErr w:type="spellStart"/>
      <w:r w:rsidRPr="00EA46C1">
        <w:rPr>
          <w:rFonts w:ascii="Times New Roman" w:eastAsia="Times New Roman" w:hAnsi="Times New Roman" w:cs="Times New Roman"/>
          <w:sz w:val="24"/>
          <w:szCs w:val="24"/>
        </w:rPr>
        <w:fldChar w:fldCharType="begin"/>
      </w:r>
      <w:r w:rsidRPr="00EA46C1">
        <w:rPr>
          <w:rFonts w:ascii="Times New Roman" w:eastAsia="Times New Roman" w:hAnsi="Times New Roman" w:cs="Times New Roman"/>
          <w:sz w:val="24"/>
          <w:szCs w:val="24"/>
        </w:rPr>
        <w:instrText xml:space="preserve"> HYPERLINK "https://www.sciencedirect.com/science/article/abs/pii/S0016703705000062?via%3Dihub" \l "bib21" </w:instrText>
      </w:r>
      <w:r w:rsidRPr="00EA46C1">
        <w:rPr>
          <w:rFonts w:ascii="Times New Roman" w:eastAsia="Times New Roman" w:hAnsi="Times New Roman" w:cs="Times New Roman"/>
          <w:sz w:val="24"/>
          <w:szCs w:val="24"/>
        </w:rPr>
        <w:fldChar w:fldCharType="separate"/>
      </w:r>
      <w:r w:rsidRPr="00EA46C1">
        <w:rPr>
          <w:rFonts w:ascii="Times New Roman" w:eastAsia="Times New Roman" w:hAnsi="Times New Roman" w:cs="Times New Roman"/>
          <w:color w:val="0000FF"/>
          <w:sz w:val="24"/>
          <w:szCs w:val="24"/>
          <w:u w:val="single"/>
        </w:rPr>
        <w:t>Kakihana</w:t>
      </w:r>
      <w:proofErr w:type="spellEnd"/>
      <w:r w:rsidRPr="00EA46C1">
        <w:rPr>
          <w:rFonts w:ascii="Times New Roman" w:eastAsia="Times New Roman" w:hAnsi="Times New Roman" w:cs="Times New Roman"/>
          <w:color w:val="0000FF"/>
          <w:sz w:val="24"/>
          <w:szCs w:val="24"/>
          <w:u w:val="single"/>
        </w:rPr>
        <w:t xml:space="preserve"> and </w:t>
      </w:r>
      <w:proofErr w:type="spellStart"/>
      <w:r w:rsidRPr="00EA46C1">
        <w:rPr>
          <w:rFonts w:ascii="Times New Roman" w:eastAsia="Times New Roman" w:hAnsi="Times New Roman" w:cs="Times New Roman"/>
          <w:color w:val="0000FF"/>
          <w:sz w:val="24"/>
          <w:szCs w:val="24"/>
          <w:u w:val="single"/>
        </w:rPr>
        <w:t>Kotaka</w:t>
      </w:r>
      <w:proofErr w:type="spellEnd"/>
      <w:r w:rsidRPr="00EA46C1">
        <w:rPr>
          <w:rFonts w:ascii="Times New Roman" w:eastAsia="Times New Roman" w:hAnsi="Times New Roman" w:cs="Times New Roman"/>
          <w:color w:val="0000FF"/>
          <w:sz w:val="24"/>
          <w:szCs w:val="24"/>
          <w:u w:val="single"/>
        </w:rPr>
        <w:t>, 1977</w:t>
      </w:r>
      <w:r w:rsidRPr="00EA46C1">
        <w:rPr>
          <w:rFonts w:ascii="Times New Roman" w:eastAsia="Times New Roman" w:hAnsi="Times New Roman" w:cs="Times New Roman"/>
          <w:sz w:val="24"/>
          <w:szCs w:val="24"/>
        </w:rPr>
        <w:fldChar w:fldCharType="end"/>
      </w:r>
      <w:r w:rsidRPr="00EA46C1">
        <w:rPr>
          <w:rFonts w:ascii="Times New Roman" w:eastAsia="Times New Roman" w:hAnsi="Times New Roman" w:cs="Times New Roman"/>
          <w:sz w:val="24"/>
          <w:szCs w:val="24"/>
        </w:rPr>
        <w:t xml:space="preserve">, hereafter KK77) has therefore been widely used. I examine the calculations underlying this value. Using the same spectroscopic data and methods as KK77, I calculate the same </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 1.0193 at 300 K. Unfortunately, it turns out that in general the result is sensitive to the experimentally determined vibrational frequencies and the theoretical methods used to calculate the molecular forces. Using analytical techniques and </w:t>
      </w:r>
      <w:r w:rsidRPr="00EA46C1">
        <w:rPr>
          <w:rFonts w:ascii="Times New Roman" w:eastAsia="Times New Roman" w:hAnsi="Times New Roman" w:cs="Times New Roman"/>
          <w:i/>
          <w:iCs/>
          <w:sz w:val="24"/>
          <w:szCs w:val="24"/>
        </w:rPr>
        <w:t>ab initio</w:t>
      </w:r>
      <w:r w:rsidRPr="00EA46C1">
        <w:rPr>
          <w:rFonts w:ascii="Times New Roman" w:eastAsia="Times New Roman" w:hAnsi="Times New Roman" w:cs="Times New Roman"/>
          <w:sz w:val="24"/>
          <w:szCs w:val="24"/>
        </w:rPr>
        <w:t xml:space="preserve"> molecular orbital theory, the outcome for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varies between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 xml:space="preserve">1.020 and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1.050 at 300 K. However, several arguments suggest that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 xml:space="preserve"> 1.030. Measured isotopic shifts in various </w:t>
      </w:r>
      <w:r w:rsidRPr="00EA46C1">
        <w:rPr>
          <w:rFonts w:ascii="Times New Roman" w:eastAsia="Times New Roman" w:hAnsi="Times New Roman" w:cs="Times New Roman"/>
          <w:sz w:val="24"/>
          <w:szCs w:val="24"/>
          <w:vertAlign w:val="superscript"/>
        </w:rPr>
        <w:t>10</w:t>
      </w:r>
      <w:r w:rsidRPr="00EA46C1">
        <w:rPr>
          <w:rFonts w:ascii="Times New Roman" w:eastAsia="Times New Roman" w:hAnsi="Times New Roman" w:cs="Times New Roman"/>
          <w:sz w:val="24"/>
          <w:szCs w:val="24"/>
        </w:rPr>
        <w:t xml:space="preserve">B-, </w:t>
      </w:r>
      <w:r w:rsidRPr="00EA46C1">
        <w:rPr>
          <w:rFonts w:ascii="Times New Roman" w:eastAsia="Times New Roman" w:hAnsi="Times New Roman" w:cs="Times New Roman"/>
          <w:sz w:val="24"/>
          <w:szCs w:val="24"/>
          <w:vertAlign w:val="superscript"/>
        </w:rPr>
        <w:t>2</w:t>
      </w:r>
      <w:r w:rsidRPr="00EA46C1">
        <w:rPr>
          <w:rFonts w:ascii="Times New Roman" w:eastAsia="Times New Roman" w:hAnsi="Times New Roman" w:cs="Times New Roman"/>
          <w:sz w:val="24"/>
          <w:szCs w:val="24"/>
        </w:rPr>
        <w:t xml:space="preserve">D-, and </w:t>
      </w:r>
      <w:r w:rsidRPr="00EA46C1">
        <w:rPr>
          <w:rFonts w:ascii="Times New Roman" w:eastAsia="Times New Roman" w:hAnsi="Times New Roman" w:cs="Times New Roman"/>
          <w:sz w:val="24"/>
          <w:szCs w:val="24"/>
          <w:vertAlign w:val="superscript"/>
        </w:rPr>
        <w:t>18</w:t>
      </w:r>
      <w:r w:rsidRPr="00EA46C1">
        <w:rPr>
          <w:rFonts w:ascii="Times New Roman" w:eastAsia="Times New Roman" w:hAnsi="Times New Roman" w:cs="Times New Roman"/>
          <w:sz w:val="24"/>
          <w:szCs w:val="24"/>
        </w:rPr>
        <w:t xml:space="preserve">O-labeled </w:t>
      </w:r>
      <w:proofErr w:type="spellStart"/>
      <w:r w:rsidRPr="00EA46C1">
        <w:rPr>
          <w:rFonts w:ascii="Times New Roman" w:eastAsia="Times New Roman" w:hAnsi="Times New Roman" w:cs="Times New Roman"/>
          <w:sz w:val="24"/>
          <w:szCs w:val="24"/>
        </w:rPr>
        <w:t>isotopomers</w:t>
      </w:r>
      <w:proofErr w:type="spellEnd"/>
      <w:r w:rsidRPr="00EA46C1">
        <w:rPr>
          <w:rFonts w:ascii="Times New Roman" w:eastAsia="Times New Roman" w:hAnsi="Times New Roman" w:cs="Times New Roman"/>
          <w:sz w:val="24"/>
          <w:szCs w:val="24"/>
        </w:rPr>
        <w:t xml:space="preserve"> do not provide a constraint on stable boron isotope fractionation. I conclude that in order to anchor the fundamentals of the boron pH proxy, experimental work is required. The critics of the boron pH proxy should note, however, that uncertainties in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do not bias pH reconstructions provided that organism-specific calibrations are used.</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Introduction</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goal of the current work is to establish a value for the equilibrium stable boron isotope fractionation between dissolved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and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The information sought is of geochemical interest, yet the sole way to retrieve this information — if not by experimental means — is currently through physical theories and mathematical calculations. The latter approach is followed here and therefore this is a mathematical paper. However, since my primary goal is to contribute to a geochemical problem, the current work is not published in a physical chemistry journal because it would remain unrecognized by the geochemical community.</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It is interesting to note that because there is yet no experimental value for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(see section 9.2), this is in some respect similar to the determination of the stable oxygen isotope fractionation between water and calcite which Urey first calculated in his theoretical landmark paper (Urey, 1947) but which was experimentally established only 3 years later (McCrea et al., 1950). It is just that the corresponding time lag in the present case already amounts up to 28 years.</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value of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is of fundamental importance for the basis of the stable boron isotope proxy which is one of the most promising tools to reconstructing atmospheric CO</w:t>
      </w:r>
      <w:r w:rsidRPr="00EA46C1">
        <w:rPr>
          <w:rFonts w:ascii="Times New Roman" w:eastAsia="Times New Roman" w:hAnsi="Times New Roman" w:cs="Times New Roman"/>
          <w:sz w:val="24"/>
          <w:szCs w:val="24"/>
          <w:vertAlign w:val="subscript"/>
        </w:rPr>
        <w:t>2</w:t>
      </w:r>
      <w:r w:rsidRPr="00EA46C1">
        <w:rPr>
          <w:rFonts w:ascii="Times New Roman" w:eastAsia="Times New Roman" w:hAnsi="Times New Roman" w:cs="Times New Roman"/>
          <w:sz w:val="24"/>
          <w:szCs w:val="24"/>
        </w:rPr>
        <w:t xml:space="preserve"> in the past. More </w:t>
      </w:r>
      <w:r w:rsidRPr="00EA46C1">
        <w:rPr>
          <w:rFonts w:ascii="Times New Roman" w:eastAsia="Times New Roman" w:hAnsi="Times New Roman" w:cs="Times New Roman"/>
          <w:sz w:val="24"/>
          <w:szCs w:val="24"/>
        </w:rPr>
        <w:lastRenderedPageBreak/>
        <w:t>specifically, stable boron isotopes from fossil marine carbonates such as foraminifera are used to reconstruct the pH of the paleo-ocean which, combined with additional information, holds the key to paleo-</w:t>
      </w:r>
      <w:r w:rsidRPr="00EA46C1">
        <w:rPr>
          <w:rFonts w:ascii="Times New Roman" w:eastAsia="Times New Roman" w:hAnsi="Times New Roman" w:cs="Times New Roman"/>
          <w:i/>
          <w:iCs/>
          <w:sz w:val="24"/>
          <w:szCs w:val="24"/>
        </w:rPr>
        <w:t>p</w:t>
      </w:r>
      <w:r w:rsidRPr="00EA46C1">
        <w:rPr>
          <w:rFonts w:ascii="Times New Roman" w:eastAsia="Times New Roman" w:hAnsi="Times New Roman" w:cs="Times New Roman"/>
          <w:sz w:val="24"/>
          <w:szCs w:val="24"/>
        </w:rPr>
        <w:t>CO</w:t>
      </w:r>
      <w:r w:rsidRPr="00EA46C1">
        <w:rPr>
          <w:rFonts w:ascii="Times New Roman" w:eastAsia="Times New Roman" w:hAnsi="Times New Roman" w:cs="Times New Roman"/>
          <w:sz w:val="24"/>
          <w:szCs w:val="24"/>
          <w:vertAlign w:val="subscript"/>
        </w:rPr>
        <w:t>2</w:t>
      </w:r>
      <w:r w:rsidRPr="00EA46C1">
        <w:rPr>
          <w:rFonts w:ascii="Times New Roman" w:eastAsia="Times New Roman" w:hAnsi="Times New Roman" w:cs="Times New Roman"/>
          <w:sz w:val="24"/>
          <w:szCs w:val="24"/>
        </w:rPr>
        <w:t xml:space="preserve"> levels (e.g., Hemming and Hanson 1992, </w:t>
      </w:r>
      <w:proofErr w:type="spellStart"/>
      <w:r w:rsidRPr="00EA46C1">
        <w:rPr>
          <w:rFonts w:ascii="Times New Roman" w:eastAsia="Times New Roman" w:hAnsi="Times New Roman" w:cs="Times New Roman"/>
          <w:sz w:val="24"/>
          <w:szCs w:val="24"/>
        </w:rPr>
        <w:t>Spivack</w:t>
      </w:r>
      <w:proofErr w:type="spellEnd"/>
      <w:r w:rsidRPr="00EA46C1">
        <w:rPr>
          <w:rFonts w:ascii="Times New Roman" w:eastAsia="Times New Roman" w:hAnsi="Times New Roman" w:cs="Times New Roman"/>
          <w:sz w:val="24"/>
          <w:szCs w:val="24"/>
        </w:rPr>
        <w:t xml:space="preserve"> et al 1993, </w:t>
      </w:r>
      <w:proofErr w:type="spellStart"/>
      <w:r w:rsidRPr="00EA46C1">
        <w:rPr>
          <w:rFonts w:ascii="Times New Roman" w:eastAsia="Times New Roman" w:hAnsi="Times New Roman" w:cs="Times New Roman"/>
          <w:sz w:val="24"/>
          <w:szCs w:val="24"/>
        </w:rPr>
        <w:t>Sanyal</w:t>
      </w:r>
      <w:proofErr w:type="spellEnd"/>
      <w:r w:rsidRPr="00EA46C1">
        <w:rPr>
          <w:rFonts w:ascii="Times New Roman" w:eastAsia="Times New Roman" w:hAnsi="Times New Roman" w:cs="Times New Roman"/>
          <w:sz w:val="24"/>
          <w:szCs w:val="24"/>
        </w:rPr>
        <w:t xml:space="preserve"> et al 1995, Palmer et al 1998, Pearson and Palmer 2000, Tyrrell and </w:t>
      </w:r>
      <w:proofErr w:type="spellStart"/>
      <w:r w:rsidRPr="00EA46C1">
        <w:rPr>
          <w:rFonts w:ascii="Times New Roman" w:eastAsia="Times New Roman" w:hAnsi="Times New Roman" w:cs="Times New Roman"/>
          <w:sz w:val="24"/>
          <w:szCs w:val="24"/>
        </w:rPr>
        <w:t>Zeebe</w:t>
      </w:r>
      <w:proofErr w:type="spellEnd"/>
      <w:r w:rsidRPr="00EA46C1">
        <w:rPr>
          <w:rFonts w:ascii="Times New Roman" w:eastAsia="Times New Roman" w:hAnsi="Times New Roman" w:cs="Times New Roman"/>
          <w:sz w:val="24"/>
          <w:szCs w:val="24"/>
        </w:rPr>
        <w:t xml:space="preserve"> 2004). This technique may be referred to as ‘</w:t>
      </w:r>
      <w:proofErr w:type="spellStart"/>
      <w:r w:rsidRPr="00EA46C1">
        <w:rPr>
          <w:rFonts w:ascii="Times New Roman" w:eastAsia="Times New Roman" w:hAnsi="Times New Roman" w:cs="Times New Roman"/>
          <w:sz w:val="24"/>
          <w:szCs w:val="24"/>
        </w:rPr>
        <w:t>paleoacidimetry</w:t>
      </w:r>
      <w:proofErr w:type="spellEnd"/>
      <w:r w:rsidRPr="00EA46C1">
        <w:rPr>
          <w:rFonts w:ascii="Times New Roman" w:eastAsia="Times New Roman" w:hAnsi="Times New Roman" w:cs="Times New Roman"/>
          <w:sz w:val="24"/>
          <w:szCs w:val="24"/>
        </w:rPr>
        <w:t>’ (Fig. 1) and theoretical aspects of this tool are currently investigated by the author of the present paper and co-workers (</w:t>
      </w:r>
      <w:proofErr w:type="spellStart"/>
      <w:r w:rsidRPr="00EA46C1">
        <w:rPr>
          <w:rFonts w:ascii="Times New Roman" w:eastAsia="Times New Roman" w:hAnsi="Times New Roman" w:cs="Times New Roman"/>
          <w:sz w:val="24"/>
          <w:szCs w:val="24"/>
        </w:rPr>
        <w:t>Zeebe</w:t>
      </w:r>
      <w:proofErr w:type="spellEnd"/>
      <w:r w:rsidRPr="00EA46C1">
        <w:rPr>
          <w:rFonts w:ascii="Times New Roman" w:eastAsia="Times New Roman" w:hAnsi="Times New Roman" w:cs="Times New Roman"/>
          <w:sz w:val="24"/>
          <w:szCs w:val="24"/>
        </w:rPr>
        <w:t xml:space="preserve"> et al 2001, </w:t>
      </w:r>
      <w:proofErr w:type="spellStart"/>
      <w:r w:rsidRPr="00EA46C1">
        <w:rPr>
          <w:rFonts w:ascii="Times New Roman" w:eastAsia="Times New Roman" w:hAnsi="Times New Roman" w:cs="Times New Roman"/>
          <w:sz w:val="24"/>
          <w:szCs w:val="24"/>
        </w:rPr>
        <w:t>Zeebe</w:t>
      </w:r>
      <w:proofErr w:type="spellEnd"/>
      <w:r w:rsidRPr="00EA46C1">
        <w:rPr>
          <w:rFonts w:ascii="Times New Roman" w:eastAsia="Times New Roman" w:hAnsi="Times New Roman" w:cs="Times New Roman"/>
          <w:sz w:val="24"/>
          <w:szCs w:val="24"/>
        </w:rPr>
        <w:t xml:space="preserve"> et al 2003).</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application of stable boron isotope fractionation to urgent questions such as past atmospheric CO</w:t>
      </w:r>
      <w:r w:rsidRPr="00EA46C1">
        <w:rPr>
          <w:rFonts w:ascii="Times New Roman" w:eastAsia="Times New Roman" w:hAnsi="Times New Roman" w:cs="Times New Roman"/>
          <w:sz w:val="24"/>
          <w:szCs w:val="24"/>
          <w:vertAlign w:val="subscript"/>
        </w:rPr>
        <w:t>2</w:t>
      </w:r>
      <w:r w:rsidRPr="00EA46C1">
        <w:rPr>
          <w:rFonts w:ascii="Times New Roman" w:eastAsia="Times New Roman" w:hAnsi="Times New Roman" w:cs="Times New Roman"/>
          <w:sz w:val="24"/>
          <w:szCs w:val="24"/>
        </w:rPr>
        <w:t xml:space="preserve"> levels indicates the necessity to comprehend the thermodynamic basis of this tool. This includes the determination of an accurate value of the fractionation factor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between the dominant dissolved boron species in seawater, boric acid and borate ion. As mentioned above, the factor has hitherto not been determined experimentally (see section 9.2). As a result, theoretical values such as </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1.0193 (at 300 K) from KK77 are widely used in the literature (cf. also Christoph et al., 1976, and Oi, 2000). Due to the growing interest in boron isotope systematics, it is timely to investigate how this value was derived, how reliable it is, and how sensitive it is to variations in data and parameter values that go into the calculations. The calculations are not trivial and the mathematical techniques required are not among the tools of primary interest to geochemists or paleoceanographers — the results of the calculations, however, are.</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In the current paper I will re-examine the calculations of KK77 and </w:t>
      </w:r>
      <w:proofErr w:type="spellStart"/>
      <w:r w:rsidRPr="00EA46C1">
        <w:rPr>
          <w:rFonts w:ascii="Times New Roman" w:eastAsia="Times New Roman" w:hAnsi="Times New Roman" w:cs="Times New Roman"/>
          <w:sz w:val="24"/>
          <w:szCs w:val="24"/>
        </w:rPr>
        <w:t>Kotaka</w:t>
      </w:r>
      <w:proofErr w:type="spellEnd"/>
      <w:r w:rsidRPr="00EA46C1">
        <w:rPr>
          <w:rFonts w:ascii="Times New Roman" w:eastAsia="Times New Roman" w:hAnsi="Times New Roman" w:cs="Times New Roman"/>
          <w:sz w:val="24"/>
          <w:szCs w:val="24"/>
        </w:rPr>
        <w:t xml:space="preserve"> and </w:t>
      </w:r>
      <w:proofErr w:type="spellStart"/>
      <w:r w:rsidRPr="00EA46C1">
        <w:rPr>
          <w:rFonts w:ascii="Times New Roman" w:eastAsia="Times New Roman" w:hAnsi="Times New Roman" w:cs="Times New Roman"/>
          <w:sz w:val="24"/>
          <w:szCs w:val="24"/>
        </w:rPr>
        <w:t>Kakihana</w:t>
      </w:r>
      <w:proofErr w:type="spellEnd"/>
      <w:r w:rsidRPr="00EA46C1">
        <w:rPr>
          <w:rFonts w:ascii="Times New Roman" w:eastAsia="Times New Roman" w:hAnsi="Times New Roman" w:cs="Times New Roman"/>
          <w:sz w:val="24"/>
          <w:szCs w:val="24"/>
        </w:rPr>
        <w:t xml:space="preserve"> (1977) (sections 2 Thermodynamic isotope fractionation, 3 Application to B(OH)). Using the same spectroscopic data and methods as KK77, I also calculate </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 1.0193 at 300 K (section 3.3). I will then show that in general, however, the result sensitively depends on the vibrational frequencies of the involved molecules (section 4) and the theoretical methods used to calculate the forces in the molecule (sections 5 Influence of different methods to calculate molecular forces, </w:t>
      </w:r>
      <w:proofErr w:type="gramStart"/>
      <w:r w:rsidRPr="00EA46C1">
        <w:rPr>
          <w:rFonts w:ascii="Times New Roman" w:eastAsia="Times New Roman" w:hAnsi="Times New Roman" w:cs="Times New Roman"/>
          <w:sz w:val="24"/>
          <w:szCs w:val="24"/>
        </w:rPr>
        <w:t>6 )</w:t>
      </w:r>
      <w:proofErr w:type="gramEnd"/>
      <w:r w:rsidRPr="00EA46C1">
        <w:rPr>
          <w:rFonts w:ascii="Times New Roman" w:eastAsia="Times New Roman" w:hAnsi="Times New Roman" w:cs="Times New Roman"/>
          <w:sz w:val="24"/>
          <w:szCs w:val="24"/>
        </w:rPr>
        <w:t>. Using the spectroscopic data available in the literature and different theoretical methods, the outcome for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varies between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 xml:space="preserve">1.020 and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1.050 at 300 K. However, several lines of reasoning indicate that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w:t>
      </w:r>
      <w:r w:rsidRPr="00EA46C1">
        <w:rPr>
          <w:rFonts w:ascii="Cambria Math" w:eastAsia="Times New Roman" w:hAnsi="Cambria Math" w:cs="Cambria Math"/>
          <w:sz w:val="24"/>
          <w:szCs w:val="24"/>
        </w:rPr>
        <w:t>≳</w:t>
      </w:r>
      <w:r w:rsidRPr="00EA46C1">
        <w:rPr>
          <w:rFonts w:ascii="Times New Roman" w:eastAsia="Times New Roman" w:hAnsi="Times New Roman" w:cs="Times New Roman"/>
          <w:sz w:val="24"/>
          <w:szCs w:val="24"/>
        </w:rPr>
        <w:t xml:space="preserve"> 1.030. Unfortunately, measured isotopic shifts in various </w:t>
      </w:r>
      <w:proofErr w:type="spellStart"/>
      <w:r w:rsidRPr="00EA46C1">
        <w:rPr>
          <w:rFonts w:ascii="Times New Roman" w:eastAsia="Times New Roman" w:hAnsi="Times New Roman" w:cs="Times New Roman"/>
          <w:sz w:val="24"/>
          <w:szCs w:val="24"/>
        </w:rPr>
        <w:t>isotopomers</w:t>
      </w:r>
      <w:proofErr w:type="spellEnd"/>
      <w:r w:rsidRPr="00EA46C1">
        <w:rPr>
          <w:rFonts w:ascii="Times New Roman" w:eastAsia="Times New Roman" w:hAnsi="Times New Roman" w:cs="Times New Roman"/>
          <w:sz w:val="24"/>
          <w:szCs w:val="24"/>
        </w:rPr>
        <w:t xml:space="preserve"> of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and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xml:space="preserve">, labeled with </w:t>
      </w:r>
      <w:r w:rsidRPr="00EA46C1">
        <w:rPr>
          <w:rFonts w:ascii="Times New Roman" w:eastAsia="Times New Roman" w:hAnsi="Times New Roman" w:cs="Times New Roman"/>
          <w:sz w:val="24"/>
          <w:szCs w:val="24"/>
          <w:vertAlign w:val="superscript"/>
        </w:rPr>
        <w:t>10</w:t>
      </w:r>
      <w:r w:rsidRPr="00EA46C1">
        <w:rPr>
          <w:rFonts w:ascii="Times New Roman" w:eastAsia="Times New Roman" w:hAnsi="Times New Roman" w:cs="Times New Roman"/>
          <w:sz w:val="24"/>
          <w:szCs w:val="24"/>
        </w:rPr>
        <w:t xml:space="preserve">B, </w:t>
      </w:r>
      <w:r w:rsidRPr="00EA46C1">
        <w:rPr>
          <w:rFonts w:ascii="Times New Roman" w:eastAsia="Times New Roman" w:hAnsi="Times New Roman" w:cs="Times New Roman"/>
          <w:sz w:val="24"/>
          <w:szCs w:val="24"/>
          <w:vertAlign w:val="superscript"/>
        </w:rPr>
        <w:t>2</w:t>
      </w:r>
      <w:r w:rsidRPr="00EA46C1">
        <w:rPr>
          <w:rFonts w:ascii="Times New Roman" w:eastAsia="Times New Roman" w:hAnsi="Times New Roman" w:cs="Times New Roman"/>
          <w:sz w:val="24"/>
          <w:szCs w:val="24"/>
        </w:rPr>
        <w:t xml:space="preserve">D, and </w:t>
      </w:r>
      <w:r w:rsidRPr="00EA46C1">
        <w:rPr>
          <w:rFonts w:ascii="Times New Roman" w:eastAsia="Times New Roman" w:hAnsi="Times New Roman" w:cs="Times New Roman"/>
          <w:sz w:val="24"/>
          <w:szCs w:val="24"/>
          <w:vertAlign w:val="superscript"/>
        </w:rPr>
        <w:t>18</w:t>
      </w:r>
      <w:r w:rsidRPr="00EA46C1">
        <w:rPr>
          <w:rFonts w:ascii="Times New Roman" w:eastAsia="Times New Roman" w:hAnsi="Times New Roman" w:cs="Times New Roman"/>
          <w:sz w:val="24"/>
          <w:szCs w:val="24"/>
        </w:rPr>
        <w:t>O do not provide a constraint on stable boron isotope fractionation (section 7). The temperature dependence of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is discussed in section 8. I conclude the paper by encouraging experimental workers to directly determine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This is essential to safely anchor the inorganic basis of </w:t>
      </w:r>
      <w:proofErr w:type="spellStart"/>
      <w:r w:rsidRPr="00EA46C1">
        <w:rPr>
          <w:rFonts w:ascii="Times New Roman" w:eastAsia="Times New Roman" w:hAnsi="Times New Roman" w:cs="Times New Roman"/>
          <w:sz w:val="24"/>
          <w:szCs w:val="24"/>
        </w:rPr>
        <w:t>paleoacidimetry</w:t>
      </w:r>
      <w:proofErr w:type="spellEnd"/>
      <w:r w:rsidRPr="00EA46C1">
        <w:rPr>
          <w:rFonts w:ascii="Times New Roman" w:eastAsia="Times New Roman" w:hAnsi="Times New Roman" w:cs="Times New Roman"/>
          <w:sz w:val="24"/>
          <w:szCs w:val="24"/>
        </w:rPr>
        <w:t xml:space="preserve">. To address the critics of </w:t>
      </w:r>
      <w:proofErr w:type="spellStart"/>
      <w:r w:rsidRPr="00EA46C1">
        <w:rPr>
          <w:rFonts w:ascii="Times New Roman" w:eastAsia="Times New Roman" w:hAnsi="Times New Roman" w:cs="Times New Roman"/>
          <w:sz w:val="24"/>
          <w:szCs w:val="24"/>
        </w:rPr>
        <w:t>paleoacidimetry</w:t>
      </w:r>
      <w:proofErr w:type="spellEnd"/>
      <w:r w:rsidRPr="00EA46C1">
        <w:rPr>
          <w:rFonts w:ascii="Times New Roman" w:eastAsia="Times New Roman" w:hAnsi="Times New Roman" w:cs="Times New Roman"/>
          <w:sz w:val="24"/>
          <w:szCs w:val="24"/>
        </w:rPr>
        <w:t xml:space="preserve"> it is emphasized, however, that lack of an accurate value for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does not bias pH reconstructions provided that single species calibrations for foraminifera are used.</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Section snippets</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Thermodynamic isotope fractionation</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In thermodynamic equilibrium, the isotopic fractionation between two molecules depends on the difference in the zero-point energy of molecular vibration of the molecules containing either the light or the heavy isotope. Knowing the frequencies of molecular vibration, one can calculate the energy difference and hence the isotopic fractionation in thermodynamic equilibrium. This is the basis of the theory described in e.g. Urey (1947). The theory is not recapitulated here and the reader</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lastRenderedPageBreak/>
        <w:t>Application to B(OH)</w:t>
      </w:r>
      <w:r w:rsidRPr="00EA46C1">
        <w:rPr>
          <w:rFonts w:ascii="Times New Roman" w:eastAsia="Times New Roman" w:hAnsi="Times New Roman" w:cs="Times New Roman"/>
          <w:b/>
          <w:bCs/>
          <w:sz w:val="36"/>
          <w:szCs w:val="36"/>
          <w:vertAlign w:val="subscript"/>
        </w:rPr>
        <w:t>3</w:t>
      </w:r>
      <w:r w:rsidRPr="00EA46C1">
        <w:rPr>
          <w:rFonts w:ascii="Times New Roman" w:eastAsia="Times New Roman" w:hAnsi="Times New Roman" w:cs="Times New Roman"/>
          <w:b/>
          <w:bCs/>
          <w:sz w:val="36"/>
          <w:szCs w:val="36"/>
        </w:rPr>
        <w:t xml:space="preserve"> and B(OH)</w:t>
      </w:r>
      <w:r w:rsidRPr="00EA46C1">
        <w:rPr>
          <w:rFonts w:ascii="Times New Roman" w:eastAsia="Times New Roman" w:hAnsi="Times New Roman" w:cs="Times New Roman"/>
          <w:b/>
          <w:bCs/>
          <w:sz w:val="36"/>
          <w:szCs w:val="36"/>
          <w:vertAlign w:val="subscript"/>
        </w:rPr>
        <w:t>4</w:t>
      </w:r>
      <w:r w:rsidRPr="00EA46C1">
        <w:rPr>
          <w:rFonts w:ascii="Times New Roman" w:eastAsia="Times New Roman" w:hAnsi="Times New Roman" w:cs="Times New Roman"/>
          <w:b/>
          <w:bCs/>
          <w:sz w:val="36"/>
          <w:szCs w:val="36"/>
          <w:vertAlign w:val="superscript"/>
        </w:rPr>
        <w:t>−</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Since B exchange is considered in the present case, the isotopic equilibrium constant </w:t>
      </w:r>
      <w:r w:rsidRPr="00EA46C1">
        <w:rPr>
          <w:rFonts w:ascii="Times New Roman" w:eastAsia="Times New Roman" w:hAnsi="Times New Roman" w:cs="Times New Roman"/>
          <w:i/>
          <w:iCs/>
          <w:sz w:val="24"/>
          <w:szCs w:val="24"/>
        </w:rPr>
        <w:t>K</w:t>
      </w:r>
      <w:r w:rsidRPr="00EA46C1">
        <w:rPr>
          <w:rFonts w:ascii="Times New Roman" w:eastAsia="Times New Roman" w:hAnsi="Times New Roman" w:cs="Times New Roman"/>
          <w:sz w:val="24"/>
          <w:szCs w:val="24"/>
        </w:rPr>
        <w:t xml:space="preserve"> is equal to the fractionation factor α (cf. Urey, 1947): </w:t>
      </w:r>
    </w:p>
    <w:p w:rsidR="00EA46C1" w:rsidRPr="00EA46C1" w:rsidRDefault="00EA46C1" w:rsidP="00EA46C1">
      <w:pPr>
        <w:spacing w:after="0"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where the commonly used β factors have been introduced which replace the reduced partition function ratios. In the following, β</w:t>
      </w:r>
      <w:r w:rsidRPr="00EA46C1">
        <w:rPr>
          <w:rFonts w:ascii="Times New Roman" w:eastAsia="Times New Roman" w:hAnsi="Times New Roman" w:cs="Times New Roman"/>
          <w:sz w:val="24"/>
          <w:szCs w:val="24"/>
          <w:vertAlign w:val="subscript"/>
        </w:rPr>
        <w:t>B(OH)3</w:t>
      </w:r>
      <w:r w:rsidRPr="00EA46C1">
        <w:rPr>
          <w:rFonts w:ascii="Times New Roman" w:eastAsia="Times New Roman" w:hAnsi="Times New Roman" w:cs="Times New Roman"/>
          <w:sz w:val="24"/>
          <w:szCs w:val="24"/>
        </w:rPr>
        <w:t xml:space="preserve"> and </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are determined where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and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xml:space="preserve"> are treated as a trigonal planar XY</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molecule and a tetrahedral XY</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rPr>
        <w:t xml:space="preserve"> molecule of </w:t>
      </w:r>
      <w:r w:rsidRPr="00EA46C1">
        <w:rPr>
          <w:rFonts w:ascii="Times New Roman" w:eastAsia="Times New Roman" w:hAnsi="Times New Roman" w:cs="Times New Roman"/>
          <w:i/>
          <w:iCs/>
          <w:sz w:val="24"/>
          <w:szCs w:val="24"/>
        </w:rPr>
        <w:t>D</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i/>
          <w:iCs/>
          <w:sz w:val="24"/>
          <w:szCs w:val="24"/>
          <w:vertAlign w:val="subscript"/>
        </w:rPr>
        <w:t>h</w:t>
      </w:r>
      <w:r w:rsidRPr="00EA46C1">
        <w:rPr>
          <w:rFonts w:ascii="Times New Roman" w:eastAsia="Times New Roman" w:hAnsi="Times New Roman" w:cs="Times New Roman"/>
          <w:sz w:val="24"/>
          <w:szCs w:val="24"/>
        </w:rPr>
        <w:t xml:space="preserve"> and </w:t>
      </w:r>
      <w:r w:rsidRPr="00EA46C1">
        <w:rPr>
          <w:rFonts w:ascii="Times New Roman" w:eastAsia="Times New Roman" w:hAnsi="Times New Roman" w:cs="Times New Roman"/>
          <w:i/>
          <w:iCs/>
          <w:sz w:val="24"/>
          <w:szCs w:val="24"/>
        </w:rPr>
        <w:t>T</w:t>
      </w:r>
      <w:r w:rsidRPr="00EA46C1">
        <w:rPr>
          <w:rFonts w:ascii="Times New Roman" w:eastAsia="Times New Roman" w:hAnsi="Times New Roman" w:cs="Times New Roman"/>
          <w:i/>
          <w:iCs/>
          <w:sz w:val="24"/>
          <w:szCs w:val="24"/>
          <w:vertAlign w:val="subscript"/>
        </w:rPr>
        <w:t>d</w:t>
      </w:r>
      <w:r w:rsidRPr="00EA46C1">
        <w:rPr>
          <w:rFonts w:ascii="Times New Roman" w:eastAsia="Times New Roman" w:hAnsi="Times New Roman" w:cs="Times New Roman"/>
          <w:sz w:val="24"/>
          <w:szCs w:val="24"/>
        </w:rPr>
        <w:t xml:space="preserve"> symmetry,</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Influence of vibrational frequencies</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most important observational quantities required to determine the fractionation factor using analytical methods are the vibrational frequencies of the molecules. In the following, the measured frequencies for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and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xml:space="preserve"> are discussed and their influence on stable boron isotope fractionation is examined.</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Influence of different methods to calculate molecular forces</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As mentioned in section 2.1, different methods can be applied to calculate the forces in a molecule. The method introduced so far and used by KK77 is based on generalized valence force fields (GVFF). One crucial aspect of this method — when applied to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and B(OH)</w:t>
      </w:r>
      <w:r w:rsidRPr="00EA46C1">
        <w:rPr>
          <w:rFonts w:ascii="Times New Roman" w:eastAsia="Times New Roman" w:hAnsi="Times New Roman" w:cs="Times New Roman"/>
          <w:sz w:val="24"/>
          <w:szCs w:val="24"/>
          <w:vertAlign w:val="subscript"/>
        </w:rPr>
        <w:t>4</w:t>
      </w:r>
      <w:r w:rsidRPr="00EA46C1">
        <w:rPr>
          <w:rFonts w:ascii="Times New Roman" w:eastAsia="Times New Roman" w:hAnsi="Times New Roman" w:cs="Times New Roman"/>
          <w:sz w:val="24"/>
          <w:szCs w:val="24"/>
          <w:vertAlign w:val="superscript"/>
        </w:rPr>
        <w:t>−</w:t>
      </w:r>
      <w:r w:rsidRPr="00EA46C1">
        <w:rPr>
          <w:rFonts w:ascii="Times New Roman" w:eastAsia="Times New Roman" w:hAnsi="Times New Roman" w:cs="Times New Roman"/>
          <w:sz w:val="24"/>
          <w:szCs w:val="24"/>
        </w:rPr>
        <w:t xml:space="preserve"> of assumed </w:t>
      </w:r>
      <w:r w:rsidRPr="00EA46C1">
        <w:rPr>
          <w:rFonts w:ascii="Times New Roman" w:eastAsia="Times New Roman" w:hAnsi="Times New Roman" w:cs="Times New Roman"/>
          <w:i/>
          <w:iCs/>
          <w:sz w:val="24"/>
          <w:szCs w:val="24"/>
        </w:rPr>
        <w:t>D</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i/>
          <w:iCs/>
          <w:sz w:val="24"/>
          <w:szCs w:val="24"/>
          <w:vertAlign w:val="subscript"/>
        </w:rPr>
        <w:t>h</w:t>
      </w:r>
      <w:r w:rsidRPr="00EA46C1">
        <w:rPr>
          <w:rFonts w:ascii="Times New Roman" w:eastAsia="Times New Roman" w:hAnsi="Times New Roman" w:cs="Times New Roman"/>
          <w:sz w:val="24"/>
          <w:szCs w:val="24"/>
        </w:rPr>
        <w:t xml:space="preserve"> and </w:t>
      </w:r>
      <w:r w:rsidRPr="00EA46C1">
        <w:rPr>
          <w:rFonts w:ascii="Times New Roman" w:eastAsia="Times New Roman" w:hAnsi="Times New Roman" w:cs="Times New Roman"/>
          <w:i/>
          <w:iCs/>
          <w:sz w:val="24"/>
          <w:szCs w:val="24"/>
        </w:rPr>
        <w:t>T</w:t>
      </w:r>
      <w:r w:rsidRPr="00EA46C1">
        <w:rPr>
          <w:rFonts w:ascii="Times New Roman" w:eastAsia="Times New Roman" w:hAnsi="Times New Roman" w:cs="Times New Roman"/>
          <w:i/>
          <w:iCs/>
          <w:sz w:val="24"/>
          <w:szCs w:val="24"/>
          <w:vertAlign w:val="subscript"/>
        </w:rPr>
        <w:t>d</w:t>
      </w:r>
      <w:r w:rsidRPr="00EA46C1">
        <w:rPr>
          <w:rFonts w:ascii="Times New Roman" w:eastAsia="Times New Roman" w:hAnsi="Times New Roman" w:cs="Times New Roman"/>
          <w:sz w:val="24"/>
          <w:szCs w:val="24"/>
        </w:rPr>
        <w:t xml:space="preserve"> symmetry — is that five force constants have to be determined from only four measured fundamental frequencies (see Appendix A GVFF force constants from vibrational frequencies of B(OH), Appendix B GVFF</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i/>
          <w:iCs/>
          <w:sz w:val="36"/>
          <w:szCs w:val="36"/>
        </w:rPr>
        <w:t>Ab initio</w:t>
      </w:r>
      <w:r w:rsidRPr="00EA46C1">
        <w:rPr>
          <w:rFonts w:ascii="Times New Roman" w:eastAsia="Times New Roman" w:hAnsi="Times New Roman" w:cs="Times New Roman"/>
          <w:b/>
          <w:bCs/>
          <w:sz w:val="36"/>
          <w:szCs w:val="36"/>
        </w:rPr>
        <w:t xml:space="preserve"> molecular orbital theory</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In addition to the analytical methods discussed above, also numerical calculations were conducted based on </w:t>
      </w:r>
      <w:r w:rsidRPr="00EA46C1">
        <w:rPr>
          <w:rFonts w:ascii="Times New Roman" w:eastAsia="Times New Roman" w:hAnsi="Times New Roman" w:cs="Times New Roman"/>
          <w:i/>
          <w:iCs/>
          <w:sz w:val="24"/>
          <w:szCs w:val="24"/>
        </w:rPr>
        <w:t>ab initio</w:t>
      </w:r>
      <w:r w:rsidRPr="00EA46C1">
        <w:rPr>
          <w:rFonts w:ascii="Times New Roman" w:eastAsia="Times New Roman" w:hAnsi="Times New Roman" w:cs="Times New Roman"/>
          <w:sz w:val="24"/>
          <w:szCs w:val="24"/>
        </w:rPr>
        <w:t xml:space="preserve"> molecular orbital (MO) theory in order to calculate molecular forces, vibrational frequencies, and the fractionation factor. These methods predict electron structure and forces in the molecule using fundamental quantum mechanical theory (e.g., </w:t>
      </w:r>
      <w:proofErr w:type="spellStart"/>
      <w:r w:rsidRPr="00EA46C1">
        <w:rPr>
          <w:rFonts w:ascii="Times New Roman" w:eastAsia="Times New Roman" w:hAnsi="Times New Roman" w:cs="Times New Roman"/>
          <w:sz w:val="24"/>
          <w:szCs w:val="24"/>
        </w:rPr>
        <w:t>Hehre</w:t>
      </w:r>
      <w:proofErr w:type="spellEnd"/>
      <w:r w:rsidRPr="00EA46C1">
        <w:rPr>
          <w:rFonts w:ascii="Times New Roman" w:eastAsia="Times New Roman" w:hAnsi="Times New Roman" w:cs="Times New Roman"/>
          <w:sz w:val="24"/>
          <w:szCs w:val="24"/>
        </w:rPr>
        <w:t xml:space="preserve"> et al 1986, Jensen 1998). The frequencies are then computed based on the calculated, optimized structure of the molecule which only</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 xml:space="preserve">Frequency shifts in various </w:t>
      </w:r>
      <w:proofErr w:type="spellStart"/>
      <w:r w:rsidRPr="00EA46C1">
        <w:rPr>
          <w:rFonts w:ascii="Times New Roman" w:eastAsia="Times New Roman" w:hAnsi="Times New Roman" w:cs="Times New Roman"/>
          <w:b/>
          <w:bCs/>
          <w:sz w:val="36"/>
          <w:szCs w:val="36"/>
        </w:rPr>
        <w:t>isotopomers</w:t>
      </w:r>
      <w:proofErr w:type="spellEnd"/>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Another possible constraint on calculated force fields and frequencies is the comparison with observed frequency shifts in </w:t>
      </w:r>
      <w:proofErr w:type="spellStart"/>
      <w:r w:rsidRPr="00EA46C1">
        <w:rPr>
          <w:rFonts w:ascii="Times New Roman" w:eastAsia="Times New Roman" w:hAnsi="Times New Roman" w:cs="Times New Roman"/>
          <w:sz w:val="24"/>
          <w:szCs w:val="24"/>
        </w:rPr>
        <w:t>isotopomers</w:t>
      </w:r>
      <w:proofErr w:type="spellEnd"/>
      <w:r w:rsidRPr="00EA46C1">
        <w:rPr>
          <w:rFonts w:ascii="Times New Roman" w:eastAsia="Times New Roman" w:hAnsi="Times New Roman" w:cs="Times New Roman"/>
          <w:sz w:val="24"/>
          <w:szCs w:val="24"/>
        </w:rPr>
        <w:t>. For example, Ogden and Young (1988) and Gilson (1991) determined vibrational spectra of B(OH)</w:t>
      </w:r>
      <w:r w:rsidRPr="00EA46C1">
        <w:rPr>
          <w:rFonts w:ascii="Times New Roman" w:eastAsia="Times New Roman" w:hAnsi="Times New Roman" w:cs="Times New Roman"/>
          <w:sz w:val="24"/>
          <w:szCs w:val="24"/>
          <w:vertAlign w:val="subscript"/>
        </w:rPr>
        <w:t>3</w:t>
      </w:r>
      <w:r w:rsidRPr="00EA46C1">
        <w:rPr>
          <w:rFonts w:ascii="Times New Roman" w:eastAsia="Times New Roman" w:hAnsi="Times New Roman" w:cs="Times New Roman"/>
          <w:sz w:val="24"/>
          <w:szCs w:val="24"/>
        </w:rPr>
        <w:t xml:space="preserve"> using extensive isotope labeling including </w:t>
      </w:r>
      <w:r w:rsidRPr="00EA46C1">
        <w:rPr>
          <w:rFonts w:ascii="Times New Roman" w:eastAsia="Times New Roman" w:hAnsi="Times New Roman" w:cs="Times New Roman"/>
          <w:sz w:val="24"/>
          <w:szCs w:val="24"/>
          <w:vertAlign w:val="superscript"/>
        </w:rPr>
        <w:t>10</w:t>
      </w:r>
      <w:r w:rsidRPr="00EA46C1">
        <w:rPr>
          <w:rFonts w:ascii="Times New Roman" w:eastAsia="Times New Roman" w:hAnsi="Times New Roman" w:cs="Times New Roman"/>
          <w:sz w:val="24"/>
          <w:szCs w:val="24"/>
        </w:rPr>
        <w:t xml:space="preserve">B, </w:t>
      </w:r>
      <w:r w:rsidRPr="00EA46C1">
        <w:rPr>
          <w:rFonts w:ascii="Times New Roman" w:eastAsia="Times New Roman" w:hAnsi="Times New Roman" w:cs="Times New Roman"/>
          <w:sz w:val="24"/>
          <w:szCs w:val="24"/>
          <w:vertAlign w:val="superscript"/>
        </w:rPr>
        <w:t>2</w:t>
      </w:r>
      <w:r w:rsidRPr="00EA46C1">
        <w:rPr>
          <w:rFonts w:ascii="Times New Roman" w:eastAsia="Times New Roman" w:hAnsi="Times New Roman" w:cs="Times New Roman"/>
          <w:sz w:val="24"/>
          <w:szCs w:val="24"/>
        </w:rPr>
        <w:t xml:space="preserve">D, and </w:t>
      </w:r>
      <w:r w:rsidRPr="00EA46C1">
        <w:rPr>
          <w:rFonts w:ascii="Times New Roman" w:eastAsia="Times New Roman" w:hAnsi="Times New Roman" w:cs="Times New Roman"/>
          <w:sz w:val="24"/>
          <w:szCs w:val="24"/>
          <w:vertAlign w:val="superscript"/>
        </w:rPr>
        <w:t>18</w:t>
      </w:r>
      <w:r w:rsidRPr="00EA46C1">
        <w:rPr>
          <w:rFonts w:ascii="Times New Roman" w:eastAsia="Times New Roman" w:hAnsi="Times New Roman" w:cs="Times New Roman"/>
          <w:sz w:val="24"/>
          <w:szCs w:val="24"/>
        </w:rPr>
        <w:t xml:space="preserve">O. Upon isotope substitution, say </w:t>
      </w:r>
      <w:r w:rsidRPr="00EA46C1">
        <w:rPr>
          <w:rFonts w:ascii="Times New Roman" w:eastAsia="Times New Roman" w:hAnsi="Times New Roman" w:cs="Times New Roman"/>
          <w:sz w:val="24"/>
          <w:szCs w:val="24"/>
          <w:vertAlign w:val="superscript"/>
        </w:rPr>
        <w:t>1</w:t>
      </w:r>
      <w:r w:rsidRPr="00EA46C1">
        <w:rPr>
          <w:rFonts w:ascii="Times New Roman" w:eastAsia="Times New Roman" w:hAnsi="Times New Roman" w:cs="Times New Roman"/>
          <w:sz w:val="24"/>
          <w:szCs w:val="24"/>
        </w:rPr>
        <w:t xml:space="preserve">H → </w:t>
      </w:r>
      <w:r w:rsidRPr="00EA46C1">
        <w:rPr>
          <w:rFonts w:ascii="Times New Roman" w:eastAsia="Times New Roman" w:hAnsi="Times New Roman" w:cs="Times New Roman"/>
          <w:sz w:val="24"/>
          <w:szCs w:val="24"/>
          <w:vertAlign w:val="superscript"/>
        </w:rPr>
        <w:t>2</w:t>
      </w:r>
      <w:r w:rsidRPr="00EA46C1">
        <w:rPr>
          <w:rFonts w:ascii="Times New Roman" w:eastAsia="Times New Roman" w:hAnsi="Times New Roman" w:cs="Times New Roman"/>
          <w:sz w:val="24"/>
          <w:szCs w:val="24"/>
        </w:rPr>
        <w:t xml:space="preserve">D, the frequencies of certain vibrational modes shift. These shifts can be observed spectroscopically and calculated theoretically, as shown above for </w:t>
      </w:r>
      <w:r w:rsidRPr="00EA46C1">
        <w:rPr>
          <w:rFonts w:ascii="Times New Roman" w:eastAsia="Times New Roman" w:hAnsi="Times New Roman" w:cs="Times New Roman"/>
          <w:sz w:val="24"/>
          <w:szCs w:val="24"/>
          <w:vertAlign w:val="superscript"/>
        </w:rPr>
        <w:t>10</w:t>
      </w:r>
      <w:r w:rsidRPr="00EA46C1">
        <w:rPr>
          <w:rFonts w:ascii="Times New Roman" w:eastAsia="Times New Roman" w:hAnsi="Times New Roman" w:cs="Times New Roman"/>
          <w:sz w:val="24"/>
          <w:szCs w:val="24"/>
        </w:rPr>
        <w:t>B. The single</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Temperature dependence</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lastRenderedPageBreak/>
        <w:t>Given the range of outcome for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at 300 K calculated in the current paper, no recommendation will be made regarding α’s temperature dependence, which equally depends on the frequencies/methods chosen. The true temperature sensitivity of the fractionation factor will likely fall somewhere between the smallest and largest temperature sensitivity of the methods discussed above. In the following, the possible temperature dependence of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will therefore be illustrated by presenting two</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Discussion</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The theoretical calculations presented in this paper have resulted in different values for the stable boron isotope fractionation between dissolved boric acid and borate ion,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ranging from 1.0193 to 1.0530 at 300 K — in other words, from about 20 to more than 50‰. Which one is the correct value? My seemingly disappointing answer is that given the data and theoretical means currently available, a solid statement on the precise value of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appears untenable. Although this result</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Conclusions</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In the current paper, stable boron isotope fractionation between dissolved boric acid and borate ion has been investigated. To the best of my knowledge, an experimentally determined value is not available until this day and, as a result, theoretically determined values have been widely applied in the field. The probably most frequently cited value in geochemical applications of α</w:t>
      </w:r>
      <w:r w:rsidRPr="00EA46C1">
        <w:rPr>
          <w:rFonts w:ascii="Times New Roman" w:eastAsia="Times New Roman" w:hAnsi="Times New Roman" w:cs="Times New Roman"/>
          <w:sz w:val="24"/>
          <w:szCs w:val="24"/>
          <w:vertAlign w:val="subscript"/>
        </w:rPr>
        <w:t>(B3–B4)</w:t>
      </w:r>
      <w:r w:rsidRPr="00EA46C1">
        <w:rPr>
          <w:rFonts w:ascii="Times New Roman" w:eastAsia="Times New Roman" w:hAnsi="Times New Roman" w:cs="Times New Roman"/>
          <w:sz w:val="24"/>
          <w:szCs w:val="24"/>
        </w:rPr>
        <w:t xml:space="preserve"> = 1.0193 at 300 K calculated by </w:t>
      </w:r>
      <w:proofErr w:type="spellStart"/>
      <w:r w:rsidRPr="00EA46C1">
        <w:rPr>
          <w:rFonts w:ascii="Times New Roman" w:eastAsia="Times New Roman" w:hAnsi="Times New Roman" w:cs="Times New Roman"/>
          <w:sz w:val="24"/>
          <w:szCs w:val="24"/>
        </w:rPr>
        <w:t>Kakihana</w:t>
      </w:r>
      <w:proofErr w:type="spellEnd"/>
      <w:r w:rsidRPr="00EA46C1">
        <w:rPr>
          <w:rFonts w:ascii="Times New Roman" w:eastAsia="Times New Roman" w:hAnsi="Times New Roman" w:cs="Times New Roman"/>
          <w:sz w:val="24"/>
          <w:szCs w:val="24"/>
        </w:rPr>
        <w:t xml:space="preserve"> and </w:t>
      </w:r>
      <w:proofErr w:type="spellStart"/>
      <w:r w:rsidRPr="00EA46C1">
        <w:rPr>
          <w:rFonts w:ascii="Times New Roman" w:eastAsia="Times New Roman" w:hAnsi="Times New Roman" w:cs="Times New Roman"/>
          <w:sz w:val="24"/>
          <w:szCs w:val="24"/>
        </w:rPr>
        <w:t>Kotaka</w:t>
      </w:r>
      <w:proofErr w:type="spellEnd"/>
      <w:r w:rsidRPr="00EA46C1">
        <w:rPr>
          <w:rFonts w:ascii="Times New Roman" w:eastAsia="Times New Roman" w:hAnsi="Times New Roman" w:cs="Times New Roman"/>
          <w:sz w:val="24"/>
          <w:szCs w:val="24"/>
        </w:rPr>
        <w:t xml:space="preserve"> (1977) is likely to be incorrect, the theoretical</w:t>
      </w:r>
    </w:p>
    <w:p w:rsidR="00EA46C1" w:rsidRPr="00EA46C1" w:rsidRDefault="00EA46C1" w:rsidP="00EA46C1">
      <w:pPr>
        <w:spacing w:before="100" w:beforeAutospacing="1" w:after="100" w:afterAutospacing="1" w:line="240" w:lineRule="auto"/>
        <w:outlineLvl w:val="1"/>
        <w:rPr>
          <w:rFonts w:ascii="Times New Roman" w:eastAsia="Times New Roman" w:hAnsi="Times New Roman" w:cs="Times New Roman"/>
          <w:b/>
          <w:bCs/>
          <w:sz w:val="36"/>
          <w:szCs w:val="36"/>
        </w:rPr>
      </w:pPr>
      <w:r w:rsidRPr="00EA46C1">
        <w:rPr>
          <w:rFonts w:ascii="Times New Roman" w:eastAsia="Times New Roman" w:hAnsi="Times New Roman" w:cs="Times New Roman"/>
          <w:b/>
          <w:bCs/>
          <w:sz w:val="36"/>
          <w:szCs w:val="36"/>
        </w:rPr>
        <w:t>Acknowledgments</w:t>
      </w:r>
    </w:p>
    <w:p w:rsidR="00EA46C1" w:rsidRPr="00EA46C1" w:rsidRDefault="00EA46C1" w:rsidP="00EA46C1">
      <w:pPr>
        <w:spacing w:before="100" w:beforeAutospacing="1" w:after="100" w:afterAutospacing="1" w:line="240" w:lineRule="auto"/>
        <w:rPr>
          <w:rFonts w:ascii="Times New Roman" w:eastAsia="Times New Roman" w:hAnsi="Times New Roman" w:cs="Times New Roman"/>
          <w:sz w:val="24"/>
          <w:szCs w:val="24"/>
        </w:rPr>
      </w:pPr>
      <w:r w:rsidRPr="00EA46C1">
        <w:rPr>
          <w:rFonts w:ascii="Times New Roman" w:eastAsia="Times New Roman" w:hAnsi="Times New Roman" w:cs="Times New Roman"/>
          <w:sz w:val="24"/>
          <w:szCs w:val="24"/>
        </w:rPr>
        <w:t xml:space="preserve">I thank E. </w:t>
      </w:r>
      <w:proofErr w:type="spellStart"/>
      <w:r w:rsidRPr="00EA46C1">
        <w:rPr>
          <w:rFonts w:ascii="Times New Roman" w:eastAsia="Times New Roman" w:hAnsi="Times New Roman" w:cs="Times New Roman"/>
          <w:sz w:val="24"/>
          <w:szCs w:val="24"/>
        </w:rPr>
        <w:t>Schauble</w:t>
      </w:r>
      <w:proofErr w:type="spellEnd"/>
      <w:r w:rsidRPr="00EA46C1">
        <w:rPr>
          <w:rFonts w:ascii="Times New Roman" w:eastAsia="Times New Roman" w:hAnsi="Times New Roman" w:cs="Times New Roman"/>
          <w:sz w:val="24"/>
          <w:szCs w:val="24"/>
        </w:rPr>
        <w:t xml:space="preserve">, D. R. Cole and one anonymous reviewer for their constructive comments which improved the paper. Discussions with J. </w:t>
      </w:r>
      <w:proofErr w:type="spellStart"/>
      <w:r w:rsidRPr="00EA46C1">
        <w:rPr>
          <w:rFonts w:ascii="Times New Roman" w:eastAsia="Times New Roman" w:hAnsi="Times New Roman" w:cs="Times New Roman"/>
          <w:sz w:val="24"/>
          <w:szCs w:val="24"/>
        </w:rPr>
        <w:t>Bijma</w:t>
      </w:r>
      <w:proofErr w:type="spellEnd"/>
      <w:r w:rsidRPr="00EA46C1">
        <w:rPr>
          <w:rFonts w:ascii="Times New Roman" w:eastAsia="Times New Roman" w:hAnsi="Times New Roman" w:cs="Times New Roman"/>
          <w:sz w:val="24"/>
          <w:szCs w:val="24"/>
        </w:rPr>
        <w:t xml:space="preserve">, K. Schulz, B. </w:t>
      </w:r>
      <w:proofErr w:type="spellStart"/>
      <w:r w:rsidRPr="00EA46C1">
        <w:rPr>
          <w:rFonts w:ascii="Times New Roman" w:eastAsia="Times New Roman" w:hAnsi="Times New Roman" w:cs="Times New Roman"/>
          <w:sz w:val="24"/>
          <w:szCs w:val="24"/>
        </w:rPr>
        <w:t>Hönisch</w:t>
      </w:r>
      <w:proofErr w:type="spellEnd"/>
      <w:r w:rsidRPr="00EA46C1">
        <w:rPr>
          <w:rFonts w:ascii="Times New Roman" w:eastAsia="Times New Roman" w:hAnsi="Times New Roman" w:cs="Times New Roman"/>
          <w:sz w:val="24"/>
          <w:szCs w:val="24"/>
        </w:rPr>
        <w:t>, and M. Palmer are gratefully acknowledged.</w:t>
      </w:r>
    </w:p>
    <w:p w:rsidR="00824B4E" w:rsidRDefault="00824B4E"/>
    <w:sectPr w:rsidR="00824B4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6C1"/>
    <w:rsid w:val="00824B4E"/>
    <w:rsid w:val="00EA46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3833C"/>
  <w15:chartTrackingRefBased/>
  <w15:docId w15:val="{CD9CDA2A-0CF9-44AC-99E8-30D2655CE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9003254">
      <w:bodyDiv w:val="1"/>
      <w:marLeft w:val="0"/>
      <w:marRight w:val="0"/>
      <w:marTop w:val="0"/>
      <w:marBottom w:val="0"/>
      <w:divBdr>
        <w:top w:val="none" w:sz="0" w:space="0" w:color="auto"/>
        <w:left w:val="none" w:sz="0" w:space="0" w:color="auto"/>
        <w:bottom w:val="none" w:sz="0" w:space="0" w:color="auto"/>
        <w:right w:val="none" w:sz="0" w:space="0" w:color="auto"/>
      </w:divBdr>
      <w:divsChild>
        <w:div w:id="1416584038">
          <w:marLeft w:val="0"/>
          <w:marRight w:val="0"/>
          <w:marTop w:val="0"/>
          <w:marBottom w:val="0"/>
          <w:divBdr>
            <w:top w:val="none" w:sz="0" w:space="0" w:color="auto"/>
            <w:left w:val="none" w:sz="0" w:space="0" w:color="auto"/>
            <w:bottom w:val="none" w:sz="0" w:space="0" w:color="auto"/>
            <w:right w:val="none" w:sz="0" w:space="0" w:color="auto"/>
          </w:divBdr>
          <w:divsChild>
            <w:div w:id="745685476">
              <w:marLeft w:val="0"/>
              <w:marRight w:val="0"/>
              <w:marTop w:val="0"/>
              <w:marBottom w:val="0"/>
              <w:divBdr>
                <w:top w:val="none" w:sz="0" w:space="0" w:color="auto"/>
                <w:left w:val="none" w:sz="0" w:space="0" w:color="auto"/>
                <w:bottom w:val="none" w:sz="0" w:space="0" w:color="auto"/>
                <w:right w:val="none" w:sz="0" w:space="0" w:color="auto"/>
              </w:divBdr>
              <w:divsChild>
                <w:div w:id="1243249584">
                  <w:marLeft w:val="0"/>
                  <w:marRight w:val="0"/>
                  <w:marTop w:val="0"/>
                  <w:marBottom w:val="0"/>
                  <w:divBdr>
                    <w:top w:val="none" w:sz="0" w:space="0" w:color="auto"/>
                    <w:left w:val="none" w:sz="0" w:space="0" w:color="auto"/>
                    <w:bottom w:val="none" w:sz="0" w:space="0" w:color="auto"/>
                    <w:right w:val="none" w:sz="0" w:space="0" w:color="auto"/>
                  </w:divBdr>
                  <w:divsChild>
                    <w:div w:id="804355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744690">
          <w:marLeft w:val="0"/>
          <w:marRight w:val="0"/>
          <w:marTop w:val="0"/>
          <w:marBottom w:val="0"/>
          <w:divBdr>
            <w:top w:val="none" w:sz="0" w:space="0" w:color="auto"/>
            <w:left w:val="none" w:sz="0" w:space="0" w:color="auto"/>
            <w:bottom w:val="none" w:sz="0" w:space="0" w:color="auto"/>
            <w:right w:val="none" w:sz="0" w:space="0" w:color="auto"/>
          </w:divBdr>
          <w:divsChild>
            <w:div w:id="1938365448">
              <w:marLeft w:val="0"/>
              <w:marRight w:val="0"/>
              <w:marTop w:val="0"/>
              <w:marBottom w:val="0"/>
              <w:divBdr>
                <w:top w:val="none" w:sz="0" w:space="0" w:color="auto"/>
                <w:left w:val="none" w:sz="0" w:space="0" w:color="auto"/>
                <w:bottom w:val="none" w:sz="0" w:space="0" w:color="auto"/>
                <w:right w:val="none" w:sz="0" w:space="0" w:color="auto"/>
              </w:divBdr>
              <w:divsChild>
                <w:div w:id="1340768118">
                  <w:marLeft w:val="0"/>
                  <w:marRight w:val="0"/>
                  <w:marTop w:val="0"/>
                  <w:marBottom w:val="0"/>
                  <w:divBdr>
                    <w:top w:val="none" w:sz="0" w:space="0" w:color="auto"/>
                    <w:left w:val="none" w:sz="0" w:space="0" w:color="auto"/>
                    <w:bottom w:val="none" w:sz="0" w:space="0" w:color="auto"/>
                    <w:right w:val="none" w:sz="0" w:space="0" w:color="auto"/>
                  </w:divBdr>
                  <w:divsChild>
                    <w:div w:id="212265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05892">
          <w:marLeft w:val="0"/>
          <w:marRight w:val="0"/>
          <w:marTop w:val="0"/>
          <w:marBottom w:val="0"/>
          <w:divBdr>
            <w:top w:val="none" w:sz="0" w:space="0" w:color="auto"/>
            <w:left w:val="none" w:sz="0" w:space="0" w:color="auto"/>
            <w:bottom w:val="none" w:sz="0" w:space="0" w:color="auto"/>
            <w:right w:val="none" w:sz="0" w:space="0" w:color="auto"/>
          </w:divBdr>
          <w:divsChild>
            <w:div w:id="2097167279">
              <w:marLeft w:val="0"/>
              <w:marRight w:val="0"/>
              <w:marTop w:val="0"/>
              <w:marBottom w:val="0"/>
              <w:divBdr>
                <w:top w:val="none" w:sz="0" w:space="0" w:color="auto"/>
                <w:left w:val="none" w:sz="0" w:space="0" w:color="auto"/>
                <w:bottom w:val="none" w:sz="0" w:space="0" w:color="auto"/>
                <w:right w:val="none" w:sz="0" w:space="0" w:color="auto"/>
              </w:divBdr>
              <w:divsChild>
                <w:div w:id="1556551468">
                  <w:marLeft w:val="0"/>
                  <w:marRight w:val="0"/>
                  <w:marTop w:val="0"/>
                  <w:marBottom w:val="0"/>
                  <w:divBdr>
                    <w:top w:val="none" w:sz="0" w:space="0" w:color="auto"/>
                    <w:left w:val="none" w:sz="0" w:space="0" w:color="auto"/>
                    <w:bottom w:val="none" w:sz="0" w:space="0" w:color="auto"/>
                    <w:right w:val="none" w:sz="0" w:space="0" w:color="auto"/>
                  </w:divBdr>
                  <w:divsChild>
                    <w:div w:id="1892229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195226">
          <w:marLeft w:val="0"/>
          <w:marRight w:val="0"/>
          <w:marTop w:val="0"/>
          <w:marBottom w:val="0"/>
          <w:divBdr>
            <w:top w:val="none" w:sz="0" w:space="0" w:color="auto"/>
            <w:left w:val="none" w:sz="0" w:space="0" w:color="auto"/>
            <w:bottom w:val="none" w:sz="0" w:space="0" w:color="auto"/>
            <w:right w:val="none" w:sz="0" w:space="0" w:color="auto"/>
          </w:divBdr>
          <w:divsChild>
            <w:div w:id="1216893251">
              <w:marLeft w:val="0"/>
              <w:marRight w:val="0"/>
              <w:marTop w:val="0"/>
              <w:marBottom w:val="0"/>
              <w:divBdr>
                <w:top w:val="none" w:sz="0" w:space="0" w:color="auto"/>
                <w:left w:val="none" w:sz="0" w:space="0" w:color="auto"/>
                <w:bottom w:val="none" w:sz="0" w:space="0" w:color="auto"/>
                <w:right w:val="none" w:sz="0" w:space="0" w:color="auto"/>
              </w:divBdr>
            </w:div>
          </w:divsChild>
        </w:div>
        <w:div w:id="897932495">
          <w:marLeft w:val="0"/>
          <w:marRight w:val="0"/>
          <w:marTop w:val="0"/>
          <w:marBottom w:val="0"/>
          <w:divBdr>
            <w:top w:val="none" w:sz="0" w:space="0" w:color="auto"/>
            <w:left w:val="none" w:sz="0" w:space="0" w:color="auto"/>
            <w:bottom w:val="none" w:sz="0" w:space="0" w:color="auto"/>
            <w:right w:val="none" w:sz="0" w:space="0" w:color="auto"/>
          </w:divBdr>
          <w:divsChild>
            <w:div w:id="1112092516">
              <w:marLeft w:val="0"/>
              <w:marRight w:val="0"/>
              <w:marTop w:val="0"/>
              <w:marBottom w:val="0"/>
              <w:divBdr>
                <w:top w:val="none" w:sz="0" w:space="0" w:color="auto"/>
                <w:left w:val="none" w:sz="0" w:space="0" w:color="auto"/>
                <w:bottom w:val="none" w:sz="0" w:space="0" w:color="auto"/>
                <w:right w:val="none" w:sz="0" w:space="0" w:color="auto"/>
              </w:divBdr>
            </w:div>
          </w:divsChild>
        </w:div>
        <w:div w:id="392239116">
          <w:marLeft w:val="0"/>
          <w:marRight w:val="0"/>
          <w:marTop w:val="0"/>
          <w:marBottom w:val="0"/>
          <w:divBdr>
            <w:top w:val="none" w:sz="0" w:space="0" w:color="auto"/>
            <w:left w:val="none" w:sz="0" w:space="0" w:color="auto"/>
            <w:bottom w:val="none" w:sz="0" w:space="0" w:color="auto"/>
            <w:right w:val="none" w:sz="0" w:space="0" w:color="auto"/>
          </w:divBdr>
          <w:divsChild>
            <w:div w:id="36290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boric-acid" TargetMode="External"/><Relationship Id="rId4" Type="http://schemas.openxmlformats.org/officeDocument/2006/relationships/hyperlink" Target="https://doi.org/10.1016/j.gca.2004.12.0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1674</Words>
  <Characters>9546</Characters>
  <Application>Microsoft Office Word</Application>
  <DocSecurity>0</DocSecurity>
  <Lines>79</Lines>
  <Paragraphs>22</Paragraphs>
  <ScaleCrop>false</ScaleCrop>
  <Company/>
  <LinksUpToDate>false</LinksUpToDate>
  <CharactersWithSpaces>11198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2023-11-18T09:27:00Z</dcterms:created>
  <dcterms:modified xsi:type="dcterms:W3CDTF">2023-11-18T09:27:00Z</dcterms:modified>
</cp:coreProperties>
</file>