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60D48" w:rsidRPr="00460D48" w:rsidRDefault="00460D48" w:rsidP="00460D48">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60D48">
        <w:rPr>
          <w:rFonts w:ascii="Times New Roman" w:eastAsia="Times New Roman" w:hAnsi="Times New Roman" w:cs="Times New Roman"/>
          <w:b/>
          <w:bCs/>
          <w:kern w:val="36"/>
          <w:sz w:val="48"/>
          <w:szCs w:val="48"/>
        </w:rPr>
        <w:t>Molecular and compound-specific hydrogen isotope analyses of insoluble organic matter from different carbonaceous chondrite groups</w:t>
      </w:r>
    </w:p>
    <w:p w:rsidR="00460D48" w:rsidRPr="00460D48" w:rsidRDefault="00460D48" w:rsidP="00460D48">
      <w:pPr>
        <w:spacing w:after="0"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Author links open overlay panel</w:t>
      </w:r>
    </w:p>
    <w:p w:rsidR="00460D48" w:rsidRPr="00460D48" w:rsidRDefault="00460D48" w:rsidP="00460D48">
      <w:pPr>
        <w:spacing w:after="0"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 </w:t>
      </w:r>
      <w:bookmarkStart w:id="0" w:name="baep-author-id9-profile"/>
      <w:r w:rsidRPr="00460D48">
        <w:rPr>
          <w:rFonts w:ascii="Times New Roman" w:eastAsia="Times New Roman" w:hAnsi="Times New Roman" w:cs="Times New Roman"/>
          <w:sz w:val="24"/>
          <w:szCs w:val="24"/>
        </w:rPr>
        <w:fldChar w:fldCharType="begin"/>
      </w:r>
      <w:r w:rsidRPr="00460D48">
        <w:rPr>
          <w:rFonts w:ascii="Times New Roman" w:eastAsia="Times New Roman" w:hAnsi="Times New Roman" w:cs="Times New Roman"/>
          <w:sz w:val="24"/>
          <w:szCs w:val="24"/>
        </w:rPr>
        <w:instrText xml:space="preserve"> HYPERLINK "https://www.sciencedirect.com/author/57201890438/yongsong-huang" </w:instrText>
      </w:r>
      <w:r w:rsidRPr="00460D48">
        <w:rPr>
          <w:rFonts w:ascii="Times New Roman" w:eastAsia="Times New Roman" w:hAnsi="Times New Roman" w:cs="Times New Roman"/>
          <w:sz w:val="24"/>
          <w:szCs w:val="24"/>
        </w:rPr>
        <w:fldChar w:fldCharType="separate"/>
      </w:r>
      <w:proofErr w:type="spellStart"/>
      <w:r w:rsidRPr="00460D48">
        <w:rPr>
          <w:rFonts w:ascii="Times New Roman" w:eastAsia="Times New Roman" w:hAnsi="Times New Roman" w:cs="Times New Roman"/>
          <w:color w:val="0000FF"/>
          <w:sz w:val="24"/>
          <w:szCs w:val="24"/>
          <w:u w:val="single"/>
        </w:rPr>
        <w:t>Yongsong</w:t>
      </w:r>
      <w:proofErr w:type="spellEnd"/>
      <w:r w:rsidRPr="00460D48">
        <w:rPr>
          <w:rFonts w:ascii="Times New Roman" w:eastAsia="Times New Roman" w:hAnsi="Times New Roman" w:cs="Times New Roman"/>
          <w:color w:val="0000FF"/>
          <w:sz w:val="24"/>
          <w:szCs w:val="24"/>
          <w:u w:val="single"/>
        </w:rPr>
        <w:t xml:space="preserve"> Huang </w:t>
      </w:r>
      <w:r w:rsidRPr="00460D48">
        <w:rPr>
          <w:rFonts w:ascii="Times New Roman" w:eastAsia="Times New Roman" w:hAnsi="Times New Roman" w:cs="Times New Roman"/>
          <w:color w:val="0000FF"/>
          <w:sz w:val="24"/>
          <w:szCs w:val="24"/>
          <w:u w:val="single"/>
          <w:vertAlign w:val="superscript"/>
        </w:rPr>
        <w:t>1</w:t>
      </w:r>
      <w:r w:rsidRPr="00460D48">
        <w:rPr>
          <w:rFonts w:ascii="Times New Roman" w:eastAsia="Times New Roman" w:hAnsi="Times New Roman" w:cs="Times New Roman"/>
          <w:sz w:val="24"/>
          <w:szCs w:val="24"/>
        </w:rPr>
        <w:fldChar w:fldCharType="end"/>
      </w:r>
      <w:bookmarkEnd w:id="0"/>
      <w:r w:rsidRPr="00460D48">
        <w:rPr>
          <w:rFonts w:ascii="Times New Roman" w:eastAsia="Times New Roman" w:hAnsi="Times New Roman" w:cs="Times New Roman"/>
          <w:sz w:val="24"/>
          <w:szCs w:val="24"/>
        </w:rPr>
        <w:t xml:space="preserve">, , </w:t>
      </w:r>
      <w:bookmarkStart w:id="1" w:name="baep-author-id11-profile"/>
      <w:r w:rsidRPr="00460D48">
        <w:rPr>
          <w:rFonts w:ascii="Times New Roman" w:eastAsia="Times New Roman" w:hAnsi="Times New Roman" w:cs="Times New Roman"/>
          <w:sz w:val="24"/>
          <w:szCs w:val="24"/>
        </w:rPr>
        <w:fldChar w:fldCharType="begin"/>
      </w:r>
      <w:r w:rsidRPr="00460D48">
        <w:rPr>
          <w:rFonts w:ascii="Times New Roman" w:eastAsia="Times New Roman" w:hAnsi="Times New Roman" w:cs="Times New Roman"/>
          <w:sz w:val="24"/>
          <w:szCs w:val="24"/>
        </w:rPr>
        <w:instrText xml:space="preserve"> HYPERLINK "https://www.sciencedirect.com/author/7102455113/marilyn-louise-fogel" </w:instrText>
      </w:r>
      <w:r w:rsidRPr="00460D48">
        <w:rPr>
          <w:rFonts w:ascii="Times New Roman" w:eastAsia="Times New Roman" w:hAnsi="Times New Roman" w:cs="Times New Roman"/>
          <w:sz w:val="24"/>
          <w:szCs w:val="24"/>
        </w:rPr>
        <w:fldChar w:fldCharType="separate"/>
      </w:r>
      <w:r w:rsidRPr="00460D48">
        <w:rPr>
          <w:rFonts w:ascii="Times New Roman" w:eastAsia="Times New Roman" w:hAnsi="Times New Roman" w:cs="Times New Roman"/>
          <w:color w:val="0000FF"/>
          <w:sz w:val="24"/>
          <w:szCs w:val="24"/>
          <w:u w:val="single"/>
        </w:rPr>
        <w:t xml:space="preserve">Marilyn Fogel </w:t>
      </w:r>
      <w:r w:rsidRPr="00460D48">
        <w:rPr>
          <w:rFonts w:ascii="Times New Roman" w:eastAsia="Times New Roman" w:hAnsi="Times New Roman" w:cs="Times New Roman"/>
          <w:color w:val="0000FF"/>
          <w:sz w:val="24"/>
          <w:szCs w:val="24"/>
          <w:u w:val="single"/>
          <w:vertAlign w:val="superscript"/>
        </w:rPr>
        <w:t>3</w:t>
      </w:r>
      <w:r w:rsidRPr="00460D48">
        <w:rPr>
          <w:rFonts w:ascii="Times New Roman" w:eastAsia="Times New Roman" w:hAnsi="Times New Roman" w:cs="Times New Roman"/>
          <w:sz w:val="24"/>
          <w:szCs w:val="24"/>
        </w:rPr>
        <w:fldChar w:fldCharType="end"/>
      </w:r>
      <w:bookmarkEnd w:id="1"/>
      <w:r w:rsidRPr="00460D48">
        <w:rPr>
          <w:rFonts w:ascii="Times New Roman" w:eastAsia="Times New Roman" w:hAnsi="Times New Roman" w:cs="Times New Roman"/>
          <w:sz w:val="24"/>
          <w:szCs w:val="24"/>
        </w:rPr>
        <w:t xml:space="preserve">, </w:t>
      </w:r>
    </w:p>
    <w:p w:rsidR="00460D48" w:rsidRPr="00460D48" w:rsidRDefault="00460D48" w:rsidP="00460D48">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460D48">
          <w:rPr>
            <w:rFonts w:ascii="Times New Roman" w:eastAsia="Times New Roman" w:hAnsi="Times New Roman" w:cs="Times New Roman"/>
            <w:color w:val="0000FF"/>
            <w:sz w:val="24"/>
            <w:szCs w:val="24"/>
            <w:u w:val="single"/>
          </w:rPr>
          <w:t>https://doi.org/10.1016/j.gca.2005.03.008</w:t>
        </w:r>
      </w:hyperlink>
      <w:bookmarkStart w:id="2" w:name="_GoBack"/>
      <w:bookmarkEnd w:id="2"/>
      <w:r w:rsidRPr="00460D48">
        <w:rPr>
          <w:rFonts w:ascii="Times New Roman" w:eastAsia="Times New Roman" w:hAnsi="Times New Roman" w:cs="Times New Roman"/>
          <w:sz w:val="24"/>
          <w:szCs w:val="24"/>
        </w:rPr>
        <w:t xml:space="preserve"> </w:t>
      </w:r>
    </w:p>
    <w:p w:rsidR="00460D48" w:rsidRPr="00460D48" w:rsidRDefault="00460D48" w:rsidP="00460D48">
      <w:pPr>
        <w:spacing w:before="100" w:beforeAutospacing="1" w:after="100" w:afterAutospacing="1" w:line="240" w:lineRule="auto"/>
        <w:outlineLvl w:val="1"/>
        <w:rPr>
          <w:rFonts w:ascii="Times New Roman" w:eastAsia="Times New Roman" w:hAnsi="Times New Roman" w:cs="Times New Roman"/>
          <w:b/>
          <w:bCs/>
          <w:sz w:val="36"/>
          <w:szCs w:val="36"/>
        </w:rPr>
      </w:pPr>
      <w:r w:rsidRPr="00460D48">
        <w:rPr>
          <w:rFonts w:ascii="Times New Roman" w:eastAsia="Times New Roman" w:hAnsi="Times New Roman" w:cs="Times New Roman"/>
          <w:b/>
          <w:bCs/>
          <w:sz w:val="36"/>
          <w:szCs w:val="36"/>
        </w:rPr>
        <w:t>Abstract</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We have conducted the first systematic analyses of molecular distribution and </w:t>
      </w:r>
      <w:proofErr w:type="spellStart"/>
      <w:r w:rsidRPr="00460D48">
        <w:rPr>
          <w:rFonts w:ascii="Times New Roman" w:eastAsia="Times New Roman" w:hAnsi="Times New Roman" w:cs="Times New Roman"/>
          <w:sz w:val="24"/>
          <w:szCs w:val="24"/>
        </w:rPr>
        <w:t>δD</w:t>
      </w:r>
      <w:proofErr w:type="spellEnd"/>
      <w:r w:rsidRPr="00460D48">
        <w:rPr>
          <w:rFonts w:ascii="Times New Roman" w:eastAsia="Times New Roman" w:hAnsi="Times New Roman" w:cs="Times New Roman"/>
          <w:sz w:val="24"/>
          <w:szCs w:val="24"/>
        </w:rPr>
        <w:t xml:space="preserve"> values of individual compounds in </w:t>
      </w:r>
      <w:proofErr w:type="spellStart"/>
      <w:r w:rsidRPr="00460D48">
        <w:rPr>
          <w:rFonts w:ascii="Times New Roman" w:eastAsia="Times New Roman" w:hAnsi="Times New Roman" w:cs="Times New Roman"/>
          <w:sz w:val="24"/>
          <w:szCs w:val="24"/>
        </w:rPr>
        <w:t>pyrolysates</w:t>
      </w:r>
      <w:proofErr w:type="spellEnd"/>
      <w:r w:rsidRPr="00460D48">
        <w:rPr>
          <w:rFonts w:ascii="Times New Roman" w:eastAsia="Times New Roman" w:hAnsi="Times New Roman" w:cs="Times New Roman"/>
          <w:sz w:val="24"/>
          <w:szCs w:val="24"/>
        </w:rPr>
        <w:t xml:space="preserve"> of insoluble organic matter (IOM) from different </w:t>
      </w:r>
      <w:hyperlink r:id="rId5" w:tooltip="Learn more about carbonaceous chondrite from ScienceDirect's AI-generated Topic Pages" w:history="1">
        <w:r w:rsidRPr="00460D48">
          <w:rPr>
            <w:rFonts w:ascii="Times New Roman" w:eastAsia="Times New Roman" w:hAnsi="Times New Roman" w:cs="Times New Roman"/>
            <w:color w:val="0000FF"/>
            <w:sz w:val="24"/>
            <w:szCs w:val="24"/>
            <w:u w:val="single"/>
          </w:rPr>
          <w:t>carbonaceous chondrite</w:t>
        </w:r>
      </w:hyperlink>
      <w:r w:rsidRPr="00460D48">
        <w:rPr>
          <w:rFonts w:ascii="Times New Roman" w:eastAsia="Times New Roman" w:hAnsi="Times New Roman" w:cs="Times New Roman"/>
          <w:sz w:val="24"/>
          <w:szCs w:val="24"/>
        </w:rPr>
        <w:t xml:space="preserve"> groups, using flash pyrolysis coupled to gas chromatography-mass spectrometry and compound-specific D/H analysis. IOM samples from six meteorites of different classifications, Elephant </w:t>
      </w:r>
      <w:hyperlink r:id="rId6" w:tooltip="Learn more about Moraine from ScienceDirect's AI-generated Topic Pages" w:history="1">
        <w:r w:rsidRPr="00460D48">
          <w:rPr>
            <w:rFonts w:ascii="Times New Roman" w:eastAsia="Times New Roman" w:hAnsi="Times New Roman" w:cs="Times New Roman"/>
            <w:color w:val="0000FF"/>
            <w:sz w:val="24"/>
            <w:szCs w:val="24"/>
            <w:u w:val="single"/>
          </w:rPr>
          <w:t>Moraine</w:t>
        </w:r>
      </w:hyperlink>
      <w:r w:rsidRPr="00460D48">
        <w:rPr>
          <w:rFonts w:ascii="Times New Roman" w:eastAsia="Times New Roman" w:hAnsi="Times New Roman" w:cs="Times New Roman"/>
          <w:sz w:val="24"/>
          <w:szCs w:val="24"/>
        </w:rPr>
        <w:t xml:space="preserve"> (EET) 92042 (CR2), </w:t>
      </w:r>
      <w:proofErr w:type="spellStart"/>
      <w:r w:rsidRPr="00460D48">
        <w:rPr>
          <w:rFonts w:ascii="Times New Roman" w:eastAsia="Times New Roman" w:hAnsi="Times New Roman" w:cs="Times New Roman"/>
          <w:sz w:val="24"/>
          <w:szCs w:val="24"/>
        </w:rPr>
        <w:t>Orgueil</w:t>
      </w:r>
      <w:proofErr w:type="spellEnd"/>
      <w:r w:rsidRPr="00460D48">
        <w:rPr>
          <w:rFonts w:ascii="Times New Roman" w:eastAsia="Times New Roman" w:hAnsi="Times New Roman" w:cs="Times New Roman"/>
          <w:sz w:val="24"/>
          <w:szCs w:val="24"/>
        </w:rPr>
        <w:t xml:space="preserve"> (CI1), Allan Hills (ALH) 83100 (CM1/2), Murchison (CM2), ALH 85013 (CM2), and Tagish Lake (C2) were isolated and studied. Except for the </w:t>
      </w:r>
      <w:proofErr w:type="spellStart"/>
      <w:r w:rsidRPr="00460D48">
        <w:rPr>
          <w:rFonts w:ascii="Times New Roman" w:eastAsia="Times New Roman" w:hAnsi="Times New Roman" w:cs="Times New Roman"/>
          <w:sz w:val="24"/>
          <w:szCs w:val="24"/>
        </w:rPr>
        <w:t>pyrolysate</w:t>
      </w:r>
      <w:proofErr w:type="spellEnd"/>
      <w:r w:rsidRPr="00460D48">
        <w:rPr>
          <w:rFonts w:ascii="Times New Roman" w:eastAsia="Times New Roman" w:hAnsi="Times New Roman" w:cs="Times New Roman"/>
          <w:sz w:val="24"/>
          <w:szCs w:val="24"/>
        </w:rPr>
        <w:t xml:space="preserve"> of Tagish Lake IOM, </w:t>
      </w:r>
      <w:proofErr w:type="spellStart"/>
      <w:r w:rsidRPr="00460D48">
        <w:rPr>
          <w:rFonts w:ascii="Times New Roman" w:eastAsia="Times New Roman" w:hAnsi="Times New Roman" w:cs="Times New Roman"/>
          <w:sz w:val="24"/>
          <w:szCs w:val="24"/>
        </w:rPr>
        <w:t>pyrolysates</w:t>
      </w:r>
      <w:proofErr w:type="spellEnd"/>
      <w:r w:rsidRPr="00460D48">
        <w:rPr>
          <w:rFonts w:ascii="Times New Roman" w:eastAsia="Times New Roman" w:hAnsi="Times New Roman" w:cs="Times New Roman"/>
          <w:sz w:val="24"/>
          <w:szCs w:val="24"/>
        </w:rPr>
        <w:t xml:space="preserve"> of all five meteorite IOM samples were dominated by an extensive series of aromatic (C</w:t>
      </w:r>
      <w:r w:rsidRPr="00460D48">
        <w:rPr>
          <w:rFonts w:ascii="Times New Roman" w:eastAsia="Times New Roman" w:hAnsi="Times New Roman" w:cs="Times New Roman"/>
          <w:sz w:val="24"/>
          <w:szCs w:val="24"/>
          <w:vertAlign w:val="subscript"/>
        </w:rPr>
        <w:t>1</w:t>
      </w:r>
      <w:r w:rsidRPr="00460D48">
        <w:rPr>
          <w:rFonts w:ascii="Times New Roman" w:eastAsia="Times New Roman" w:hAnsi="Times New Roman" w:cs="Times New Roman"/>
          <w:sz w:val="24"/>
          <w:szCs w:val="24"/>
        </w:rPr>
        <w:t xml:space="preserve"> to C</w:t>
      </w:r>
      <w:r w:rsidRPr="00460D48">
        <w:rPr>
          <w:rFonts w:ascii="Times New Roman" w:eastAsia="Times New Roman" w:hAnsi="Times New Roman" w:cs="Times New Roman"/>
          <w:sz w:val="24"/>
          <w:szCs w:val="24"/>
          <w:vertAlign w:val="subscript"/>
        </w:rPr>
        <w:t>7</w:t>
      </w:r>
      <w:r w:rsidRPr="00460D48">
        <w:rPr>
          <w:rFonts w:ascii="Times New Roman" w:eastAsia="Times New Roman" w:hAnsi="Times New Roman" w:cs="Times New Roman"/>
          <w:sz w:val="24"/>
          <w:szCs w:val="24"/>
        </w:rPr>
        <w:t xml:space="preserve"> alkyl-substituted benzenes, C</w:t>
      </w:r>
      <w:r w:rsidRPr="00460D48">
        <w:rPr>
          <w:rFonts w:ascii="Times New Roman" w:eastAsia="Times New Roman" w:hAnsi="Times New Roman" w:cs="Times New Roman"/>
          <w:sz w:val="24"/>
          <w:szCs w:val="24"/>
          <w:vertAlign w:val="subscript"/>
        </w:rPr>
        <w:t>0</w:t>
      </w:r>
      <w:r w:rsidRPr="00460D48">
        <w:rPr>
          <w:rFonts w:ascii="Times New Roman" w:eastAsia="Times New Roman" w:hAnsi="Times New Roman" w:cs="Times New Roman"/>
          <w:sz w:val="24"/>
          <w:szCs w:val="24"/>
        </w:rPr>
        <w:t xml:space="preserve"> to C</w:t>
      </w:r>
      <w:r w:rsidRPr="00460D48">
        <w:rPr>
          <w:rFonts w:ascii="Times New Roman" w:eastAsia="Times New Roman" w:hAnsi="Times New Roman" w:cs="Times New Roman"/>
          <w:sz w:val="24"/>
          <w:szCs w:val="24"/>
          <w:vertAlign w:val="subscript"/>
        </w:rPr>
        <w:t>2</w:t>
      </w:r>
      <w:r w:rsidRPr="00460D48">
        <w:rPr>
          <w:rFonts w:ascii="Times New Roman" w:eastAsia="Times New Roman" w:hAnsi="Times New Roman" w:cs="Times New Roman"/>
          <w:sz w:val="24"/>
          <w:szCs w:val="24"/>
        </w:rPr>
        <w:t xml:space="preserve"> alkyl-substituted </w:t>
      </w:r>
      <w:proofErr w:type="spellStart"/>
      <w:r w:rsidRPr="00460D48">
        <w:rPr>
          <w:rFonts w:ascii="Times New Roman" w:eastAsia="Times New Roman" w:hAnsi="Times New Roman" w:cs="Times New Roman"/>
          <w:sz w:val="24"/>
          <w:szCs w:val="24"/>
        </w:rPr>
        <w:t>naphthalenes</w:t>
      </w:r>
      <w:proofErr w:type="spellEnd"/>
      <w:r w:rsidRPr="00460D48">
        <w:rPr>
          <w:rFonts w:ascii="Times New Roman" w:eastAsia="Times New Roman" w:hAnsi="Times New Roman" w:cs="Times New Roman"/>
          <w:sz w:val="24"/>
          <w:szCs w:val="24"/>
        </w:rPr>
        <w:t>), with aliphatic (straight chain and branched C</w:t>
      </w:r>
      <w:r w:rsidRPr="00460D48">
        <w:rPr>
          <w:rFonts w:ascii="Times New Roman" w:eastAsia="Times New Roman" w:hAnsi="Times New Roman" w:cs="Times New Roman"/>
          <w:sz w:val="24"/>
          <w:szCs w:val="24"/>
          <w:vertAlign w:val="subscript"/>
        </w:rPr>
        <w:t>10</w:t>
      </w:r>
      <w:r w:rsidRPr="00460D48">
        <w:rPr>
          <w:rFonts w:ascii="Times New Roman" w:eastAsia="Times New Roman" w:hAnsi="Times New Roman" w:cs="Times New Roman"/>
          <w:sz w:val="24"/>
          <w:szCs w:val="24"/>
        </w:rPr>
        <w:t xml:space="preserve"> to C</w:t>
      </w:r>
      <w:r w:rsidRPr="00460D48">
        <w:rPr>
          <w:rFonts w:ascii="Times New Roman" w:eastAsia="Times New Roman" w:hAnsi="Times New Roman" w:cs="Times New Roman"/>
          <w:sz w:val="24"/>
          <w:szCs w:val="24"/>
          <w:vertAlign w:val="subscript"/>
        </w:rPr>
        <w:t>15</w:t>
      </w:r>
      <w:r w:rsidRPr="00460D48">
        <w:rPr>
          <w:rFonts w:ascii="Times New Roman" w:eastAsia="Times New Roman" w:hAnsi="Times New Roman" w:cs="Times New Roman"/>
          <w:sz w:val="24"/>
          <w:szCs w:val="24"/>
        </w:rPr>
        <w:t xml:space="preserve"> alkanes) hydrocarbons and several S- and O- containing compounds (C</w:t>
      </w:r>
      <w:r w:rsidRPr="00460D48">
        <w:rPr>
          <w:rFonts w:ascii="Times New Roman" w:eastAsia="Times New Roman" w:hAnsi="Times New Roman" w:cs="Times New Roman"/>
          <w:sz w:val="24"/>
          <w:szCs w:val="24"/>
          <w:vertAlign w:val="subscript"/>
        </w:rPr>
        <w:t>1</w:t>
      </w:r>
      <w:r w:rsidRPr="00460D48">
        <w:rPr>
          <w:rFonts w:ascii="Times New Roman" w:eastAsia="Times New Roman" w:hAnsi="Times New Roman" w:cs="Times New Roman"/>
          <w:sz w:val="24"/>
          <w:szCs w:val="24"/>
        </w:rPr>
        <w:t xml:space="preserve"> to C</w:t>
      </w:r>
      <w:r w:rsidRPr="00460D48">
        <w:rPr>
          <w:rFonts w:ascii="Times New Roman" w:eastAsia="Times New Roman" w:hAnsi="Times New Roman" w:cs="Times New Roman"/>
          <w:sz w:val="24"/>
          <w:szCs w:val="24"/>
          <w:vertAlign w:val="subscript"/>
        </w:rPr>
        <w:t>2</w:t>
      </w:r>
      <w:r w:rsidRPr="00460D48">
        <w:rPr>
          <w:rFonts w:ascii="Times New Roman" w:eastAsia="Times New Roman" w:hAnsi="Times New Roman" w:cs="Times New Roman"/>
          <w:sz w:val="24"/>
          <w:szCs w:val="24"/>
        </w:rPr>
        <w:t xml:space="preserve"> </w:t>
      </w:r>
      <w:proofErr w:type="spellStart"/>
      <w:r w:rsidRPr="00460D48">
        <w:rPr>
          <w:rFonts w:ascii="Times New Roman" w:eastAsia="Times New Roman" w:hAnsi="Times New Roman" w:cs="Times New Roman"/>
          <w:sz w:val="24"/>
          <w:szCs w:val="24"/>
        </w:rPr>
        <w:t>alkylthiophenes</w:t>
      </w:r>
      <w:proofErr w:type="spellEnd"/>
      <w:r w:rsidRPr="00460D48">
        <w:rPr>
          <w:rFonts w:ascii="Times New Roman" w:eastAsia="Times New Roman" w:hAnsi="Times New Roman" w:cs="Times New Roman"/>
          <w:sz w:val="24"/>
          <w:szCs w:val="24"/>
        </w:rPr>
        <w:t xml:space="preserve">, </w:t>
      </w:r>
      <w:proofErr w:type="spellStart"/>
      <w:r w:rsidRPr="00460D48">
        <w:rPr>
          <w:rFonts w:ascii="Times New Roman" w:eastAsia="Times New Roman" w:hAnsi="Times New Roman" w:cs="Times New Roman"/>
          <w:sz w:val="24"/>
          <w:szCs w:val="24"/>
        </w:rPr>
        <w:t>benzothiophene</w:t>
      </w:r>
      <w:proofErr w:type="spellEnd"/>
      <w:r w:rsidRPr="00460D48">
        <w:rPr>
          <w:rFonts w:ascii="Times New Roman" w:eastAsia="Times New Roman" w:hAnsi="Times New Roman" w:cs="Times New Roman"/>
          <w:sz w:val="24"/>
          <w:szCs w:val="24"/>
        </w:rPr>
        <w:t xml:space="preserve">, benzaldehyde) being also present. The strong similarity in the </w:t>
      </w:r>
      <w:proofErr w:type="spellStart"/>
      <w:r w:rsidRPr="00460D48">
        <w:rPr>
          <w:rFonts w:ascii="Times New Roman" w:eastAsia="Times New Roman" w:hAnsi="Times New Roman" w:cs="Times New Roman"/>
          <w:sz w:val="24"/>
          <w:szCs w:val="24"/>
        </w:rPr>
        <w:t>pyrolysates</w:t>
      </w:r>
      <w:proofErr w:type="spellEnd"/>
      <w:r w:rsidRPr="00460D48">
        <w:rPr>
          <w:rFonts w:ascii="Times New Roman" w:eastAsia="Times New Roman" w:hAnsi="Times New Roman" w:cs="Times New Roman"/>
          <w:sz w:val="24"/>
          <w:szCs w:val="24"/>
        </w:rPr>
        <w:t xml:space="preserve"> of different carbonaceous chondrites suggests certain common characteristics in the formation mechanisms of IOM from different meteorites. The Tagish Lake IOM sample is unique in that its </w:t>
      </w:r>
      <w:proofErr w:type="spellStart"/>
      <w:r w:rsidRPr="00460D48">
        <w:rPr>
          <w:rFonts w:ascii="Times New Roman" w:eastAsia="Times New Roman" w:hAnsi="Times New Roman" w:cs="Times New Roman"/>
          <w:sz w:val="24"/>
          <w:szCs w:val="24"/>
        </w:rPr>
        <w:t>pyrolysate</w:t>
      </w:r>
      <w:proofErr w:type="spellEnd"/>
      <w:r w:rsidRPr="00460D48">
        <w:rPr>
          <w:rFonts w:ascii="Times New Roman" w:eastAsia="Times New Roman" w:hAnsi="Times New Roman" w:cs="Times New Roman"/>
          <w:sz w:val="24"/>
          <w:szCs w:val="24"/>
        </w:rPr>
        <w:t xml:space="preserve"> lacks most of the alkyl-substituted </w:t>
      </w:r>
      <w:hyperlink r:id="rId7" w:tooltip="Learn more about aromatic hydrocarbons from ScienceDirect's AI-generated Topic Pages" w:history="1">
        <w:r w:rsidRPr="00460D48">
          <w:rPr>
            <w:rFonts w:ascii="Times New Roman" w:eastAsia="Times New Roman" w:hAnsi="Times New Roman" w:cs="Times New Roman"/>
            <w:color w:val="0000FF"/>
            <w:sz w:val="24"/>
            <w:szCs w:val="24"/>
            <w:u w:val="single"/>
          </w:rPr>
          <w:t>aromatic hydrocarbons</w:t>
        </w:r>
      </w:hyperlink>
      <w:r w:rsidRPr="00460D48">
        <w:rPr>
          <w:rFonts w:ascii="Times New Roman" w:eastAsia="Times New Roman" w:hAnsi="Times New Roman" w:cs="Times New Roman"/>
          <w:sz w:val="24"/>
          <w:szCs w:val="24"/>
        </w:rPr>
        <w:t xml:space="preserve"> detected in other meteorite IOM samples, suggesting distinctively different formation processes. Both bulk </w:t>
      </w:r>
      <w:proofErr w:type="spellStart"/>
      <w:r w:rsidRPr="00460D48">
        <w:rPr>
          <w:rFonts w:ascii="Times New Roman" w:eastAsia="Times New Roman" w:hAnsi="Times New Roman" w:cs="Times New Roman"/>
          <w:sz w:val="24"/>
          <w:szCs w:val="24"/>
        </w:rPr>
        <w:t>δD</w:t>
      </w:r>
      <w:proofErr w:type="spellEnd"/>
      <w:r w:rsidRPr="00460D48">
        <w:rPr>
          <w:rFonts w:ascii="Times New Roman" w:eastAsia="Times New Roman" w:hAnsi="Times New Roman" w:cs="Times New Roman"/>
          <w:sz w:val="24"/>
          <w:szCs w:val="24"/>
        </w:rPr>
        <w:t xml:space="preserve"> values of meteorite IOMs and weighted-average </w:t>
      </w:r>
      <w:proofErr w:type="spellStart"/>
      <w:r w:rsidRPr="00460D48">
        <w:rPr>
          <w:rFonts w:ascii="Times New Roman" w:eastAsia="Times New Roman" w:hAnsi="Times New Roman" w:cs="Times New Roman"/>
          <w:sz w:val="24"/>
          <w:szCs w:val="24"/>
        </w:rPr>
        <w:t>δD</w:t>
      </w:r>
      <w:proofErr w:type="spellEnd"/>
      <w:r w:rsidRPr="00460D48">
        <w:rPr>
          <w:rFonts w:ascii="Times New Roman" w:eastAsia="Times New Roman" w:hAnsi="Times New Roman" w:cs="Times New Roman"/>
          <w:sz w:val="24"/>
          <w:szCs w:val="24"/>
        </w:rPr>
        <w:t xml:space="preserve"> values of individual compounds in </w:t>
      </w:r>
      <w:proofErr w:type="spellStart"/>
      <w:r w:rsidRPr="00460D48">
        <w:rPr>
          <w:rFonts w:ascii="Times New Roman" w:eastAsia="Times New Roman" w:hAnsi="Times New Roman" w:cs="Times New Roman"/>
          <w:sz w:val="24"/>
          <w:szCs w:val="24"/>
        </w:rPr>
        <w:t>pyrolysates</w:t>
      </w:r>
      <w:proofErr w:type="spellEnd"/>
      <w:r w:rsidRPr="00460D48">
        <w:rPr>
          <w:rFonts w:ascii="Times New Roman" w:eastAsia="Times New Roman" w:hAnsi="Times New Roman" w:cs="Times New Roman"/>
          <w:sz w:val="24"/>
          <w:szCs w:val="24"/>
        </w:rPr>
        <w:t xml:space="preserve"> show a decreasing trend: CR2 &gt; CI1 &gt; CM2 &gt; C2 (Tagish Lake), with the EET 92042 (CR2) IOM having the highest </w:t>
      </w:r>
      <w:proofErr w:type="spellStart"/>
      <w:r w:rsidRPr="00460D48">
        <w:rPr>
          <w:rFonts w:ascii="Times New Roman" w:eastAsia="Times New Roman" w:hAnsi="Times New Roman" w:cs="Times New Roman"/>
          <w:sz w:val="24"/>
          <w:szCs w:val="24"/>
        </w:rPr>
        <w:t>δD</w:t>
      </w:r>
      <w:proofErr w:type="spellEnd"/>
      <w:r w:rsidRPr="00460D48">
        <w:rPr>
          <w:rFonts w:ascii="Times New Roman" w:eastAsia="Times New Roman" w:hAnsi="Times New Roman" w:cs="Times New Roman"/>
          <w:sz w:val="24"/>
          <w:szCs w:val="24"/>
        </w:rPr>
        <w:t xml:space="preserve"> values (</w:t>
      </w:r>
      <w:r w:rsidRPr="00460D48">
        <w:rPr>
          <w:rFonts w:ascii="Cambria Math" w:eastAsia="Times New Roman" w:hAnsi="Cambria Math" w:cs="Cambria Math"/>
          <w:sz w:val="24"/>
          <w:szCs w:val="24"/>
        </w:rPr>
        <w:t>∼</w:t>
      </w:r>
      <w:r w:rsidRPr="00460D48">
        <w:rPr>
          <w:rFonts w:ascii="Times New Roman" w:eastAsia="Times New Roman" w:hAnsi="Times New Roman" w:cs="Times New Roman"/>
          <w:sz w:val="24"/>
          <w:szCs w:val="24"/>
        </w:rPr>
        <w:t>2000‰ higher than other samples). We attribute the high D contents in the IOM to primitive interstellar organic sources.</w:t>
      </w:r>
    </w:p>
    <w:p w:rsidR="00460D48" w:rsidRPr="00460D48" w:rsidRDefault="00460D48" w:rsidP="00460D48">
      <w:pPr>
        <w:spacing w:before="100" w:beforeAutospacing="1" w:after="100" w:afterAutospacing="1" w:line="240" w:lineRule="auto"/>
        <w:outlineLvl w:val="1"/>
        <w:rPr>
          <w:rFonts w:ascii="Times New Roman" w:eastAsia="Times New Roman" w:hAnsi="Times New Roman" w:cs="Times New Roman"/>
          <w:b/>
          <w:bCs/>
          <w:sz w:val="36"/>
          <w:szCs w:val="36"/>
        </w:rPr>
      </w:pPr>
      <w:r w:rsidRPr="00460D48">
        <w:rPr>
          <w:rFonts w:ascii="Times New Roman" w:eastAsia="Times New Roman" w:hAnsi="Times New Roman" w:cs="Times New Roman"/>
          <w:b/>
          <w:bCs/>
          <w:sz w:val="36"/>
          <w:szCs w:val="36"/>
        </w:rPr>
        <w:t>Introduction</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The carbonaceous chondrites are primitive meteorites that contain up to several weight-percent of carbon, most of which is present as organic matter (Hayes, 1967). Studies of the molecular and isotopic compositions (e.g., Robert and Epstein 1982, </w:t>
      </w:r>
      <w:proofErr w:type="spellStart"/>
      <w:r w:rsidRPr="00460D48">
        <w:rPr>
          <w:rFonts w:ascii="Times New Roman" w:eastAsia="Times New Roman" w:hAnsi="Times New Roman" w:cs="Times New Roman"/>
          <w:sz w:val="24"/>
          <w:szCs w:val="24"/>
        </w:rPr>
        <w:t>Kerridge</w:t>
      </w:r>
      <w:proofErr w:type="spellEnd"/>
      <w:r w:rsidRPr="00460D48">
        <w:rPr>
          <w:rFonts w:ascii="Times New Roman" w:eastAsia="Times New Roman" w:hAnsi="Times New Roman" w:cs="Times New Roman"/>
          <w:sz w:val="24"/>
          <w:szCs w:val="24"/>
        </w:rPr>
        <w:t xml:space="preserve"> 1983, </w:t>
      </w:r>
      <w:proofErr w:type="spellStart"/>
      <w:r w:rsidRPr="00460D48">
        <w:rPr>
          <w:rFonts w:ascii="Times New Roman" w:eastAsia="Times New Roman" w:hAnsi="Times New Roman" w:cs="Times New Roman"/>
          <w:sz w:val="24"/>
          <w:szCs w:val="24"/>
        </w:rPr>
        <w:t>Sephton</w:t>
      </w:r>
      <w:proofErr w:type="spellEnd"/>
      <w:r w:rsidRPr="00460D48">
        <w:rPr>
          <w:rFonts w:ascii="Times New Roman" w:eastAsia="Times New Roman" w:hAnsi="Times New Roman" w:cs="Times New Roman"/>
          <w:sz w:val="24"/>
          <w:szCs w:val="24"/>
        </w:rPr>
        <w:t xml:space="preserve"> and Gilmour 2001, </w:t>
      </w:r>
      <w:proofErr w:type="spellStart"/>
      <w:r w:rsidRPr="00460D48">
        <w:rPr>
          <w:rFonts w:ascii="Times New Roman" w:eastAsia="Times New Roman" w:hAnsi="Times New Roman" w:cs="Times New Roman"/>
          <w:sz w:val="24"/>
          <w:szCs w:val="24"/>
        </w:rPr>
        <w:t>Sephton</w:t>
      </w:r>
      <w:proofErr w:type="spellEnd"/>
      <w:r w:rsidRPr="00460D48">
        <w:rPr>
          <w:rFonts w:ascii="Times New Roman" w:eastAsia="Times New Roman" w:hAnsi="Times New Roman" w:cs="Times New Roman"/>
          <w:sz w:val="24"/>
          <w:szCs w:val="24"/>
        </w:rPr>
        <w:t xml:space="preserve"> 2002, </w:t>
      </w:r>
      <w:proofErr w:type="spellStart"/>
      <w:r w:rsidRPr="00460D48">
        <w:rPr>
          <w:rFonts w:ascii="Times New Roman" w:eastAsia="Times New Roman" w:hAnsi="Times New Roman" w:cs="Times New Roman"/>
          <w:sz w:val="24"/>
          <w:szCs w:val="24"/>
        </w:rPr>
        <w:t>Pizzarello</w:t>
      </w:r>
      <w:proofErr w:type="spellEnd"/>
      <w:r w:rsidRPr="00460D48">
        <w:rPr>
          <w:rFonts w:ascii="Times New Roman" w:eastAsia="Times New Roman" w:hAnsi="Times New Roman" w:cs="Times New Roman"/>
          <w:sz w:val="24"/>
          <w:szCs w:val="24"/>
        </w:rPr>
        <w:t xml:space="preserve"> and Huang 2005) of this organic matter suggest that it may have retained a record of its origin and secondary thermal and aqueous alteration histories. The organic matter is present in either extractable or non-extractable forms. Water and organic solvent extractable compounds, including aromatic hydrocarbons, aliphatic hydrocarbons, amino acids, carboxylic acids, alcohols, aldehydes, ketones, and amines, etc., only constitute less than 25% of the total organic matter in carbonaceous chondrites (</w:t>
      </w:r>
      <w:proofErr w:type="spellStart"/>
      <w:r w:rsidRPr="00460D48">
        <w:rPr>
          <w:rFonts w:ascii="Times New Roman" w:eastAsia="Times New Roman" w:hAnsi="Times New Roman" w:cs="Times New Roman"/>
          <w:sz w:val="24"/>
          <w:szCs w:val="24"/>
        </w:rPr>
        <w:t>Hayatsu</w:t>
      </w:r>
      <w:proofErr w:type="spellEnd"/>
      <w:r w:rsidRPr="00460D48">
        <w:rPr>
          <w:rFonts w:ascii="Times New Roman" w:eastAsia="Times New Roman" w:hAnsi="Times New Roman" w:cs="Times New Roman"/>
          <w:sz w:val="24"/>
          <w:szCs w:val="24"/>
        </w:rPr>
        <w:t xml:space="preserve"> and Anders, 1981).</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The remaining 75% or so of organic matter in carbonaceous chondrites exist in the form of non-extractable or insoluble organic matter (the IOM), </w:t>
      </w:r>
      <w:proofErr w:type="spellStart"/>
      <w:r w:rsidRPr="00460D48">
        <w:rPr>
          <w:rFonts w:ascii="Times New Roman" w:eastAsia="Times New Roman" w:hAnsi="Times New Roman" w:cs="Times New Roman"/>
          <w:sz w:val="24"/>
          <w:szCs w:val="24"/>
        </w:rPr>
        <w:t>i</w:t>
      </w:r>
      <w:proofErr w:type="spellEnd"/>
      <w:r w:rsidRPr="00460D48">
        <w:rPr>
          <w:rFonts w:ascii="Times New Roman" w:eastAsia="Times New Roman" w:hAnsi="Times New Roman" w:cs="Times New Roman"/>
          <w:sz w:val="24"/>
          <w:szCs w:val="24"/>
        </w:rPr>
        <w:t xml:space="preserve">. e. it </w:t>
      </w:r>
      <w:proofErr w:type="spellStart"/>
      <w:r w:rsidRPr="00460D48">
        <w:rPr>
          <w:rFonts w:ascii="Times New Roman" w:eastAsia="Times New Roman" w:hAnsi="Times New Roman" w:cs="Times New Roman"/>
          <w:sz w:val="24"/>
          <w:szCs w:val="24"/>
        </w:rPr>
        <w:t>can not</w:t>
      </w:r>
      <w:proofErr w:type="spellEnd"/>
      <w:r w:rsidRPr="00460D48">
        <w:rPr>
          <w:rFonts w:ascii="Times New Roman" w:eastAsia="Times New Roman" w:hAnsi="Times New Roman" w:cs="Times New Roman"/>
          <w:sz w:val="24"/>
          <w:szCs w:val="24"/>
        </w:rPr>
        <w:t xml:space="preserve"> be solubilized by water and common solvents (</w:t>
      </w:r>
      <w:proofErr w:type="spellStart"/>
      <w:r w:rsidRPr="00460D48">
        <w:rPr>
          <w:rFonts w:ascii="Times New Roman" w:eastAsia="Times New Roman" w:hAnsi="Times New Roman" w:cs="Times New Roman"/>
          <w:sz w:val="24"/>
          <w:szCs w:val="24"/>
        </w:rPr>
        <w:t>Bandurski</w:t>
      </w:r>
      <w:proofErr w:type="spellEnd"/>
      <w:r w:rsidRPr="00460D48">
        <w:rPr>
          <w:rFonts w:ascii="Times New Roman" w:eastAsia="Times New Roman" w:hAnsi="Times New Roman" w:cs="Times New Roman"/>
          <w:sz w:val="24"/>
          <w:szCs w:val="24"/>
        </w:rPr>
        <w:t xml:space="preserve"> and Nagy, 1976). Compared with the solvent extractable compounds, the IOM has much higher molecular weights and is not amenable directly to conventional analytical </w:t>
      </w:r>
      <w:r w:rsidRPr="00460D48">
        <w:rPr>
          <w:rFonts w:ascii="Times New Roman" w:eastAsia="Times New Roman" w:hAnsi="Times New Roman" w:cs="Times New Roman"/>
          <w:sz w:val="24"/>
          <w:szCs w:val="24"/>
        </w:rPr>
        <w:lastRenderedPageBreak/>
        <w:t>methods such as gas chromatography-mass spectrometry (GC-MS). As a consequence, there have been fewer studies of IOM than the extractable compounds. The advantage of IOM is that its high molecular weight and relative immobility preclude the possibility of terrestrial contamination, a concern that is most often associated with free organic compounds in carbonaceous meteorites (Han et al 1969, Robert and Epstein 1982). The ever-increasing collection of Antarctic carbonaceous meteorites provides ideal materials for characterizing the IOM in different types of samples. Applications of new analytical techniques to the meteorite IOM have great potential to provide new information on the compositions and origin of organic matter in carbonaceous chondrites.</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Flash pyrolysis (PY), hydrous pyrolysis (H</w:t>
      </w:r>
      <w:r w:rsidRPr="00460D48">
        <w:rPr>
          <w:rFonts w:ascii="Times New Roman" w:eastAsia="Times New Roman" w:hAnsi="Times New Roman" w:cs="Times New Roman"/>
          <w:sz w:val="24"/>
          <w:szCs w:val="24"/>
          <w:vertAlign w:val="subscript"/>
        </w:rPr>
        <w:t>2</w:t>
      </w:r>
      <w:r w:rsidRPr="00460D48">
        <w:rPr>
          <w:rFonts w:ascii="Times New Roman" w:eastAsia="Times New Roman" w:hAnsi="Times New Roman" w:cs="Times New Roman"/>
          <w:sz w:val="24"/>
          <w:szCs w:val="24"/>
        </w:rPr>
        <w:t xml:space="preserve">O-PY), and </w:t>
      </w:r>
      <w:proofErr w:type="spellStart"/>
      <w:r w:rsidRPr="00460D48">
        <w:rPr>
          <w:rFonts w:ascii="Times New Roman" w:eastAsia="Times New Roman" w:hAnsi="Times New Roman" w:cs="Times New Roman"/>
          <w:sz w:val="24"/>
          <w:szCs w:val="24"/>
        </w:rPr>
        <w:t>hydropyrolysis</w:t>
      </w:r>
      <w:proofErr w:type="spellEnd"/>
      <w:r w:rsidRPr="00460D48">
        <w:rPr>
          <w:rFonts w:ascii="Times New Roman" w:eastAsia="Times New Roman" w:hAnsi="Times New Roman" w:cs="Times New Roman"/>
          <w:sz w:val="24"/>
          <w:szCs w:val="24"/>
        </w:rPr>
        <w:t xml:space="preserve"> (H</w:t>
      </w:r>
      <w:r w:rsidRPr="00460D48">
        <w:rPr>
          <w:rFonts w:ascii="Times New Roman" w:eastAsia="Times New Roman" w:hAnsi="Times New Roman" w:cs="Times New Roman"/>
          <w:sz w:val="24"/>
          <w:szCs w:val="24"/>
          <w:vertAlign w:val="subscript"/>
        </w:rPr>
        <w:t>2</w:t>
      </w:r>
      <w:r w:rsidRPr="00460D48">
        <w:rPr>
          <w:rFonts w:ascii="Times New Roman" w:eastAsia="Times New Roman" w:hAnsi="Times New Roman" w:cs="Times New Roman"/>
          <w:sz w:val="24"/>
          <w:szCs w:val="24"/>
        </w:rPr>
        <w:t>-PY) coupled (either offline or online) to GC-MS are among the common degradative approaches applied to study the IOM in meteorites (</w:t>
      </w:r>
      <w:proofErr w:type="spellStart"/>
      <w:r w:rsidRPr="00460D48">
        <w:rPr>
          <w:rFonts w:ascii="Times New Roman" w:eastAsia="Times New Roman" w:hAnsi="Times New Roman" w:cs="Times New Roman"/>
          <w:sz w:val="24"/>
          <w:szCs w:val="24"/>
        </w:rPr>
        <w:t>Goni</w:t>
      </w:r>
      <w:proofErr w:type="spellEnd"/>
      <w:r w:rsidRPr="00460D48">
        <w:rPr>
          <w:rFonts w:ascii="Times New Roman" w:eastAsia="Times New Roman" w:hAnsi="Times New Roman" w:cs="Times New Roman"/>
          <w:sz w:val="24"/>
          <w:szCs w:val="24"/>
        </w:rPr>
        <w:t xml:space="preserve"> and Eglinton 1994, Kitajima et al 2002, </w:t>
      </w:r>
      <w:proofErr w:type="spellStart"/>
      <w:r w:rsidRPr="00460D48">
        <w:rPr>
          <w:rFonts w:ascii="Times New Roman" w:eastAsia="Times New Roman" w:hAnsi="Times New Roman" w:cs="Times New Roman"/>
          <w:sz w:val="24"/>
          <w:szCs w:val="24"/>
        </w:rPr>
        <w:t>Sephton</w:t>
      </w:r>
      <w:proofErr w:type="spellEnd"/>
      <w:r w:rsidRPr="00460D48">
        <w:rPr>
          <w:rFonts w:ascii="Times New Roman" w:eastAsia="Times New Roman" w:hAnsi="Times New Roman" w:cs="Times New Roman"/>
          <w:sz w:val="24"/>
          <w:szCs w:val="24"/>
        </w:rPr>
        <w:t xml:space="preserve"> et al 1998, </w:t>
      </w:r>
      <w:proofErr w:type="spellStart"/>
      <w:r w:rsidRPr="00460D48">
        <w:rPr>
          <w:rFonts w:ascii="Times New Roman" w:eastAsia="Times New Roman" w:hAnsi="Times New Roman" w:cs="Times New Roman"/>
          <w:sz w:val="24"/>
          <w:szCs w:val="24"/>
        </w:rPr>
        <w:t>Sephton</w:t>
      </w:r>
      <w:proofErr w:type="spellEnd"/>
      <w:r w:rsidRPr="00460D48">
        <w:rPr>
          <w:rFonts w:ascii="Times New Roman" w:eastAsia="Times New Roman" w:hAnsi="Times New Roman" w:cs="Times New Roman"/>
          <w:sz w:val="24"/>
          <w:szCs w:val="24"/>
        </w:rPr>
        <w:t xml:space="preserve"> et al 2004). Pyrolysis thermally decomposes the IOM in an inert atmosphere into lower molecular weight fragments (</w:t>
      </w:r>
      <w:proofErr w:type="spellStart"/>
      <w:r w:rsidRPr="00460D48">
        <w:rPr>
          <w:rFonts w:ascii="Times New Roman" w:eastAsia="Times New Roman" w:hAnsi="Times New Roman" w:cs="Times New Roman"/>
          <w:sz w:val="24"/>
          <w:szCs w:val="24"/>
        </w:rPr>
        <w:t>pyrolysate</w:t>
      </w:r>
      <w:proofErr w:type="spellEnd"/>
      <w:r w:rsidRPr="00460D48">
        <w:rPr>
          <w:rFonts w:ascii="Times New Roman" w:eastAsia="Times New Roman" w:hAnsi="Times New Roman" w:cs="Times New Roman"/>
          <w:sz w:val="24"/>
          <w:szCs w:val="24"/>
        </w:rPr>
        <w:t>), which can then be directly introduced into GC-MS or be further offline-fractionated before GC-MS analysis. PY-GC-MS is particularly useful for comparing the chemical differences between different meteorite samples. Differences in PY-GC-MS profiles reflect intrinsic differences in chemical compositions of the IOM, including the distributions of relatively stable molecular moieties and chemical bonding between them. Conversely, similarities in the GC-MS profiles support similar organic structures and bonding systems and suggest similarities in the origins and evolution pathways of IOM.</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Hydrogen isotopic ratios of organic matter provide important information on the origins of meteoritic organic compounds (</w:t>
      </w:r>
      <w:proofErr w:type="spellStart"/>
      <w:r w:rsidRPr="00460D48">
        <w:rPr>
          <w:rFonts w:ascii="Times New Roman" w:eastAsia="Times New Roman" w:hAnsi="Times New Roman" w:cs="Times New Roman"/>
          <w:sz w:val="24"/>
          <w:szCs w:val="24"/>
        </w:rPr>
        <w:t>Kerridge</w:t>
      </w:r>
      <w:proofErr w:type="spellEnd"/>
      <w:r w:rsidRPr="00460D48">
        <w:rPr>
          <w:rFonts w:ascii="Times New Roman" w:eastAsia="Times New Roman" w:hAnsi="Times New Roman" w:cs="Times New Roman"/>
          <w:sz w:val="24"/>
          <w:szCs w:val="24"/>
        </w:rPr>
        <w:t xml:space="preserve"> 1983, Cronin and Chang 1993, </w:t>
      </w:r>
      <w:proofErr w:type="spellStart"/>
      <w:r w:rsidRPr="00460D48">
        <w:rPr>
          <w:rFonts w:ascii="Times New Roman" w:eastAsia="Times New Roman" w:hAnsi="Times New Roman" w:cs="Times New Roman"/>
          <w:sz w:val="24"/>
          <w:szCs w:val="24"/>
        </w:rPr>
        <w:t>Pizzarello</w:t>
      </w:r>
      <w:proofErr w:type="spellEnd"/>
      <w:r w:rsidRPr="00460D48">
        <w:rPr>
          <w:rFonts w:ascii="Times New Roman" w:eastAsia="Times New Roman" w:hAnsi="Times New Roman" w:cs="Times New Roman"/>
          <w:sz w:val="24"/>
          <w:szCs w:val="24"/>
        </w:rPr>
        <w:t xml:space="preserve"> and Huang 2005). Because the relative mass difference of deuterium and hydrogen is the highest among all the stable isotope pairs, hydrogen often shows the largest mass-dependent isotopic fractionation during chemical/physical processes than the isotopes of any other element. Recent developments in gas chromatography—high temperature conversion—isotope ratio mass spectrometry (GC-TC-IRMS) technique allow compound-specific hydrogen isotopic characterization (</w:t>
      </w:r>
      <w:proofErr w:type="spellStart"/>
      <w:r w:rsidRPr="00460D48">
        <w:rPr>
          <w:rFonts w:ascii="Times New Roman" w:eastAsia="Times New Roman" w:hAnsi="Times New Roman" w:cs="Times New Roman"/>
          <w:sz w:val="24"/>
          <w:szCs w:val="24"/>
        </w:rPr>
        <w:t>Hilkert</w:t>
      </w:r>
      <w:proofErr w:type="spellEnd"/>
      <w:r w:rsidRPr="00460D48">
        <w:rPr>
          <w:rFonts w:ascii="Times New Roman" w:eastAsia="Times New Roman" w:hAnsi="Times New Roman" w:cs="Times New Roman"/>
          <w:sz w:val="24"/>
          <w:szCs w:val="24"/>
        </w:rPr>
        <w:t xml:space="preserve"> et al 1999, Sessions et al 1999, Sessions et al 2001a, Sessions et al 2001b). Therefore, the </w:t>
      </w:r>
      <w:proofErr w:type="spellStart"/>
      <w:r w:rsidRPr="00460D48">
        <w:rPr>
          <w:rFonts w:ascii="Times New Roman" w:eastAsia="Times New Roman" w:hAnsi="Times New Roman" w:cs="Times New Roman"/>
          <w:sz w:val="24"/>
          <w:szCs w:val="24"/>
        </w:rPr>
        <w:t>δD</w:t>
      </w:r>
      <w:proofErr w:type="spellEnd"/>
      <w:r w:rsidRPr="00460D48">
        <w:rPr>
          <w:rFonts w:ascii="Times New Roman" w:eastAsia="Times New Roman" w:hAnsi="Times New Roman" w:cs="Times New Roman"/>
          <w:sz w:val="24"/>
          <w:szCs w:val="24"/>
        </w:rPr>
        <w:t xml:space="preserve"> values of individual organic compounds may provide the most sensitive isotopic tracer for studying the prebiotic evolution, and for differentiating sources of organic compounds in carbonaceous chondrites. However, despite many studies on the bulk hydrogen isotope ratios of meteorite organic compounds (e.g., </w:t>
      </w:r>
      <w:proofErr w:type="spellStart"/>
      <w:r w:rsidRPr="00460D48">
        <w:rPr>
          <w:rFonts w:ascii="Times New Roman" w:eastAsia="Times New Roman" w:hAnsi="Times New Roman" w:cs="Times New Roman"/>
          <w:sz w:val="24"/>
          <w:szCs w:val="24"/>
        </w:rPr>
        <w:t>Kerridge</w:t>
      </w:r>
      <w:proofErr w:type="spellEnd"/>
      <w:r w:rsidRPr="00460D48">
        <w:rPr>
          <w:rFonts w:ascii="Times New Roman" w:eastAsia="Times New Roman" w:hAnsi="Times New Roman" w:cs="Times New Roman"/>
          <w:sz w:val="24"/>
          <w:szCs w:val="24"/>
        </w:rPr>
        <w:t xml:space="preserve"> 1983, </w:t>
      </w:r>
      <w:proofErr w:type="spellStart"/>
      <w:r w:rsidRPr="00460D48">
        <w:rPr>
          <w:rFonts w:ascii="Times New Roman" w:eastAsia="Times New Roman" w:hAnsi="Times New Roman" w:cs="Times New Roman"/>
          <w:sz w:val="24"/>
          <w:szCs w:val="24"/>
        </w:rPr>
        <w:t>Halbout</w:t>
      </w:r>
      <w:proofErr w:type="spellEnd"/>
      <w:r w:rsidRPr="00460D48">
        <w:rPr>
          <w:rFonts w:ascii="Times New Roman" w:eastAsia="Times New Roman" w:hAnsi="Times New Roman" w:cs="Times New Roman"/>
          <w:sz w:val="24"/>
          <w:szCs w:val="24"/>
        </w:rPr>
        <w:t xml:space="preserve"> et al 1986, </w:t>
      </w:r>
      <w:proofErr w:type="spellStart"/>
      <w:r w:rsidRPr="00460D48">
        <w:rPr>
          <w:rFonts w:ascii="Times New Roman" w:eastAsia="Times New Roman" w:hAnsi="Times New Roman" w:cs="Times New Roman"/>
          <w:sz w:val="24"/>
          <w:szCs w:val="24"/>
        </w:rPr>
        <w:t>Kerridge</w:t>
      </w:r>
      <w:proofErr w:type="spellEnd"/>
      <w:r w:rsidRPr="00460D48">
        <w:rPr>
          <w:rFonts w:ascii="Times New Roman" w:eastAsia="Times New Roman" w:hAnsi="Times New Roman" w:cs="Times New Roman"/>
          <w:sz w:val="24"/>
          <w:szCs w:val="24"/>
        </w:rPr>
        <w:t xml:space="preserve"> et al 1987), there has been no study on the D/H ratios of individual compounds derived from the IOM </w:t>
      </w:r>
      <w:proofErr w:type="spellStart"/>
      <w:r w:rsidRPr="00460D48">
        <w:rPr>
          <w:rFonts w:ascii="Times New Roman" w:eastAsia="Times New Roman" w:hAnsi="Times New Roman" w:cs="Times New Roman"/>
          <w:sz w:val="24"/>
          <w:szCs w:val="24"/>
        </w:rPr>
        <w:t>pyrolysates</w:t>
      </w:r>
      <w:proofErr w:type="spellEnd"/>
      <w:r w:rsidRPr="00460D48">
        <w:rPr>
          <w:rFonts w:ascii="Times New Roman" w:eastAsia="Times New Roman" w:hAnsi="Times New Roman" w:cs="Times New Roman"/>
          <w:sz w:val="24"/>
          <w:szCs w:val="24"/>
        </w:rPr>
        <w:t xml:space="preserve">. Furthermore, the molecular compositions of </w:t>
      </w:r>
      <w:proofErr w:type="spellStart"/>
      <w:r w:rsidRPr="00460D48">
        <w:rPr>
          <w:rFonts w:ascii="Times New Roman" w:eastAsia="Times New Roman" w:hAnsi="Times New Roman" w:cs="Times New Roman"/>
          <w:sz w:val="24"/>
          <w:szCs w:val="24"/>
        </w:rPr>
        <w:t>pyrolysates</w:t>
      </w:r>
      <w:proofErr w:type="spellEnd"/>
      <w:r w:rsidRPr="00460D48">
        <w:rPr>
          <w:rFonts w:ascii="Times New Roman" w:eastAsia="Times New Roman" w:hAnsi="Times New Roman" w:cs="Times New Roman"/>
          <w:sz w:val="24"/>
          <w:szCs w:val="24"/>
        </w:rPr>
        <w:t xml:space="preserve"> have only been reported for Murchison and </w:t>
      </w:r>
      <w:proofErr w:type="spellStart"/>
      <w:r w:rsidRPr="00460D48">
        <w:rPr>
          <w:rFonts w:ascii="Times New Roman" w:eastAsia="Times New Roman" w:hAnsi="Times New Roman" w:cs="Times New Roman"/>
          <w:sz w:val="24"/>
          <w:szCs w:val="24"/>
        </w:rPr>
        <w:t>Orgueil</w:t>
      </w:r>
      <w:proofErr w:type="spellEnd"/>
      <w:r w:rsidRPr="00460D48">
        <w:rPr>
          <w:rFonts w:ascii="Times New Roman" w:eastAsia="Times New Roman" w:hAnsi="Times New Roman" w:cs="Times New Roman"/>
          <w:sz w:val="24"/>
          <w:szCs w:val="24"/>
        </w:rPr>
        <w:t xml:space="preserve"> meteorites (</w:t>
      </w:r>
      <w:proofErr w:type="spellStart"/>
      <w:r w:rsidRPr="00460D48">
        <w:rPr>
          <w:rFonts w:ascii="Times New Roman" w:eastAsia="Times New Roman" w:hAnsi="Times New Roman" w:cs="Times New Roman"/>
          <w:sz w:val="24"/>
          <w:szCs w:val="24"/>
        </w:rPr>
        <w:t>Sephton</w:t>
      </w:r>
      <w:proofErr w:type="spellEnd"/>
      <w:r w:rsidRPr="00460D48">
        <w:rPr>
          <w:rFonts w:ascii="Times New Roman" w:eastAsia="Times New Roman" w:hAnsi="Times New Roman" w:cs="Times New Roman"/>
          <w:sz w:val="24"/>
          <w:szCs w:val="24"/>
        </w:rPr>
        <w:t xml:space="preserve"> et al 1998, </w:t>
      </w:r>
      <w:proofErr w:type="spellStart"/>
      <w:r w:rsidRPr="00460D48">
        <w:rPr>
          <w:rFonts w:ascii="Times New Roman" w:eastAsia="Times New Roman" w:hAnsi="Times New Roman" w:cs="Times New Roman"/>
          <w:sz w:val="24"/>
          <w:szCs w:val="24"/>
        </w:rPr>
        <w:t>Sephton</w:t>
      </w:r>
      <w:proofErr w:type="spellEnd"/>
      <w:r w:rsidRPr="00460D48">
        <w:rPr>
          <w:rFonts w:ascii="Times New Roman" w:eastAsia="Times New Roman" w:hAnsi="Times New Roman" w:cs="Times New Roman"/>
          <w:sz w:val="24"/>
          <w:szCs w:val="24"/>
        </w:rPr>
        <w:t xml:space="preserve"> et al 2000 and references therein), but not for Tagish Lake, Elephant Moraine (EET) 92042, Allan Hills (ALH) 83100, and ALH 85013 meteorites that we intend to characterize in this study.</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In this paper, we apply both PY-GC-MS and PY-GC-TC-IRMS to a series of IOM samples from different carbonaceous chondrite groups (Table 1). We use flash pyrolysis of samples, rather than hydro- or hydrous pyrolysis, because addition of hydrogen and water to the IOM samples eliminates the possibility of isotopic analysis for the IOM hydrogen. Our goal is to combine the molecular and hydrogen isotopic characteristics of the </w:t>
      </w:r>
      <w:proofErr w:type="spellStart"/>
      <w:r w:rsidRPr="00460D48">
        <w:rPr>
          <w:rFonts w:ascii="Times New Roman" w:eastAsia="Times New Roman" w:hAnsi="Times New Roman" w:cs="Times New Roman"/>
          <w:sz w:val="24"/>
          <w:szCs w:val="24"/>
        </w:rPr>
        <w:t>pyrolysates</w:t>
      </w:r>
      <w:proofErr w:type="spellEnd"/>
      <w:r w:rsidRPr="00460D48">
        <w:rPr>
          <w:rFonts w:ascii="Times New Roman" w:eastAsia="Times New Roman" w:hAnsi="Times New Roman" w:cs="Times New Roman"/>
          <w:sz w:val="24"/>
          <w:szCs w:val="24"/>
        </w:rPr>
        <w:t xml:space="preserve"> to identify the similarities and differences in these samples and to understand how </w:t>
      </w:r>
      <w:proofErr w:type="spellStart"/>
      <w:r w:rsidRPr="00460D48">
        <w:rPr>
          <w:rFonts w:ascii="Times New Roman" w:eastAsia="Times New Roman" w:hAnsi="Times New Roman" w:cs="Times New Roman"/>
          <w:sz w:val="24"/>
          <w:szCs w:val="24"/>
        </w:rPr>
        <w:t>postsynthesis</w:t>
      </w:r>
      <w:proofErr w:type="spellEnd"/>
      <w:r w:rsidRPr="00460D48">
        <w:rPr>
          <w:rFonts w:ascii="Times New Roman" w:eastAsia="Times New Roman" w:hAnsi="Times New Roman" w:cs="Times New Roman"/>
          <w:sz w:val="24"/>
          <w:szCs w:val="24"/>
        </w:rPr>
        <w:t xml:space="preserve"> processes (e.g., aqueous and/or thermal alteration) may have affected the organic matter compositions. Because IOM is the dominant fraction of the organic matter in carbonaceous meteorites, our data could yield new insights into the origins and formation pathways for a large portion of meteorite organics.</w:t>
      </w:r>
    </w:p>
    <w:p w:rsidR="00460D48" w:rsidRPr="00460D48" w:rsidRDefault="00460D48" w:rsidP="00460D48">
      <w:pPr>
        <w:spacing w:before="100" w:beforeAutospacing="1" w:after="100" w:afterAutospacing="1" w:line="240" w:lineRule="auto"/>
        <w:outlineLvl w:val="1"/>
        <w:rPr>
          <w:rFonts w:ascii="Times New Roman" w:eastAsia="Times New Roman" w:hAnsi="Times New Roman" w:cs="Times New Roman"/>
          <w:b/>
          <w:bCs/>
          <w:sz w:val="36"/>
          <w:szCs w:val="36"/>
        </w:rPr>
      </w:pPr>
      <w:r w:rsidRPr="00460D48">
        <w:rPr>
          <w:rFonts w:ascii="Times New Roman" w:eastAsia="Times New Roman" w:hAnsi="Times New Roman" w:cs="Times New Roman"/>
          <w:b/>
          <w:bCs/>
          <w:sz w:val="36"/>
          <w:szCs w:val="36"/>
        </w:rPr>
        <w:lastRenderedPageBreak/>
        <w:t>Section snippets</w:t>
      </w:r>
    </w:p>
    <w:p w:rsidR="00460D48" w:rsidRPr="00460D48" w:rsidRDefault="00460D48" w:rsidP="00460D48">
      <w:pPr>
        <w:spacing w:before="100" w:beforeAutospacing="1" w:after="100" w:afterAutospacing="1" w:line="240" w:lineRule="auto"/>
        <w:outlineLvl w:val="1"/>
        <w:rPr>
          <w:rFonts w:ascii="Times New Roman" w:eastAsia="Times New Roman" w:hAnsi="Times New Roman" w:cs="Times New Roman"/>
          <w:b/>
          <w:bCs/>
          <w:sz w:val="36"/>
          <w:szCs w:val="36"/>
        </w:rPr>
      </w:pPr>
      <w:r w:rsidRPr="00460D48">
        <w:rPr>
          <w:rFonts w:ascii="Times New Roman" w:eastAsia="Times New Roman" w:hAnsi="Times New Roman" w:cs="Times New Roman"/>
          <w:b/>
          <w:bCs/>
          <w:sz w:val="36"/>
          <w:szCs w:val="36"/>
        </w:rPr>
        <w:t>Sample Preparations</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Carbonaceous chondrites are subdivided into classes CI, CM, CV, CR, CO, CK, CB, and CH, on the basis of their similarity to the following prototypical meteorites, </w:t>
      </w:r>
      <w:proofErr w:type="spellStart"/>
      <w:r w:rsidRPr="00460D48">
        <w:rPr>
          <w:rFonts w:ascii="Times New Roman" w:eastAsia="Times New Roman" w:hAnsi="Times New Roman" w:cs="Times New Roman"/>
          <w:sz w:val="24"/>
          <w:szCs w:val="24"/>
        </w:rPr>
        <w:t>Ivuna</w:t>
      </w:r>
      <w:proofErr w:type="spellEnd"/>
      <w:r w:rsidRPr="00460D48">
        <w:rPr>
          <w:rFonts w:ascii="Times New Roman" w:eastAsia="Times New Roman" w:hAnsi="Times New Roman" w:cs="Times New Roman"/>
          <w:sz w:val="24"/>
          <w:szCs w:val="24"/>
        </w:rPr>
        <w:t xml:space="preserve"> (I), </w:t>
      </w:r>
      <w:proofErr w:type="spellStart"/>
      <w:r w:rsidRPr="00460D48">
        <w:rPr>
          <w:rFonts w:ascii="Times New Roman" w:eastAsia="Times New Roman" w:hAnsi="Times New Roman" w:cs="Times New Roman"/>
          <w:sz w:val="24"/>
          <w:szCs w:val="24"/>
        </w:rPr>
        <w:t>Mighei</w:t>
      </w:r>
      <w:proofErr w:type="spellEnd"/>
      <w:r w:rsidRPr="00460D48">
        <w:rPr>
          <w:rFonts w:ascii="Times New Roman" w:eastAsia="Times New Roman" w:hAnsi="Times New Roman" w:cs="Times New Roman"/>
          <w:sz w:val="24"/>
          <w:szCs w:val="24"/>
        </w:rPr>
        <w:t xml:space="preserve"> (M), </w:t>
      </w:r>
      <w:proofErr w:type="spellStart"/>
      <w:r w:rsidRPr="00460D48">
        <w:rPr>
          <w:rFonts w:ascii="Times New Roman" w:eastAsia="Times New Roman" w:hAnsi="Times New Roman" w:cs="Times New Roman"/>
          <w:sz w:val="24"/>
          <w:szCs w:val="24"/>
        </w:rPr>
        <w:t>Vigarano</w:t>
      </w:r>
      <w:proofErr w:type="spellEnd"/>
      <w:r w:rsidRPr="00460D48">
        <w:rPr>
          <w:rFonts w:ascii="Times New Roman" w:eastAsia="Times New Roman" w:hAnsi="Times New Roman" w:cs="Times New Roman"/>
          <w:sz w:val="24"/>
          <w:szCs w:val="24"/>
        </w:rPr>
        <w:t xml:space="preserve"> (V), </w:t>
      </w:r>
      <w:proofErr w:type="spellStart"/>
      <w:r w:rsidRPr="00460D48">
        <w:rPr>
          <w:rFonts w:ascii="Times New Roman" w:eastAsia="Times New Roman" w:hAnsi="Times New Roman" w:cs="Times New Roman"/>
          <w:sz w:val="24"/>
          <w:szCs w:val="24"/>
        </w:rPr>
        <w:t>Renazzo</w:t>
      </w:r>
      <w:proofErr w:type="spellEnd"/>
      <w:r w:rsidRPr="00460D48">
        <w:rPr>
          <w:rFonts w:ascii="Times New Roman" w:eastAsia="Times New Roman" w:hAnsi="Times New Roman" w:cs="Times New Roman"/>
          <w:sz w:val="24"/>
          <w:szCs w:val="24"/>
        </w:rPr>
        <w:t xml:space="preserve"> (R), </w:t>
      </w:r>
      <w:proofErr w:type="spellStart"/>
      <w:r w:rsidRPr="00460D48">
        <w:rPr>
          <w:rFonts w:ascii="Times New Roman" w:eastAsia="Times New Roman" w:hAnsi="Times New Roman" w:cs="Times New Roman"/>
          <w:sz w:val="24"/>
          <w:szCs w:val="24"/>
        </w:rPr>
        <w:t>Ornans</w:t>
      </w:r>
      <w:proofErr w:type="spellEnd"/>
      <w:r w:rsidRPr="00460D48">
        <w:rPr>
          <w:rFonts w:ascii="Times New Roman" w:eastAsia="Times New Roman" w:hAnsi="Times New Roman" w:cs="Times New Roman"/>
          <w:sz w:val="24"/>
          <w:szCs w:val="24"/>
        </w:rPr>
        <w:t xml:space="preserve"> (O), </w:t>
      </w:r>
      <w:proofErr w:type="spellStart"/>
      <w:r w:rsidRPr="00460D48">
        <w:rPr>
          <w:rFonts w:ascii="Times New Roman" w:eastAsia="Times New Roman" w:hAnsi="Times New Roman" w:cs="Times New Roman"/>
          <w:sz w:val="24"/>
          <w:szCs w:val="24"/>
        </w:rPr>
        <w:t>Karoonda</w:t>
      </w:r>
      <w:proofErr w:type="spellEnd"/>
      <w:r w:rsidRPr="00460D48">
        <w:rPr>
          <w:rFonts w:ascii="Times New Roman" w:eastAsia="Times New Roman" w:hAnsi="Times New Roman" w:cs="Times New Roman"/>
          <w:sz w:val="24"/>
          <w:szCs w:val="24"/>
        </w:rPr>
        <w:t xml:space="preserve"> (K), </w:t>
      </w:r>
      <w:proofErr w:type="spellStart"/>
      <w:r w:rsidRPr="00460D48">
        <w:rPr>
          <w:rFonts w:ascii="Times New Roman" w:eastAsia="Times New Roman" w:hAnsi="Times New Roman" w:cs="Times New Roman"/>
          <w:sz w:val="24"/>
          <w:szCs w:val="24"/>
        </w:rPr>
        <w:t>Bencubbin</w:t>
      </w:r>
      <w:proofErr w:type="spellEnd"/>
      <w:r w:rsidRPr="00460D48">
        <w:rPr>
          <w:rFonts w:ascii="Times New Roman" w:eastAsia="Times New Roman" w:hAnsi="Times New Roman" w:cs="Times New Roman"/>
          <w:sz w:val="24"/>
          <w:szCs w:val="24"/>
        </w:rPr>
        <w:t xml:space="preserve"> (B), and high iron meteorites (H). In this work, we examined six IOM samples from four different carbonaceous chondrite groups, as listed in Table 1: EET 92042 (CR2), </w:t>
      </w:r>
      <w:proofErr w:type="spellStart"/>
      <w:r w:rsidRPr="00460D48">
        <w:rPr>
          <w:rFonts w:ascii="Times New Roman" w:eastAsia="Times New Roman" w:hAnsi="Times New Roman" w:cs="Times New Roman"/>
          <w:sz w:val="24"/>
          <w:szCs w:val="24"/>
        </w:rPr>
        <w:t>Orgueil</w:t>
      </w:r>
      <w:proofErr w:type="spellEnd"/>
      <w:r w:rsidRPr="00460D48">
        <w:rPr>
          <w:rFonts w:ascii="Times New Roman" w:eastAsia="Times New Roman" w:hAnsi="Times New Roman" w:cs="Times New Roman"/>
          <w:sz w:val="24"/>
          <w:szCs w:val="24"/>
        </w:rPr>
        <w:t xml:space="preserve"> (CI1), ALH 83100 (CM1/2), Murchison (CM2), ALH 85013 (CM2), and Tagish Lake </w:t>
      </w:r>
    </w:p>
    <w:p w:rsidR="00460D48" w:rsidRPr="00460D48" w:rsidRDefault="00460D48" w:rsidP="00460D48">
      <w:pPr>
        <w:spacing w:before="100" w:beforeAutospacing="1" w:after="100" w:afterAutospacing="1" w:line="240" w:lineRule="auto"/>
        <w:outlineLvl w:val="1"/>
        <w:rPr>
          <w:rFonts w:ascii="Times New Roman" w:eastAsia="Times New Roman" w:hAnsi="Times New Roman" w:cs="Times New Roman"/>
          <w:b/>
          <w:bCs/>
          <w:sz w:val="36"/>
          <w:szCs w:val="36"/>
        </w:rPr>
      </w:pPr>
      <w:r w:rsidRPr="00460D48">
        <w:rPr>
          <w:rFonts w:ascii="Times New Roman" w:eastAsia="Times New Roman" w:hAnsi="Times New Roman" w:cs="Times New Roman"/>
          <w:b/>
          <w:bCs/>
          <w:sz w:val="36"/>
          <w:szCs w:val="36"/>
        </w:rPr>
        <w:t>Molecular Distribution and Relative Abundance</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The PY-GC-MS chromatograms from the IOMs of EET 92042, </w:t>
      </w:r>
      <w:proofErr w:type="spellStart"/>
      <w:r w:rsidRPr="00460D48">
        <w:rPr>
          <w:rFonts w:ascii="Times New Roman" w:eastAsia="Times New Roman" w:hAnsi="Times New Roman" w:cs="Times New Roman"/>
          <w:sz w:val="24"/>
          <w:szCs w:val="24"/>
        </w:rPr>
        <w:t>Orgueil</w:t>
      </w:r>
      <w:proofErr w:type="spellEnd"/>
      <w:r w:rsidRPr="00460D48">
        <w:rPr>
          <w:rFonts w:ascii="Times New Roman" w:eastAsia="Times New Roman" w:hAnsi="Times New Roman" w:cs="Times New Roman"/>
          <w:sz w:val="24"/>
          <w:szCs w:val="24"/>
        </w:rPr>
        <w:t xml:space="preserve">, ALH 83100, Murchison, and ALH 85013 show many similarities in their molecular distributions (Fig. 1). Toluene is the dominant compound in all samples, although its peak is broad, and co-elutes with methyl-thiophene. The ratio of toluene relative to methyl-thiophene was &gt;5:1 in all samples, based on ratios of mass fragments. Other compounds in the </w:t>
      </w:r>
      <w:proofErr w:type="spellStart"/>
      <w:r w:rsidRPr="00460D48">
        <w:rPr>
          <w:rFonts w:ascii="Times New Roman" w:eastAsia="Times New Roman" w:hAnsi="Times New Roman" w:cs="Times New Roman"/>
          <w:sz w:val="24"/>
          <w:szCs w:val="24"/>
        </w:rPr>
        <w:t>pyrolysates</w:t>
      </w:r>
      <w:proofErr w:type="spellEnd"/>
      <w:r w:rsidRPr="00460D48">
        <w:rPr>
          <w:rFonts w:ascii="Times New Roman" w:eastAsia="Times New Roman" w:hAnsi="Times New Roman" w:cs="Times New Roman"/>
          <w:sz w:val="24"/>
          <w:szCs w:val="24"/>
        </w:rPr>
        <w:t xml:space="preserve"> include several series of alkyl-substituted aromatic hydrocarbons (C</w:t>
      </w:r>
      <w:r w:rsidRPr="00460D48">
        <w:rPr>
          <w:rFonts w:ascii="Times New Roman" w:eastAsia="Times New Roman" w:hAnsi="Times New Roman" w:cs="Times New Roman"/>
          <w:sz w:val="24"/>
          <w:szCs w:val="24"/>
          <w:vertAlign w:val="subscript"/>
        </w:rPr>
        <w:t>1</w:t>
      </w:r>
      <w:r w:rsidRPr="00460D48">
        <w:rPr>
          <w:rFonts w:ascii="Times New Roman" w:eastAsia="Times New Roman" w:hAnsi="Times New Roman" w:cs="Times New Roman"/>
          <w:sz w:val="24"/>
          <w:szCs w:val="24"/>
        </w:rPr>
        <w:t>- to C</w:t>
      </w:r>
    </w:p>
    <w:p w:rsidR="00460D48" w:rsidRPr="00460D48" w:rsidRDefault="00460D48" w:rsidP="00460D48">
      <w:pPr>
        <w:spacing w:before="100" w:beforeAutospacing="1" w:after="100" w:afterAutospacing="1" w:line="240" w:lineRule="auto"/>
        <w:outlineLvl w:val="1"/>
        <w:rPr>
          <w:rFonts w:ascii="Times New Roman" w:eastAsia="Times New Roman" w:hAnsi="Times New Roman" w:cs="Times New Roman"/>
          <w:b/>
          <w:bCs/>
          <w:sz w:val="36"/>
          <w:szCs w:val="36"/>
        </w:rPr>
      </w:pPr>
      <w:r w:rsidRPr="00460D48">
        <w:rPr>
          <w:rFonts w:ascii="Times New Roman" w:eastAsia="Times New Roman" w:hAnsi="Times New Roman" w:cs="Times New Roman"/>
          <w:b/>
          <w:bCs/>
          <w:sz w:val="36"/>
          <w:szCs w:val="36"/>
        </w:rPr>
        <w:t>Conclusions</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PY-GC-MS profiles in different classes (CR2, CI1 and CM2) of carbonaceous chondrites are strikingly similar. Because the IOM represents the large portion of the organic matter in carbonaceous chondrites, our results indicate the IOM in these samples may have had similar origins, and subsequent alterations do not appear to have significantly affected their molecular distributions. Tagish Lake (C2) meteorite, however, appears to contain unique IOM. The relatively high abundance of </w:t>
      </w:r>
      <w:proofErr w:type="spellStart"/>
      <w:r w:rsidRPr="00460D48">
        <w:rPr>
          <w:rFonts w:ascii="Times New Roman" w:eastAsia="Times New Roman" w:hAnsi="Times New Roman" w:cs="Times New Roman"/>
          <w:sz w:val="24"/>
          <w:szCs w:val="24"/>
        </w:rPr>
        <w:t>aliphatics</w:t>
      </w:r>
      <w:proofErr w:type="spellEnd"/>
      <w:r w:rsidRPr="00460D48">
        <w:rPr>
          <w:rFonts w:ascii="Times New Roman" w:eastAsia="Times New Roman" w:hAnsi="Times New Roman" w:cs="Times New Roman"/>
          <w:sz w:val="24"/>
          <w:szCs w:val="24"/>
        </w:rPr>
        <w:t xml:space="preserve"> and</w:t>
      </w:r>
    </w:p>
    <w:p w:rsidR="00460D48" w:rsidRPr="00460D48" w:rsidRDefault="00460D48" w:rsidP="00460D48">
      <w:pPr>
        <w:spacing w:before="100" w:beforeAutospacing="1" w:after="100" w:afterAutospacing="1" w:line="240" w:lineRule="auto"/>
        <w:outlineLvl w:val="1"/>
        <w:rPr>
          <w:rFonts w:ascii="Times New Roman" w:eastAsia="Times New Roman" w:hAnsi="Times New Roman" w:cs="Times New Roman"/>
          <w:b/>
          <w:bCs/>
          <w:sz w:val="36"/>
          <w:szCs w:val="36"/>
        </w:rPr>
      </w:pPr>
      <w:r w:rsidRPr="00460D48">
        <w:rPr>
          <w:rFonts w:ascii="Times New Roman" w:eastAsia="Times New Roman" w:hAnsi="Times New Roman" w:cs="Times New Roman"/>
          <w:b/>
          <w:bCs/>
          <w:sz w:val="36"/>
          <w:szCs w:val="36"/>
        </w:rPr>
        <w:t>Acknowledgments</w:t>
      </w:r>
    </w:p>
    <w:p w:rsidR="00460D48" w:rsidRPr="00460D48" w:rsidRDefault="00460D48" w:rsidP="00460D48">
      <w:pPr>
        <w:spacing w:before="100" w:beforeAutospacing="1" w:after="100" w:afterAutospacing="1" w:line="240" w:lineRule="auto"/>
        <w:rPr>
          <w:rFonts w:ascii="Times New Roman" w:eastAsia="Times New Roman" w:hAnsi="Times New Roman" w:cs="Times New Roman"/>
          <w:sz w:val="24"/>
          <w:szCs w:val="24"/>
        </w:rPr>
      </w:pPr>
      <w:r w:rsidRPr="00460D48">
        <w:rPr>
          <w:rFonts w:ascii="Times New Roman" w:eastAsia="Times New Roman" w:hAnsi="Times New Roman" w:cs="Times New Roman"/>
          <w:sz w:val="24"/>
          <w:szCs w:val="24"/>
        </w:rPr>
        <w:t xml:space="preserve">We would like to thank Dr. Sandra </w:t>
      </w:r>
      <w:proofErr w:type="spellStart"/>
      <w:r w:rsidRPr="00460D48">
        <w:rPr>
          <w:rFonts w:ascii="Times New Roman" w:eastAsia="Times New Roman" w:hAnsi="Times New Roman" w:cs="Times New Roman"/>
          <w:sz w:val="24"/>
          <w:szCs w:val="24"/>
        </w:rPr>
        <w:t>Pizzarello</w:t>
      </w:r>
      <w:proofErr w:type="spellEnd"/>
      <w:r w:rsidRPr="00460D48">
        <w:rPr>
          <w:rFonts w:ascii="Times New Roman" w:eastAsia="Times New Roman" w:hAnsi="Times New Roman" w:cs="Times New Roman"/>
          <w:sz w:val="24"/>
          <w:szCs w:val="24"/>
        </w:rPr>
        <w:t>, Dr. Alex L. Sessions, and two anonymous reviewers for helpful comments and suggestions. This study was supported by NASA Exobiology grants NAG5-10665 and NNG04GJ34G to Y. Huang.</w:t>
      </w:r>
    </w:p>
    <w:p w:rsidR="00AA7361" w:rsidRDefault="00AA7361"/>
    <w:sectPr w:rsidR="00AA736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D48"/>
    <w:rsid w:val="00460D48"/>
    <w:rsid w:val="00AA73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E6F3"/>
  <w15:chartTrackingRefBased/>
  <w15:docId w15:val="{1BC46EEF-1540-4BCC-8D3C-FDCC12669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6775403">
      <w:bodyDiv w:val="1"/>
      <w:marLeft w:val="0"/>
      <w:marRight w:val="0"/>
      <w:marTop w:val="0"/>
      <w:marBottom w:val="0"/>
      <w:divBdr>
        <w:top w:val="none" w:sz="0" w:space="0" w:color="auto"/>
        <w:left w:val="none" w:sz="0" w:space="0" w:color="auto"/>
        <w:bottom w:val="none" w:sz="0" w:space="0" w:color="auto"/>
        <w:right w:val="none" w:sz="0" w:space="0" w:color="auto"/>
      </w:divBdr>
      <w:divsChild>
        <w:div w:id="356199385">
          <w:marLeft w:val="0"/>
          <w:marRight w:val="0"/>
          <w:marTop w:val="0"/>
          <w:marBottom w:val="0"/>
          <w:divBdr>
            <w:top w:val="none" w:sz="0" w:space="0" w:color="auto"/>
            <w:left w:val="none" w:sz="0" w:space="0" w:color="auto"/>
            <w:bottom w:val="none" w:sz="0" w:space="0" w:color="auto"/>
            <w:right w:val="none" w:sz="0" w:space="0" w:color="auto"/>
          </w:divBdr>
          <w:divsChild>
            <w:div w:id="1325282028">
              <w:marLeft w:val="0"/>
              <w:marRight w:val="0"/>
              <w:marTop w:val="0"/>
              <w:marBottom w:val="0"/>
              <w:divBdr>
                <w:top w:val="none" w:sz="0" w:space="0" w:color="auto"/>
                <w:left w:val="none" w:sz="0" w:space="0" w:color="auto"/>
                <w:bottom w:val="none" w:sz="0" w:space="0" w:color="auto"/>
                <w:right w:val="none" w:sz="0" w:space="0" w:color="auto"/>
              </w:divBdr>
              <w:divsChild>
                <w:div w:id="287055569">
                  <w:marLeft w:val="0"/>
                  <w:marRight w:val="0"/>
                  <w:marTop w:val="0"/>
                  <w:marBottom w:val="0"/>
                  <w:divBdr>
                    <w:top w:val="none" w:sz="0" w:space="0" w:color="auto"/>
                    <w:left w:val="none" w:sz="0" w:space="0" w:color="auto"/>
                    <w:bottom w:val="none" w:sz="0" w:space="0" w:color="auto"/>
                    <w:right w:val="none" w:sz="0" w:space="0" w:color="auto"/>
                  </w:divBdr>
                  <w:divsChild>
                    <w:div w:id="1960456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297316">
          <w:marLeft w:val="0"/>
          <w:marRight w:val="0"/>
          <w:marTop w:val="0"/>
          <w:marBottom w:val="0"/>
          <w:divBdr>
            <w:top w:val="none" w:sz="0" w:space="0" w:color="auto"/>
            <w:left w:val="none" w:sz="0" w:space="0" w:color="auto"/>
            <w:bottom w:val="none" w:sz="0" w:space="0" w:color="auto"/>
            <w:right w:val="none" w:sz="0" w:space="0" w:color="auto"/>
          </w:divBdr>
          <w:divsChild>
            <w:div w:id="875040271">
              <w:marLeft w:val="0"/>
              <w:marRight w:val="0"/>
              <w:marTop w:val="0"/>
              <w:marBottom w:val="0"/>
              <w:divBdr>
                <w:top w:val="none" w:sz="0" w:space="0" w:color="auto"/>
                <w:left w:val="none" w:sz="0" w:space="0" w:color="auto"/>
                <w:bottom w:val="none" w:sz="0" w:space="0" w:color="auto"/>
                <w:right w:val="none" w:sz="0" w:space="0" w:color="auto"/>
              </w:divBdr>
              <w:divsChild>
                <w:div w:id="1189755449">
                  <w:marLeft w:val="0"/>
                  <w:marRight w:val="0"/>
                  <w:marTop w:val="0"/>
                  <w:marBottom w:val="0"/>
                  <w:divBdr>
                    <w:top w:val="none" w:sz="0" w:space="0" w:color="auto"/>
                    <w:left w:val="none" w:sz="0" w:space="0" w:color="auto"/>
                    <w:bottom w:val="none" w:sz="0" w:space="0" w:color="auto"/>
                    <w:right w:val="none" w:sz="0" w:space="0" w:color="auto"/>
                  </w:divBdr>
                  <w:divsChild>
                    <w:div w:id="119685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037437">
          <w:marLeft w:val="0"/>
          <w:marRight w:val="0"/>
          <w:marTop w:val="0"/>
          <w:marBottom w:val="0"/>
          <w:divBdr>
            <w:top w:val="none" w:sz="0" w:space="0" w:color="auto"/>
            <w:left w:val="none" w:sz="0" w:space="0" w:color="auto"/>
            <w:bottom w:val="none" w:sz="0" w:space="0" w:color="auto"/>
            <w:right w:val="none" w:sz="0" w:space="0" w:color="auto"/>
          </w:divBdr>
          <w:divsChild>
            <w:div w:id="1717660754">
              <w:marLeft w:val="0"/>
              <w:marRight w:val="0"/>
              <w:marTop w:val="0"/>
              <w:marBottom w:val="0"/>
              <w:divBdr>
                <w:top w:val="none" w:sz="0" w:space="0" w:color="auto"/>
                <w:left w:val="none" w:sz="0" w:space="0" w:color="auto"/>
                <w:bottom w:val="none" w:sz="0" w:space="0" w:color="auto"/>
                <w:right w:val="none" w:sz="0" w:space="0" w:color="auto"/>
              </w:divBdr>
            </w:div>
          </w:divsChild>
        </w:div>
        <w:div w:id="1823620160">
          <w:marLeft w:val="0"/>
          <w:marRight w:val="0"/>
          <w:marTop w:val="0"/>
          <w:marBottom w:val="0"/>
          <w:divBdr>
            <w:top w:val="none" w:sz="0" w:space="0" w:color="auto"/>
            <w:left w:val="none" w:sz="0" w:space="0" w:color="auto"/>
            <w:bottom w:val="none" w:sz="0" w:space="0" w:color="auto"/>
            <w:right w:val="none" w:sz="0" w:space="0" w:color="auto"/>
          </w:divBdr>
          <w:divsChild>
            <w:div w:id="103897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aromatic-hydrocarb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glacial-drift" TargetMode="External"/><Relationship Id="rId5" Type="http://schemas.openxmlformats.org/officeDocument/2006/relationships/hyperlink" Target="https://www.sciencedirect.com/topics/earth-and-planetary-sciences/carbonaceous-chondrite" TargetMode="External"/><Relationship Id="rId4" Type="http://schemas.openxmlformats.org/officeDocument/2006/relationships/hyperlink" Target="https://doi.org/10.1016/j.gca.2005.03.008"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1494</Words>
  <Characters>8519</Characters>
  <Application>Microsoft Office Word</Application>
  <DocSecurity>0</DocSecurity>
  <Lines>70</Lines>
  <Paragraphs>19</Paragraphs>
  <ScaleCrop>false</ScaleCrop>
  <Company/>
  <LinksUpToDate>false</LinksUpToDate>
  <CharactersWithSpaces>9994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2023-11-18T07:33:00Z</dcterms:created>
  <dcterms:modified xsi:type="dcterms:W3CDTF">2023-11-18T07:33:00Z</dcterms:modified>
</cp:coreProperties>
</file>