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215AC" w:rsidRPr="006215AC" w:rsidRDefault="006215AC" w:rsidP="006215AC">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6215AC">
        <w:rPr>
          <w:rFonts w:ascii="Times New Roman" w:eastAsia="Times New Roman" w:hAnsi="Times New Roman" w:cs="Times New Roman"/>
          <w:b/>
          <w:bCs/>
          <w:kern w:val="36"/>
          <w:sz w:val="48"/>
          <w:szCs w:val="48"/>
          <w:lang w:val="en-US" w:eastAsia="ru-RU"/>
        </w:rPr>
        <w:t>A reactive diffusion model describing transformation of bedrock to saprolite</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M</w:t>
      </w:r>
      <w:bookmarkStart w:id="0" w:name="_GoBack"/>
      <w:bookmarkEnd w:id="0"/>
      <w:r w:rsidRPr="006215AC">
        <w:rPr>
          <w:rFonts w:ascii="Times New Roman" w:eastAsia="Times New Roman" w:hAnsi="Times New Roman" w:cs="Times New Roman"/>
          <w:sz w:val="24"/>
          <w:szCs w:val="24"/>
          <w:lang w:val="en-US" w:eastAsia="ru-RU"/>
        </w:rPr>
        <w:t xml:space="preserve">.I. </w:t>
      </w:r>
      <w:proofErr w:type="spellStart"/>
      <w:r w:rsidRPr="006215AC">
        <w:rPr>
          <w:rFonts w:ascii="Times New Roman" w:eastAsia="Times New Roman" w:hAnsi="Times New Roman" w:cs="Times New Roman"/>
          <w:sz w:val="24"/>
          <w:szCs w:val="24"/>
          <w:lang w:val="en-US" w:eastAsia="ru-RU"/>
        </w:rPr>
        <w:t>Lebedeva</w:t>
      </w:r>
      <w:proofErr w:type="spellEnd"/>
      <w:r w:rsidRPr="006215AC">
        <w:rPr>
          <w:rFonts w:ascii="Times New Roman" w:eastAsia="Times New Roman" w:hAnsi="Times New Roman" w:cs="Times New Roman"/>
          <w:sz w:val="24"/>
          <w:szCs w:val="24"/>
          <w:lang w:val="en-US" w:eastAsia="ru-RU"/>
        </w:rPr>
        <w:t xml:space="preserve">, R.C. Fletcher, V.N. </w:t>
      </w:r>
      <w:proofErr w:type="spellStart"/>
      <w:r w:rsidRPr="006215AC">
        <w:rPr>
          <w:rFonts w:ascii="Times New Roman" w:eastAsia="Times New Roman" w:hAnsi="Times New Roman" w:cs="Times New Roman"/>
          <w:sz w:val="24"/>
          <w:szCs w:val="24"/>
          <w:lang w:val="en-US" w:eastAsia="ru-RU"/>
        </w:rPr>
        <w:t>Balashov</w:t>
      </w:r>
      <w:proofErr w:type="spellEnd"/>
      <w:r w:rsidRPr="006215AC">
        <w:rPr>
          <w:rFonts w:ascii="Times New Roman" w:eastAsia="Times New Roman" w:hAnsi="Times New Roman" w:cs="Times New Roman"/>
          <w:sz w:val="24"/>
          <w:szCs w:val="24"/>
          <w:lang w:val="en-US" w:eastAsia="ru-RU"/>
        </w:rPr>
        <w:t xml:space="preserve">, </w:t>
      </w:r>
      <w:bookmarkStart w:id="1" w:name="baep-author-id12-profile"/>
      <w:r w:rsidRPr="006215AC">
        <w:rPr>
          <w:rFonts w:ascii="Times New Roman" w:eastAsia="Times New Roman" w:hAnsi="Times New Roman" w:cs="Times New Roman"/>
          <w:sz w:val="24"/>
          <w:szCs w:val="24"/>
          <w:lang w:eastAsia="ru-RU"/>
        </w:rPr>
        <w:fldChar w:fldCharType="begin"/>
      </w:r>
      <w:r w:rsidRPr="006215AC">
        <w:rPr>
          <w:rFonts w:ascii="Times New Roman" w:eastAsia="Times New Roman" w:hAnsi="Times New Roman" w:cs="Times New Roman"/>
          <w:sz w:val="24"/>
          <w:szCs w:val="24"/>
          <w:lang w:val="en-US" w:eastAsia="ru-RU"/>
        </w:rPr>
        <w:instrText xml:space="preserve"> HYPERLINK "https://www.sciencedirect.com/author/7004988230/susan-l-brantley" </w:instrText>
      </w:r>
      <w:r w:rsidRPr="006215AC">
        <w:rPr>
          <w:rFonts w:ascii="Times New Roman" w:eastAsia="Times New Roman" w:hAnsi="Times New Roman" w:cs="Times New Roman"/>
          <w:sz w:val="24"/>
          <w:szCs w:val="24"/>
          <w:lang w:eastAsia="ru-RU"/>
        </w:rPr>
        <w:fldChar w:fldCharType="separate"/>
      </w:r>
      <w:r w:rsidRPr="006215AC">
        <w:rPr>
          <w:rFonts w:ascii="Times New Roman" w:eastAsia="Times New Roman" w:hAnsi="Times New Roman" w:cs="Times New Roman"/>
          <w:color w:val="0000FF"/>
          <w:sz w:val="24"/>
          <w:szCs w:val="24"/>
          <w:u w:val="single"/>
          <w:lang w:val="en-US" w:eastAsia="ru-RU"/>
        </w:rPr>
        <w:t xml:space="preserve">S.L. </w:t>
      </w:r>
      <w:r w:rsidRPr="006215AC">
        <w:rPr>
          <w:rFonts w:ascii="Times New Roman" w:eastAsia="Times New Roman" w:hAnsi="Times New Roman" w:cs="Times New Roman"/>
          <w:sz w:val="24"/>
          <w:szCs w:val="24"/>
          <w:lang w:val="en-US" w:eastAsia="ru-RU"/>
        </w:rPr>
        <w:t>Brantley</w:t>
      </w:r>
      <w:r w:rsidRPr="006215AC">
        <w:rPr>
          <w:rFonts w:ascii="Times New Roman" w:eastAsia="Times New Roman" w:hAnsi="Times New Roman" w:cs="Times New Roman"/>
          <w:sz w:val="24"/>
          <w:szCs w:val="24"/>
          <w:lang w:eastAsia="ru-RU"/>
        </w:rPr>
        <w:fldChar w:fldCharType="end"/>
      </w:r>
      <w:bookmarkEnd w:id="1"/>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Abstract</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Despite large ranges in rates of erosion and </w:t>
      </w:r>
      <w:hyperlink r:id="rId5" w:history="1">
        <w:r w:rsidRPr="006215AC">
          <w:rPr>
            <w:rFonts w:ascii="Times New Roman" w:eastAsia="Times New Roman" w:hAnsi="Times New Roman" w:cs="Times New Roman"/>
            <w:color w:val="0000FF"/>
            <w:sz w:val="24"/>
            <w:szCs w:val="24"/>
            <w:u w:val="single"/>
            <w:lang w:val="en-US" w:eastAsia="ru-RU"/>
          </w:rPr>
          <w:t>regolith</w:t>
        </w:r>
      </w:hyperlink>
      <w:r w:rsidRPr="006215AC">
        <w:rPr>
          <w:rFonts w:ascii="Times New Roman" w:eastAsia="Times New Roman" w:hAnsi="Times New Roman" w:cs="Times New Roman"/>
          <w:sz w:val="24"/>
          <w:szCs w:val="24"/>
          <w:lang w:val="en-US" w:eastAsia="ru-RU"/>
        </w:rPr>
        <w:t xml:space="preserve"> production globally, much continental surface is regolith-mantled. This implies either that </w:t>
      </w:r>
      <w:hyperlink r:id="rId6" w:history="1">
        <w:r w:rsidRPr="006215AC">
          <w:rPr>
            <w:rFonts w:ascii="Times New Roman" w:eastAsia="Times New Roman" w:hAnsi="Times New Roman" w:cs="Times New Roman"/>
            <w:color w:val="0000FF"/>
            <w:sz w:val="24"/>
            <w:szCs w:val="24"/>
            <w:u w:val="single"/>
            <w:lang w:val="en-US" w:eastAsia="ru-RU"/>
          </w:rPr>
          <w:t>erosion rate</w:t>
        </w:r>
      </w:hyperlink>
      <w:r w:rsidRPr="006215AC">
        <w:rPr>
          <w:rFonts w:ascii="Times New Roman" w:eastAsia="Times New Roman" w:hAnsi="Times New Roman" w:cs="Times New Roman"/>
          <w:sz w:val="24"/>
          <w:szCs w:val="24"/>
          <w:lang w:val="en-US" w:eastAsia="ru-RU"/>
        </w:rPr>
        <w:t xml:space="preserve"> is low relative to regolith formation over extensive regions, or that the rates of erosion and weathering advance (regolith formation) are in balance. Recent observations for many catchments that weathering-derived solute fluxes vary with the physical erosion rate of the catchment provide evidence that erosion and weathering </w:t>
      </w:r>
      <w:hyperlink r:id="rId7" w:history="1">
        <w:r w:rsidRPr="006215AC">
          <w:rPr>
            <w:rFonts w:ascii="Times New Roman" w:eastAsia="Times New Roman" w:hAnsi="Times New Roman" w:cs="Times New Roman"/>
            <w:color w:val="0000FF"/>
            <w:sz w:val="24"/>
            <w:szCs w:val="24"/>
            <w:u w:val="single"/>
            <w:lang w:val="en-US" w:eastAsia="ru-RU"/>
          </w:rPr>
          <w:t>advance rates</w:t>
        </w:r>
      </w:hyperlink>
      <w:r w:rsidRPr="006215AC">
        <w:rPr>
          <w:rFonts w:ascii="Times New Roman" w:eastAsia="Times New Roman" w:hAnsi="Times New Roman" w:cs="Times New Roman"/>
          <w:sz w:val="24"/>
          <w:szCs w:val="24"/>
          <w:lang w:val="en-US" w:eastAsia="ru-RU"/>
        </w:rPr>
        <w:t xml:space="preserve"> may be balanced or at least coupled. Few theoretical models have been advanced to explain such observations, however, because weathering models generally consist of either fully parameterized reactive transport models that do not attempt to model geomorphological evolution, or geomorphologically parameterized models of </w:t>
      </w:r>
      <w:hyperlink r:id="rId8" w:history="1">
        <w:r w:rsidRPr="006215AC">
          <w:rPr>
            <w:rFonts w:ascii="Times New Roman" w:eastAsia="Times New Roman" w:hAnsi="Times New Roman" w:cs="Times New Roman"/>
            <w:color w:val="0000FF"/>
            <w:sz w:val="24"/>
            <w:szCs w:val="24"/>
            <w:u w:val="single"/>
            <w:lang w:val="en-US" w:eastAsia="ru-RU"/>
          </w:rPr>
          <w:t>landscape evolution</w:t>
        </w:r>
      </w:hyperlink>
      <w:r w:rsidRPr="006215AC">
        <w:rPr>
          <w:rFonts w:ascii="Times New Roman" w:eastAsia="Times New Roman" w:hAnsi="Times New Roman" w:cs="Times New Roman"/>
          <w:sz w:val="24"/>
          <w:szCs w:val="24"/>
          <w:lang w:val="en-US" w:eastAsia="ru-RU"/>
        </w:rPr>
        <w:t xml:space="preserve"> that incorporate little </w:t>
      </w:r>
      <w:hyperlink r:id="rId9" w:history="1">
        <w:r w:rsidRPr="006215AC">
          <w:rPr>
            <w:rFonts w:ascii="Times New Roman" w:eastAsia="Times New Roman" w:hAnsi="Times New Roman" w:cs="Times New Roman"/>
            <w:color w:val="0000FF"/>
            <w:sz w:val="24"/>
            <w:szCs w:val="24"/>
            <w:u w:val="single"/>
            <w:lang w:val="en-US" w:eastAsia="ru-RU"/>
          </w:rPr>
          <w:t>geochemistry</w:t>
        </w:r>
      </w:hyperlink>
      <w:r w:rsidRPr="006215AC">
        <w:rPr>
          <w:rFonts w:ascii="Times New Roman" w:eastAsia="Times New Roman" w:hAnsi="Times New Roman" w:cs="Times New Roman"/>
          <w:sz w:val="24"/>
          <w:szCs w:val="24"/>
          <w:lang w:val="en-US" w:eastAsia="ru-RU"/>
        </w:rPr>
        <w:t xml:space="preserve">. Implementation of a full reactive transport code into a landscape evolution model is not currently tractable. We therefore present a reactive diffusion model that captures the essence of the chemical transformation of rock to </w:t>
      </w:r>
      <w:hyperlink r:id="rId10" w:history="1">
        <w:r w:rsidRPr="006215AC">
          <w:rPr>
            <w:rFonts w:ascii="Times New Roman" w:eastAsia="Times New Roman" w:hAnsi="Times New Roman" w:cs="Times New Roman"/>
            <w:color w:val="0000FF"/>
            <w:sz w:val="24"/>
            <w:szCs w:val="24"/>
            <w:u w:val="single"/>
            <w:lang w:val="en-US" w:eastAsia="ru-RU"/>
          </w:rPr>
          <w:t>saprolite</w:t>
        </w:r>
      </w:hyperlink>
      <w:r w:rsidRPr="006215AC">
        <w:rPr>
          <w:rFonts w:ascii="Times New Roman" w:eastAsia="Times New Roman" w:hAnsi="Times New Roman" w:cs="Times New Roman"/>
          <w:sz w:val="24"/>
          <w:szCs w:val="24"/>
          <w:lang w:val="en-US" w:eastAsia="ru-RU"/>
        </w:rPr>
        <w:t xml:space="preserve"> for eventual incorporation into such models. Our model granite (albite +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-bearing phase + quartz) transforms to saprolite (goethite +kaolinite + quartz). The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component transforms to </w:t>
      </w:r>
      <w:hyperlink r:id="rId11" w:history="1">
        <w:r w:rsidRPr="006215AC">
          <w:rPr>
            <w:rFonts w:ascii="Times New Roman" w:eastAsia="Times New Roman" w:hAnsi="Times New Roman" w:cs="Times New Roman"/>
            <w:color w:val="0000FF"/>
            <w:sz w:val="24"/>
            <w:szCs w:val="24"/>
            <w:u w:val="single"/>
            <w:lang w:val="en-US" w:eastAsia="ru-RU"/>
          </w:rPr>
          <w:t>goethite</w:t>
        </w:r>
      </w:hyperlink>
      <w:r w:rsidRPr="006215AC">
        <w:rPr>
          <w:rFonts w:ascii="Times New Roman" w:eastAsia="Times New Roman" w:hAnsi="Times New Roman" w:cs="Times New Roman"/>
          <w:sz w:val="24"/>
          <w:szCs w:val="24"/>
          <w:lang w:val="en-US" w:eastAsia="ru-RU"/>
        </w:rPr>
        <w:t xml:space="preserve"> deeper than albite transforms to </w:t>
      </w:r>
      <w:hyperlink r:id="rId12" w:history="1">
        <w:r w:rsidRPr="006215AC">
          <w:rPr>
            <w:rFonts w:ascii="Times New Roman" w:eastAsia="Times New Roman" w:hAnsi="Times New Roman" w:cs="Times New Roman"/>
            <w:color w:val="0000FF"/>
            <w:sz w:val="24"/>
            <w:szCs w:val="24"/>
            <w:u w:val="single"/>
            <w:lang w:val="en-US" w:eastAsia="ru-RU"/>
          </w:rPr>
          <w:t>kaolinite</w:t>
        </w:r>
      </w:hyperlink>
      <w:r w:rsidRPr="006215AC">
        <w:rPr>
          <w:rFonts w:ascii="Times New Roman" w:eastAsia="Times New Roman" w:hAnsi="Times New Roman" w:cs="Times New Roman"/>
          <w:sz w:val="24"/>
          <w:szCs w:val="24"/>
          <w:lang w:val="en-US" w:eastAsia="ru-RU"/>
        </w:rPr>
        <w:t xml:space="preserve">. Between these two reaction fronts, porosity decreases relative to initial porosity. Without erosion, the depth of the weathering fronts </w:t>
      </w:r>
      <w:proofErr w:type="gramStart"/>
      <w:r w:rsidRPr="006215AC">
        <w:rPr>
          <w:rFonts w:ascii="Times New Roman" w:eastAsia="Times New Roman" w:hAnsi="Times New Roman" w:cs="Times New Roman"/>
          <w:sz w:val="24"/>
          <w:szCs w:val="24"/>
          <w:lang w:val="en-US" w:eastAsia="ru-RU"/>
        </w:rPr>
        <w:t>vary</w:t>
      </w:r>
      <w:proofErr w:type="gramEnd"/>
      <w:r w:rsidRPr="006215AC">
        <w:rPr>
          <w:rFonts w:ascii="Times New Roman" w:eastAsia="Times New Roman" w:hAnsi="Times New Roman" w:cs="Times New Roman"/>
          <w:sz w:val="24"/>
          <w:szCs w:val="24"/>
          <w:lang w:val="en-US" w:eastAsia="ru-RU"/>
        </w:rPr>
        <w:t xml:space="preserve"> as </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and the weathering fluxes of aqueous Na or Si, which depend upon the porosity in the saprolite, decrease as </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These results are in good agreement with the assumption of local chemical equilibrium.</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Analysis of the local equilibrium case for a further simplified two-mineral granite model shows that with constant erosion rate, the weathering rock is comprised of an unaltered-porosity (unoxidized Fe) zone, a reduced-porosity (partly oxidized Fe) zone, and a constant porosity (fully oxidized Fe) zone. This model documents three regimes: kinetic (weathering advance rate depends on reaction rate), transition (weathering advance rate depends on reaction and erosion rates), and local equilibrium (weathering advance rate depends only on erosion rate). The first and last of these have been previously called the weathering- and transport-limited regimes respectively. The time needed to reach steady state in the kinetic regime (70–3300yr) is comparable to geological estimates for weathering-limited landscapes.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The analytical solutions document that diffusion-limited weathering advance rates in the presence of constant erosion can be consistent with constant weathering advance rates, thus providing a theoretical basis for coupling geochemical mineral reactions with erosion in landscape evolution models.</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Introduction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Rates of erosion have been observed to vary from &lt; 10</w:t>
      </w:r>
      <w:r w:rsidRPr="006215AC">
        <w:rPr>
          <w:rFonts w:ascii="Times New Roman" w:eastAsia="Times New Roman" w:hAnsi="Times New Roman" w:cs="Times New Roman"/>
          <w:sz w:val="24"/>
          <w:szCs w:val="24"/>
          <w:vertAlign w:val="superscript"/>
          <w:lang w:val="en-US" w:eastAsia="ru-RU"/>
        </w:rPr>
        <w:t>− 5</w:t>
      </w:r>
      <w:r w:rsidRPr="006215AC">
        <w:rPr>
          <w:rFonts w:ascii="Times New Roman" w:eastAsia="Times New Roman" w:hAnsi="Times New Roman" w:cs="Times New Roman"/>
          <w:sz w:val="24"/>
          <w:szCs w:val="24"/>
          <w:lang w:val="en-US" w:eastAsia="ru-RU"/>
        </w:rPr>
        <w:t xml:space="preserve">mm </w:t>
      </w:r>
      <w:proofErr w:type="spellStart"/>
      <w:r w:rsidRPr="006215AC">
        <w:rPr>
          <w:rFonts w:ascii="Times New Roman" w:eastAsia="Times New Roman" w:hAnsi="Times New Roman" w:cs="Times New Roman"/>
          <w:sz w:val="24"/>
          <w:szCs w:val="24"/>
          <w:lang w:val="en-US" w:eastAsia="ru-RU"/>
        </w:rPr>
        <w:t>yr</w:t>
      </w:r>
      <w:proofErr w:type="spellEnd"/>
      <w:r w:rsidRPr="006215AC">
        <w:rPr>
          <w:rFonts w:ascii="Times New Roman" w:eastAsia="Times New Roman" w:hAnsi="Times New Roman" w:cs="Times New Roman"/>
          <w:sz w:val="24"/>
          <w:szCs w:val="24"/>
          <w:vertAlign w:val="superscript"/>
          <w:lang w:val="en-US" w:eastAsia="ru-RU"/>
        </w:rPr>
        <w:t>− 1</w:t>
      </w:r>
      <w:r w:rsidRPr="006215AC">
        <w:rPr>
          <w:rFonts w:ascii="Times New Roman" w:eastAsia="Times New Roman" w:hAnsi="Times New Roman" w:cs="Times New Roman"/>
          <w:sz w:val="24"/>
          <w:szCs w:val="24"/>
          <w:lang w:val="en-US" w:eastAsia="ru-RU"/>
        </w:rPr>
        <w:t xml:space="preserve"> to cm </w:t>
      </w:r>
      <w:proofErr w:type="spellStart"/>
      <w:r w:rsidRPr="006215AC">
        <w:rPr>
          <w:rFonts w:ascii="Times New Roman" w:eastAsia="Times New Roman" w:hAnsi="Times New Roman" w:cs="Times New Roman"/>
          <w:sz w:val="24"/>
          <w:szCs w:val="24"/>
          <w:lang w:val="en-US" w:eastAsia="ru-RU"/>
        </w:rPr>
        <w:t>yr</w:t>
      </w:r>
      <w:proofErr w:type="spellEnd"/>
      <w:r w:rsidRPr="006215AC">
        <w:rPr>
          <w:rFonts w:ascii="Times New Roman" w:eastAsia="Times New Roman" w:hAnsi="Times New Roman" w:cs="Times New Roman"/>
          <w:sz w:val="24"/>
          <w:szCs w:val="24"/>
          <w:vertAlign w:val="superscript"/>
          <w:lang w:val="en-US" w:eastAsia="ru-RU"/>
        </w:rPr>
        <w:t>− 1</w:t>
      </w:r>
      <w:r w:rsidRPr="006215AC">
        <w:rPr>
          <w:rFonts w:ascii="Times New Roman" w:eastAsia="Times New Roman" w:hAnsi="Times New Roman" w:cs="Times New Roman"/>
          <w:sz w:val="24"/>
          <w:szCs w:val="24"/>
          <w:lang w:val="en-US" w:eastAsia="ru-RU"/>
        </w:rPr>
        <w:t xml:space="preserve"> (</w:t>
      </w:r>
      <w:proofErr w:type="spellStart"/>
      <w:r w:rsidRPr="006215AC">
        <w:rPr>
          <w:rFonts w:ascii="Times New Roman" w:eastAsia="Times New Roman" w:hAnsi="Times New Roman" w:cs="Times New Roman"/>
          <w:sz w:val="24"/>
          <w:szCs w:val="24"/>
          <w:lang w:val="en-US" w:eastAsia="ru-RU"/>
        </w:rPr>
        <w:t>Heimsath</w:t>
      </w:r>
      <w:proofErr w:type="spellEnd"/>
      <w:r w:rsidRPr="006215AC">
        <w:rPr>
          <w:rFonts w:ascii="Times New Roman" w:eastAsia="Times New Roman" w:hAnsi="Times New Roman" w:cs="Times New Roman"/>
          <w:sz w:val="24"/>
          <w:szCs w:val="24"/>
          <w:lang w:val="en-US" w:eastAsia="ru-RU"/>
        </w:rPr>
        <w:t xml:space="preserve"> et al., 2002, Schaller et al., 2002, Riebe et al., 2004, Von </w:t>
      </w:r>
      <w:proofErr w:type="spellStart"/>
      <w:r w:rsidRPr="006215AC">
        <w:rPr>
          <w:rFonts w:ascii="Times New Roman" w:eastAsia="Times New Roman" w:hAnsi="Times New Roman" w:cs="Times New Roman"/>
          <w:sz w:val="24"/>
          <w:szCs w:val="24"/>
          <w:lang w:val="en-US" w:eastAsia="ru-RU"/>
        </w:rPr>
        <w:t>Blanckenburg</w:t>
      </w:r>
      <w:proofErr w:type="spellEnd"/>
      <w:r w:rsidRPr="006215AC">
        <w:rPr>
          <w:rFonts w:ascii="Times New Roman" w:eastAsia="Times New Roman" w:hAnsi="Times New Roman" w:cs="Times New Roman"/>
          <w:sz w:val="24"/>
          <w:szCs w:val="24"/>
          <w:lang w:val="en-US" w:eastAsia="ru-RU"/>
        </w:rPr>
        <w:t xml:space="preserve">, 2005). In </w:t>
      </w:r>
      <w:proofErr w:type="spellStart"/>
      <w:r w:rsidRPr="006215AC">
        <w:rPr>
          <w:rFonts w:ascii="Times New Roman" w:eastAsia="Times New Roman" w:hAnsi="Times New Roman" w:cs="Times New Roman"/>
          <w:sz w:val="24"/>
          <w:szCs w:val="24"/>
          <w:lang w:val="en-US" w:eastAsia="ru-RU"/>
        </w:rPr>
        <w:t>nondepositional</w:t>
      </w:r>
      <w:proofErr w:type="spellEnd"/>
      <w:r w:rsidRPr="006215AC">
        <w:rPr>
          <w:rFonts w:ascii="Times New Roman" w:eastAsia="Times New Roman" w:hAnsi="Times New Roman" w:cs="Times New Roman"/>
          <w:sz w:val="24"/>
          <w:szCs w:val="24"/>
          <w:lang w:val="en-US" w:eastAsia="ru-RU"/>
        </w:rPr>
        <w:t xml:space="preserve"> regimes where the continental surface is regolith-mantled, the erosion rate must be ≤ rates of regolith production (weathering advance). If the rate of erosion equals the rate of regolith production (steady state), as assumed by many researchers (Dietrich et al., 1995, Anderson, 2002, Riebe et al., 2004, Green et al., 2006), then a mechanism must exist that couples these two </w:t>
      </w:r>
      <w:r w:rsidRPr="006215AC">
        <w:rPr>
          <w:rFonts w:ascii="Times New Roman" w:eastAsia="Times New Roman" w:hAnsi="Times New Roman" w:cs="Times New Roman"/>
          <w:sz w:val="24"/>
          <w:szCs w:val="24"/>
          <w:lang w:val="en-US" w:eastAsia="ru-RU"/>
        </w:rPr>
        <w:lastRenderedPageBreak/>
        <w:t>processes. For example, several authors (</w:t>
      </w:r>
      <w:proofErr w:type="spellStart"/>
      <w:r w:rsidRPr="006215AC">
        <w:rPr>
          <w:rFonts w:ascii="Times New Roman" w:eastAsia="Times New Roman" w:hAnsi="Times New Roman" w:cs="Times New Roman"/>
          <w:sz w:val="24"/>
          <w:szCs w:val="24"/>
          <w:lang w:val="en-US" w:eastAsia="ru-RU"/>
        </w:rPr>
        <w:t>Gaillardet</w:t>
      </w:r>
      <w:proofErr w:type="spellEnd"/>
      <w:r w:rsidRPr="006215AC">
        <w:rPr>
          <w:rFonts w:ascii="Times New Roman" w:eastAsia="Times New Roman" w:hAnsi="Times New Roman" w:cs="Times New Roman"/>
          <w:sz w:val="24"/>
          <w:szCs w:val="24"/>
          <w:lang w:val="en-US" w:eastAsia="ru-RU"/>
        </w:rPr>
        <w:t xml:space="preserve"> et al., 1999, Dupré et al., 2003, Kirchner et al., 2006) have shown that geochemical fluxes from weathering catchments vary with the erosion rate of the catchment suggesting that weathering is somehow coupled to physical erosion rates. Therefore, geochemical researchers note that denudation of landscapes is sometimes limited by the reaction rates of minerals (weathering-limited) and sometimes by the removal rate of regolith (transport-limited) (Stallard, 1992, Riebe et al., 2004). Furthermore, compilations of chemical and physical erosion rates in catchments (</w:t>
      </w:r>
      <w:proofErr w:type="spellStart"/>
      <w:r w:rsidRPr="006215AC">
        <w:rPr>
          <w:rFonts w:ascii="Times New Roman" w:eastAsia="Times New Roman" w:hAnsi="Times New Roman" w:cs="Times New Roman"/>
          <w:sz w:val="24"/>
          <w:szCs w:val="24"/>
          <w:lang w:val="en-US" w:eastAsia="ru-RU"/>
        </w:rPr>
        <w:t>Gaillardet</w:t>
      </w:r>
      <w:proofErr w:type="spellEnd"/>
      <w:r w:rsidRPr="006215AC">
        <w:rPr>
          <w:rFonts w:ascii="Times New Roman" w:eastAsia="Times New Roman" w:hAnsi="Times New Roman" w:cs="Times New Roman"/>
          <w:sz w:val="24"/>
          <w:szCs w:val="24"/>
          <w:lang w:val="en-US" w:eastAsia="ru-RU"/>
        </w:rPr>
        <w:t xml:space="preserve"> et al., 1999, Riebe et al., 2004, West et al., 2005) document that at lower erosion rates, mineral supply limits weathering. At higher erosion rates, temperature-dependent mineral reaction kinetics limit weathering.</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Several geochemical weathering models have been published that elegantly describe the chemical transformation of parent minerals to secondary minerals. For example, </w:t>
      </w:r>
      <w:proofErr w:type="spellStart"/>
      <w:r w:rsidRPr="006215AC">
        <w:rPr>
          <w:rFonts w:ascii="Times New Roman" w:eastAsia="Times New Roman" w:hAnsi="Times New Roman" w:cs="Times New Roman"/>
          <w:sz w:val="24"/>
          <w:szCs w:val="24"/>
          <w:lang w:val="en-US" w:eastAsia="ru-RU"/>
        </w:rPr>
        <w:t>Lichtner</w:t>
      </w:r>
      <w:proofErr w:type="spellEnd"/>
      <w:r w:rsidRPr="006215AC">
        <w:rPr>
          <w:rFonts w:ascii="Times New Roman" w:eastAsia="Times New Roman" w:hAnsi="Times New Roman" w:cs="Times New Roman"/>
          <w:sz w:val="24"/>
          <w:szCs w:val="24"/>
          <w:lang w:val="en-US" w:eastAsia="ru-RU"/>
        </w:rPr>
        <w:t xml:space="preserve"> (1988) develops a multi-component multi-phase weathering model that explores the evolution of reaction fronts during weathering. Similarly, Wang et al. (1995) carefully explore how isovolumetric weathering produces the </w:t>
      </w:r>
      <w:proofErr w:type="spellStart"/>
      <w:r w:rsidRPr="006215AC">
        <w:rPr>
          <w:rFonts w:ascii="Times New Roman" w:eastAsia="Times New Roman" w:hAnsi="Times New Roman" w:cs="Times New Roman"/>
          <w:sz w:val="24"/>
          <w:szCs w:val="24"/>
          <w:lang w:val="en-US" w:eastAsia="ru-RU"/>
        </w:rPr>
        <w:t>pseudomorphic</w:t>
      </w:r>
      <w:proofErr w:type="spellEnd"/>
      <w:r w:rsidRPr="006215AC">
        <w:rPr>
          <w:rFonts w:ascii="Times New Roman" w:eastAsia="Times New Roman" w:hAnsi="Times New Roman" w:cs="Times New Roman"/>
          <w:sz w:val="24"/>
          <w:szCs w:val="24"/>
          <w:lang w:val="en-US" w:eastAsia="ru-RU"/>
        </w:rPr>
        <w:t xml:space="preserve"> replacement reactions that are often observed in laterites (Merino et al., 1993). In addition, White (White et al., 1998, White et al., 2001) presents models that describe mineralogical transformations versus depth in soils and saprolites. None of these groups have incorporated erosion or physical rock transformation into their models.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In contrast, most geomorphological models that have been published incorporate erosion but do not include complex geochemistry. These models generally employ empirical “soil production rates” to describe the rate of advance of the interface between unaltered and partially altered bedrock without including explicit geochemistry (Dietrich et al., 1995, </w:t>
      </w:r>
      <w:proofErr w:type="spellStart"/>
      <w:r w:rsidRPr="006215AC">
        <w:rPr>
          <w:rFonts w:ascii="Times New Roman" w:eastAsia="Times New Roman" w:hAnsi="Times New Roman" w:cs="Times New Roman"/>
          <w:sz w:val="24"/>
          <w:szCs w:val="24"/>
          <w:lang w:val="en-US" w:eastAsia="ru-RU"/>
        </w:rPr>
        <w:t>Heimsath</w:t>
      </w:r>
      <w:proofErr w:type="spellEnd"/>
      <w:r w:rsidRPr="006215AC">
        <w:rPr>
          <w:rFonts w:ascii="Times New Roman" w:eastAsia="Times New Roman" w:hAnsi="Times New Roman" w:cs="Times New Roman"/>
          <w:sz w:val="24"/>
          <w:szCs w:val="24"/>
          <w:lang w:val="en-US" w:eastAsia="ru-RU"/>
        </w:rPr>
        <w:t xml:space="preserve"> et al., 2001).</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In essence, all of these models conceptualize rock as either unaltered (low porosity) or altered (relatively high porosity) and do not incorporate physical processes such as fracturing that are often observed to increase porosity in weathering rocks. In order to quantitatively understand coupling between physical and chemical processes, a model is needed that incorporates both chemistry and physical rock processes to predict the rate of movement of the two interfaces defined by three weathering zones: unaltered intact bedrock (where transport is dominated by diffusion due to low porosity), partially-weathered/partially-intact bedrock (where open fractures or microfractures are dominated by advective transport but low-porosity matrix is dominated by diffusive transport (</w:t>
      </w:r>
      <w:proofErr w:type="spellStart"/>
      <w:r w:rsidRPr="006215AC">
        <w:rPr>
          <w:rFonts w:ascii="Times New Roman" w:eastAsia="Times New Roman" w:hAnsi="Times New Roman" w:cs="Times New Roman"/>
          <w:sz w:val="24"/>
          <w:szCs w:val="24"/>
          <w:lang w:val="en-US" w:eastAsia="ru-RU"/>
        </w:rPr>
        <w:t>Steefel</w:t>
      </w:r>
      <w:proofErr w:type="spellEnd"/>
      <w:r w:rsidRPr="006215AC">
        <w:rPr>
          <w:rFonts w:ascii="Times New Roman" w:eastAsia="Times New Roman" w:hAnsi="Times New Roman" w:cs="Times New Roman"/>
          <w:sz w:val="24"/>
          <w:szCs w:val="24"/>
          <w:lang w:val="en-US" w:eastAsia="ru-RU"/>
        </w:rPr>
        <w:t xml:space="preserve"> and </w:t>
      </w:r>
      <w:proofErr w:type="spellStart"/>
      <w:r w:rsidRPr="006215AC">
        <w:rPr>
          <w:rFonts w:ascii="Times New Roman" w:eastAsia="Times New Roman" w:hAnsi="Times New Roman" w:cs="Times New Roman"/>
          <w:sz w:val="24"/>
          <w:szCs w:val="24"/>
          <w:lang w:val="en-US" w:eastAsia="ru-RU"/>
        </w:rPr>
        <w:t>Lichtner</w:t>
      </w:r>
      <w:proofErr w:type="spellEnd"/>
      <w:r w:rsidRPr="006215AC">
        <w:rPr>
          <w:rFonts w:ascii="Times New Roman" w:eastAsia="Times New Roman" w:hAnsi="Times New Roman" w:cs="Times New Roman"/>
          <w:sz w:val="24"/>
          <w:szCs w:val="24"/>
          <w:lang w:val="en-US" w:eastAsia="ru-RU"/>
        </w:rPr>
        <w:t xml:space="preserve">, 1994, </w:t>
      </w:r>
      <w:proofErr w:type="spellStart"/>
      <w:r w:rsidRPr="006215AC">
        <w:rPr>
          <w:rFonts w:ascii="Times New Roman" w:eastAsia="Times New Roman" w:hAnsi="Times New Roman" w:cs="Times New Roman"/>
          <w:sz w:val="24"/>
          <w:szCs w:val="24"/>
          <w:lang w:val="en-US" w:eastAsia="ru-RU"/>
        </w:rPr>
        <w:t>Steefel</w:t>
      </w:r>
      <w:proofErr w:type="spellEnd"/>
      <w:r w:rsidRPr="006215AC">
        <w:rPr>
          <w:rFonts w:ascii="Times New Roman" w:eastAsia="Times New Roman" w:hAnsi="Times New Roman" w:cs="Times New Roman"/>
          <w:sz w:val="24"/>
          <w:szCs w:val="24"/>
          <w:lang w:val="en-US" w:eastAsia="ru-RU"/>
        </w:rPr>
        <w:t xml:space="preserve"> and </w:t>
      </w:r>
      <w:proofErr w:type="spellStart"/>
      <w:r w:rsidRPr="006215AC">
        <w:rPr>
          <w:rFonts w:ascii="Times New Roman" w:eastAsia="Times New Roman" w:hAnsi="Times New Roman" w:cs="Times New Roman"/>
          <w:sz w:val="24"/>
          <w:szCs w:val="24"/>
          <w:lang w:val="en-US" w:eastAsia="ru-RU"/>
        </w:rPr>
        <w:t>Lichtner</w:t>
      </w:r>
      <w:proofErr w:type="spellEnd"/>
      <w:r w:rsidRPr="006215AC">
        <w:rPr>
          <w:rFonts w:ascii="Times New Roman" w:eastAsia="Times New Roman" w:hAnsi="Times New Roman" w:cs="Times New Roman"/>
          <w:sz w:val="24"/>
          <w:szCs w:val="24"/>
          <w:lang w:val="en-US" w:eastAsia="ru-RU"/>
        </w:rPr>
        <w:t>, 1998), and disaggregated regolith (saprolite and/or soil where transport is dominated by advective transport). The rates of advance of these interfaces determine landscape evolution.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Development of a model that incorporates all of the geochemically relevant reactions as well as fracturing or other porosity-opening processes is daunting. Previously, we developed a simple two-mineral model that incorporated fracturing to explain how physical and chemical weathering rates could be coupled (Fletcher et al., 2006). Here we build upon this previous work to incorporate saprolite-forming reactions by developing a four-mineral model to predict rates of formation of saprolite. The introduction of two more phases and their components produces a model that is significantly more complex than our first model and, although we incorporate porosity changes, we have not yet been able to incorporate fracturing. However, this model represents a first step in development of a fully coupled physicochemical weathering model. We show how the implications of our work yields predictive analytical results that can be compared to observations of weathering zone thickness and solute fluxes (5 Asymptotic analytical solutions for local equilibrium without erosion, 6 Local equilibrium solution with effect of erosion, 7 Kinetic solution for the two-mineral model with effect of erosion, 8 Transition solution for the two-mineral model with effect of erosion).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We previously proposed (Fletcher et al., 2006) a model for the bedrock transformation process known as spheroidal weathering as we have observed it in the Rio Blanco quartz diorite in Puerto Rico (Turner et al., 2003, Buss, 2006). Although transformation of bedrock to saprolite does not occur everywhere by spheroidal weathering, we showed that this mechanism is useful to explore because it can explain how the rate of erosion can be coupled to weathering through the </w:t>
      </w:r>
      <w:r w:rsidRPr="006215AC">
        <w:rPr>
          <w:rFonts w:ascii="Times New Roman" w:eastAsia="Times New Roman" w:hAnsi="Times New Roman" w:cs="Times New Roman"/>
          <w:sz w:val="24"/>
          <w:szCs w:val="24"/>
          <w:lang w:val="en-US" w:eastAsia="ru-RU"/>
        </w:rPr>
        <w:lastRenderedPageBreak/>
        <w:t>pore fluid concentrations of reactive components. The conceptual model behind the present work is therefore based on spheroidal weathering.</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Spheroidal weathering most commonly occurs in well-jointed, uniform hard rock such as granite, dolerite, and basalt, and is characterized by concentric shells that completely or partially surround a </w:t>
      </w:r>
      <w:proofErr w:type="spellStart"/>
      <w:r w:rsidRPr="006215AC">
        <w:rPr>
          <w:rFonts w:ascii="Times New Roman" w:eastAsia="Times New Roman" w:hAnsi="Times New Roman" w:cs="Times New Roman"/>
          <w:sz w:val="24"/>
          <w:szCs w:val="24"/>
          <w:lang w:val="en-US" w:eastAsia="ru-RU"/>
        </w:rPr>
        <w:t>corestone</w:t>
      </w:r>
      <w:proofErr w:type="spellEnd"/>
      <w:r w:rsidRPr="006215AC">
        <w:rPr>
          <w:rFonts w:ascii="Times New Roman" w:eastAsia="Times New Roman" w:hAnsi="Times New Roman" w:cs="Times New Roman"/>
          <w:sz w:val="24"/>
          <w:szCs w:val="24"/>
          <w:lang w:val="en-US" w:eastAsia="ru-RU"/>
        </w:rPr>
        <w:t xml:space="preserve">. In this process, spalls of large lateral dimension form sequentially by fracture of weakly altered bedrock. Individual spalls or sheets that constitute a weathering rind are termed </w:t>
      </w:r>
      <w:proofErr w:type="spellStart"/>
      <w:r w:rsidRPr="006215AC">
        <w:rPr>
          <w:rFonts w:ascii="Times New Roman" w:eastAsia="Times New Roman" w:hAnsi="Times New Roman" w:cs="Times New Roman"/>
          <w:sz w:val="24"/>
          <w:szCs w:val="24"/>
          <w:lang w:val="en-US" w:eastAsia="ru-RU"/>
        </w:rPr>
        <w:t>rindlets</w:t>
      </w:r>
      <w:proofErr w:type="spellEnd"/>
      <w:r w:rsidRPr="006215AC">
        <w:rPr>
          <w:rFonts w:ascii="Times New Roman" w:eastAsia="Times New Roman" w:hAnsi="Times New Roman" w:cs="Times New Roman"/>
          <w:sz w:val="24"/>
          <w:szCs w:val="24"/>
          <w:lang w:val="en-US" w:eastAsia="ru-RU"/>
        </w:rPr>
        <w:t xml:space="preserve"> (Fritz and Mohr, 1984). Once </w:t>
      </w:r>
      <w:proofErr w:type="spellStart"/>
      <w:r w:rsidRPr="006215AC">
        <w:rPr>
          <w:rFonts w:ascii="Times New Roman" w:eastAsia="Times New Roman" w:hAnsi="Times New Roman" w:cs="Times New Roman"/>
          <w:sz w:val="24"/>
          <w:szCs w:val="24"/>
          <w:lang w:val="en-US" w:eastAsia="ru-RU"/>
        </w:rPr>
        <w:t>rindlets</w:t>
      </w:r>
      <w:proofErr w:type="spellEnd"/>
      <w:r w:rsidRPr="006215AC">
        <w:rPr>
          <w:rFonts w:ascii="Times New Roman" w:eastAsia="Times New Roman" w:hAnsi="Times New Roman" w:cs="Times New Roman"/>
          <w:sz w:val="24"/>
          <w:szCs w:val="24"/>
          <w:lang w:val="en-US" w:eastAsia="ru-RU"/>
        </w:rPr>
        <w:t xml:space="preserve"> form, they continue to alter due to influx of water, and outermost </w:t>
      </w:r>
      <w:proofErr w:type="spellStart"/>
      <w:r w:rsidRPr="006215AC">
        <w:rPr>
          <w:rFonts w:ascii="Times New Roman" w:eastAsia="Times New Roman" w:hAnsi="Times New Roman" w:cs="Times New Roman"/>
          <w:sz w:val="24"/>
          <w:szCs w:val="24"/>
          <w:lang w:val="en-US" w:eastAsia="ru-RU"/>
        </w:rPr>
        <w:t>rindlets</w:t>
      </w:r>
      <w:proofErr w:type="spellEnd"/>
      <w:r w:rsidRPr="006215AC">
        <w:rPr>
          <w:rFonts w:ascii="Times New Roman" w:eastAsia="Times New Roman" w:hAnsi="Times New Roman" w:cs="Times New Roman"/>
          <w:sz w:val="24"/>
          <w:szCs w:val="24"/>
          <w:lang w:val="en-US" w:eastAsia="ru-RU"/>
        </w:rPr>
        <w:t xml:space="preserve"> lose cohesiveness as they transform to saprolite. The </w:t>
      </w:r>
      <w:proofErr w:type="spellStart"/>
      <w:r w:rsidRPr="006215AC">
        <w:rPr>
          <w:rFonts w:ascii="Times New Roman" w:eastAsia="Times New Roman" w:hAnsi="Times New Roman" w:cs="Times New Roman"/>
          <w:sz w:val="24"/>
          <w:szCs w:val="24"/>
          <w:lang w:val="en-US" w:eastAsia="ru-RU"/>
        </w:rPr>
        <w:t>rindlet</w:t>
      </w:r>
      <w:proofErr w:type="spellEnd"/>
      <w:r w:rsidRPr="006215AC">
        <w:rPr>
          <w:rFonts w:ascii="Times New Roman" w:eastAsia="Times New Roman" w:hAnsi="Times New Roman" w:cs="Times New Roman"/>
          <w:sz w:val="24"/>
          <w:szCs w:val="24"/>
          <w:lang w:val="en-US" w:eastAsia="ru-RU"/>
        </w:rPr>
        <w:t xml:space="preserve"> zone therefore separates bedrock and saprolite, comprising a three-zoned structure in spheroidal weathering (Turner et al., 2003).</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Turner et al. (2003) and Buss (2006) document that in the Rio Blanco quartz diorite weathering in the Rio Icacos watershed, the </w:t>
      </w:r>
      <w:proofErr w:type="spellStart"/>
      <w:r w:rsidRPr="006215AC">
        <w:rPr>
          <w:rFonts w:ascii="Times New Roman" w:eastAsia="Times New Roman" w:hAnsi="Times New Roman" w:cs="Times New Roman"/>
          <w:sz w:val="24"/>
          <w:szCs w:val="24"/>
          <w:lang w:val="en-US" w:eastAsia="ru-RU"/>
        </w:rPr>
        <w:t>rindlet</w:t>
      </w:r>
      <w:proofErr w:type="spellEnd"/>
      <w:r w:rsidRPr="006215AC">
        <w:rPr>
          <w:rFonts w:ascii="Times New Roman" w:eastAsia="Times New Roman" w:hAnsi="Times New Roman" w:cs="Times New Roman"/>
          <w:sz w:val="24"/>
          <w:szCs w:val="24"/>
          <w:lang w:val="en-US" w:eastAsia="ru-RU"/>
        </w:rPr>
        <w:t xml:space="preserve"> zone is initiated largely by the alteration of the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component in biotite and hornblende, followed by dissolution and disappearance of hornblende and plagioclase within the </w:t>
      </w:r>
      <w:proofErr w:type="spellStart"/>
      <w:r w:rsidRPr="006215AC">
        <w:rPr>
          <w:rFonts w:ascii="Times New Roman" w:eastAsia="Times New Roman" w:hAnsi="Times New Roman" w:cs="Times New Roman"/>
          <w:sz w:val="24"/>
          <w:szCs w:val="24"/>
          <w:lang w:val="en-US" w:eastAsia="ru-RU"/>
        </w:rPr>
        <w:t>rindlet</w:t>
      </w:r>
      <w:proofErr w:type="spellEnd"/>
      <w:r w:rsidRPr="006215AC">
        <w:rPr>
          <w:rFonts w:ascii="Times New Roman" w:eastAsia="Times New Roman" w:hAnsi="Times New Roman" w:cs="Times New Roman"/>
          <w:sz w:val="24"/>
          <w:szCs w:val="24"/>
          <w:lang w:val="en-US" w:eastAsia="ru-RU"/>
        </w:rPr>
        <w:t xml:space="preserve"> zone. Based upon these observations, we presented a simple quantitative model of spheroidal weathering (Fletcher et al., 2006). In this model, a positive </w:t>
      </w:r>
      <w:r w:rsidRPr="006215AC">
        <w:rPr>
          <w:rFonts w:ascii="Times New Roman" w:eastAsia="Times New Roman" w:hAnsi="Times New Roman" w:cs="Times New Roman"/>
          <w:sz w:val="24"/>
          <w:szCs w:val="24"/>
          <w:lang w:eastAsia="ru-RU"/>
        </w:rPr>
        <w:t>Δ</w:t>
      </w:r>
      <w:r w:rsidRPr="006215AC">
        <w:rPr>
          <w:rFonts w:ascii="Times New Roman" w:eastAsia="Times New Roman" w:hAnsi="Times New Roman" w:cs="Times New Roman"/>
          <w:i/>
          <w:iCs/>
          <w:sz w:val="24"/>
          <w:szCs w:val="24"/>
          <w:lang w:val="en-US" w:eastAsia="ru-RU"/>
        </w:rPr>
        <w:t>V</w:t>
      </w:r>
      <w:r w:rsidRPr="006215AC">
        <w:rPr>
          <w:rFonts w:ascii="Times New Roman" w:eastAsia="Times New Roman" w:hAnsi="Times New Roman" w:cs="Times New Roman"/>
          <w:sz w:val="24"/>
          <w:szCs w:val="24"/>
          <w:lang w:val="en-US" w:eastAsia="ru-RU"/>
        </w:rPr>
        <w:t xml:space="preserve"> associated with precipitation of </w:t>
      </w:r>
      <w:proofErr w:type="gramStart"/>
      <w:r w:rsidRPr="006215AC">
        <w:rPr>
          <w:rFonts w:ascii="Times New Roman" w:eastAsia="Times New Roman" w:hAnsi="Times New Roman" w:cs="Times New Roman"/>
          <w:sz w:val="24"/>
          <w:szCs w:val="24"/>
          <w:lang w:val="en-US" w:eastAsia="ru-RU"/>
        </w:rPr>
        <w:t>Fe(</w:t>
      </w:r>
      <w:proofErr w:type="gramEnd"/>
      <w:r w:rsidRPr="006215AC">
        <w:rPr>
          <w:rFonts w:ascii="Times New Roman" w:eastAsia="Times New Roman" w:hAnsi="Times New Roman" w:cs="Times New Roman"/>
          <w:sz w:val="24"/>
          <w:szCs w:val="24"/>
          <w:lang w:val="en-US" w:eastAsia="ru-RU"/>
        </w:rPr>
        <w:t>OH)</w:t>
      </w:r>
      <w:r w:rsidRPr="006215AC">
        <w:rPr>
          <w:rFonts w:ascii="Times New Roman" w:eastAsia="Times New Roman" w:hAnsi="Times New Roman" w:cs="Times New Roman"/>
          <w:sz w:val="24"/>
          <w:szCs w:val="24"/>
          <w:vertAlign w:val="subscript"/>
          <w:lang w:val="en-US" w:eastAsia="ru-RU"/>
        </w:rPr>
        <w:t>3(</w:t>
      </w:r>
      <w:r w:rsidRPr="006215AC">
        <w:rPr>
          <w:rFonts w:ascii="Times New Roman" w:eastAsia="Times New Roman" w:hAnsi="Times New Roman" w:cs="Times New Roman"/>
          <w:i/>
          <w:iCs/>
          <w:sz w:val="24"/>
          <w:szCs w:val="24"/>
          <w:vertAlign w:val="subscript"/>
          <w:lang w:val="en-US" w:eastAsia="ru-RU"/>
        </w:rPr>
        <w:t>s</w:t>
      </w:r>
      <w:r w:rsidRPr="006215AC">
        <w:rPr>
          <w:rFonts w:ascii="Times New Roman" w:eastAsia="Times New Roman" w:hAnsi="Times New Roman" w:cs="Times New Roman"/>
          <w:sz w:val="24"/>
          <w:szCs w:val="24"/>
          <w:vertAlign w:val="subscript"/>
          <w:lang w:val="en-US" w:eastAsia="ru-RU"/>
        </w:rPr>
        <w:t>)</w:t>
      </w:r>
      <w:r w:rsidRPr="006215AC">
        <w:rPr>
          <w:rFonts w:ascii="Times New Roman" w:eastAsia="Times New Roman" w:hAnsi="Times New Roman" w:cs="Times New Roman"/>
          <w:sz w:val="24"/>
          <w:szCs w:val="24"/>
          <w:lang w:val="en-US" w:eastAsia="ru-RU"/>
        </w:rPr>
        <w:t xml:space="preserve"> during oxidative dissolution of the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component in minerals such as biotite and hornblende induced stress build-up, leading to spheroidal cracking.</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The reaction front of </w:t>
      </w:r>
      <w:proofErr w:type="gramStart"/>
      <w:r w:rsidRPr="006215AC">
        <w:rPr>
          <w:rFonts w:ascii="Times New Roman" w:eastAsia="Times New Roman" w:hAnsi="Times New Roman" w:cs="Times New Roman"/>
          <w:sz w:val="24"/>
          <w:szCs w:val="24"/>
          <w:lang w:val="en-US" w:eastAsia="ru-RU"/>
        </w:rPr>
        <w:t>Fe(</w:t>
      </w:r>
      <w:proofErr w:type="gramEnd"/>
      <w:r w:rsidRPr="006215AC">
        <w:rPr>
          <w:rFonts w:ascii="Times New Roman" w:eastAsia="Times New Roman" w:hAnsi="Times New Roman" w:cs="Times New Roman"/>
          <w:sz w:val="24"/>
          <w:szCs w:val="24"/>
          <w:lang w:val="en-US" w:eastAsia="ru-RU"/>
        </w:rPr>
        <w:t>OH)</w:t>
      </w:r>
      <w:r w:rsidRPr="006215AC">
        <w:rPr>
          <w:rFonts w:ascii="Times New Roman" w:eastAsia="Times New Roman" w:hAnsi="Times New Roman" w:cs="Times New Roman"/>
          <w:sz w:val="24"/>
          <w:szCs w:val="24"/>
          <w:vertAlign w:val="subscript"/>
          <w:lang w:val="en-US" w:eastAsia="ru-RU"/>
        </w:rPr>
        <w:t>3</w:t>
      </w:r>
      <w:r w:rsidRPr="006215AC">
        <w:rPr>
          <w:rFonts w:ascii="Times New Roman" w:eastAsia="Times New Roman" w:hAnsi="Times New Roman" w:cs="Times New Roman"/>
          <w:sz w:val="24"/>
          <w:szCs w:val="24"/>
          <w:lang w:val="en-US" w:eastAsia="ru-RU"/>
        </w:rPr>
        <w:t>/</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alteration advances until the elastic strain energy stored between the last-formed fracture and the front becomes large enough to supply the surface energy of a new fracture. A crack is postulated to immediately form at the front, the transport boundary condition translates to this position, and the cycle is repeated. The average rate of advance of the fracture front into bedrock is linear in time, and a series of fractures develops at constant spacing, consistent with observations of constantly spaced spheroidal weathering fractures (Fletcher et al., 2006). The model treats only the oxidation of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-bearing minerals – the reaction that we infer initiates disaggregation processes in the bedrock – and could not therefore predict the other weathering reactions that occur while the bedrock transforms to saprolite.</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In order to treat the formation of saprolite quantitatively, in this paper we extend the original model beyond the mineral-water reactions that initiate alteration (dissolution of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and cause strain energy to accumulate (precipitation of ferrihydrite </w:t>
      </w:r>
      <w:proofErr w:type="gramStart"/>
      <w:r w:rsidRPr="006215AC">
        <w:rPr>
          <w:rFonts w:ascii="Times New Roman" w:eastAsia="Times New Roman" w:hAnsi="Times New Roman" w:cs="Times New Roman"/>
          <w:sz w:val="24"/>
          <w:szCs w:val="24"/>
          <w:lang w:val="en-US" w:eastAsia="ru-RU"/>
        </w:rPr>
        <w:t>Fe(</w:t>
      </w:r>
      <w:proofErr w:type="gramEnd"/>
      <w:r w:rsidRPr="006215AC">
        <w:rPr>
          <w:rFonts w:ascii="Times New Roman" w:eastAsia="Times New Roman" w:hAnsi="Times New Roman" w:cs="Times New Roman"/>
          <w:sz w:val="24"/>
          <w:szCs w:val="24"/>
          <w:lang w:val="en-US" w:eastAsia="ru-RU"/>
        </w:rPr>
        <w:t>OH)</w:t>
      </w:r>
      <w:r w:rsidRPr="006215AC">
        <w:rPr>
          <w:rFonts w:ascii="Times New Roman" w:eastAsia="Times New Roman" w:hAnsi="Times New Roman" w:cs="Times New Roman"/>
          <w:sz w:val="24"/>
          <w:szCs w:val="24"/>
          <w:vertAlign w:val="subscript"/>
          <w:lang w:val="en-US" w:eastAsia="ru-RU"/>
        </w:rPr>
        <w:t>3</w:t>
      </w:r>
      <w:r w:rsidRPr="006215AC">
        <w:rPr>
          <w:rFonts w:ascii="Times New Roman" w:eastAsia="Times New Roman" w:hAnsi="Times New Roman" w:cs="Times New Roman"/>
          <w:sz w:val="24"/>
          <w:szCs w:val="24"/>
          <w:lang w:val="en-US" w:eastAsia="ru-RU"/>
        </w:rPr>
        <w:t xml:space="preserve"> or goethite). The new model now includes reactions that create saprolite (dissolution of albite and precipitation of kaolinite). The model granite bedrock also contains quartz, treated as inert to weathering, since quartz has been observed to cross the bedrock-saprolite interface relatively unchanged in the Puerto Rico quartz diorite. In the model, components other than O</w:t>
      </w:r>
      <w:r w:rsidRPr="006215AC">
        <w:rPr>
          <w:rFonts w:ascii="Times New Roman" w:eastAsia="Times New Roman" w:hAnsi="Times New Roman" w:cs="Times New Roman"/>
          <w:sz w:val="24"/>
          <w:szCs w:val="24"/>
          <w:vertAlign w:val="subscript"/>
          <w:lang w:val="en-US" w:eastAsia="ru-RU"/>
        </w:rPr>
        <w:t>2</w:t>
      </w:r>
      <w:r w:rsidRPr="006215AC">
        <w:rPr>
          <w:rFonts w:ascii="Times New Roman" w:eastAsia="Times New Roman" w:hAnsi="Times New Roman" w:cs="Times New Roman"/>
          <w:sz w:val="24"/>
          <w:szCs w:val="24"/>
          <w:lang w:val="en-US" w:eastAsia="ru-RU"/>
        </w:rPr>
        <w:t xml:space="preserve"> in the pore fluid include Na</w:t>
      </w:r>
      <w:r w:rsidRPr="006215AC">
        <w:rPr>
          <w:rFonts w:ascii="Times New Roman" w:eastAsia="Times New Roman" w:hAnsi="Times New Roman" w:cs="Times New Roman"/>
          <w:sz w:val="24"/>
          <w:szCs w:val="24"/>
          <w:vertAlign w:val="superscript"/>
          <w:lang w:val="en-US" w:eastAsia="ru-RU"/>
        </w:rPr>
        <w:t>+</w:t>
      </w:r>
      <w:r w:rsidRPr="006215AC">
        <w:rPr>
          <w:rFonts w:ascii="Times New Roman" w:eastAsia="Times New Roman" w:hAnsi="Times New Roman" w:cs="Times New Roman"/>
          <w:sz w:val="24"/>
          <w:szCs w:val="24"/>
          <w:lang w:val="en-US" w:eastAsia="ru-RU"/>
        </w:rPr>
        <w:t>, SiO</w:t>
      </w:r>
      <w:r w:rsidRPr="006215AC">
        <w:rPr>
          <w:rFonts w:ascii="Times New Roman" w:eastAsia="Times New Roman" w:hAnsi="Times New Roman" w:cs="Times New Roman"/>
          <w:sz w:val="24"/>
          <w:szCs w:val="24"/>
          <w:vertAlign w:val="subscript"/>
          <w:lang w:val="en-US" w:eastAsia="ru-RU"/>
        </w:rPr>
        <w:t>2</w:t>
      </w:r>
      <w:r w:rsidRPr="006215AC">
        <w:rPr>
          <w:rFonts w:ascii="Times New Roman" w:eastAsia="Times New Roman" w:hAnsi="Times New Roman" w:cs="Times New Roman"/>
          <w:sz w:val="24"/>
          <w:szCs w:val="24"/>
          <w:lang w:val="en-US" w:eastAsia="ru-RU"/>
        </w:rPr>
        <w:t xml:space="preserve">, </w:t>
      </w:r>
      <w:proofErr w:type="gramStart"/>
      <w:r w:rsidRPr="006215AC">
        <w:rPr>
          <w:rFonts w:ascii="Times New Roman" w:eastAsia="Times New Roman" w:hAnsi="Times New Roman" w:cs="Times New Roman"/>
          <w:sz w:val="24"/>
          <w:szCs w:val="24"/>
          <w:lang w:val="en-US" w:eastAsia="ru-RU"/>
        </w:rPr>
        <w:t>Al(</w:t>
      </w:r>
      <w:proofErr w:type="gramEnd"/>
      <w:r w:rsidRPr="006215AC">
        <w:rPr>
          <w:rFonts w:ascii="Times New Roman" w:eastAsia="Times New Roman" w:hAnsi="Times New Roman" w:cs="Times New Roman"/>
          <w:sz w:val="24"/>
          <w:szCs w:val="24"/>
          <w:lang w:val="en-US" w:eastAsia="ru-RU"/>
        </w:rPr>
        <w:t>OH)</w:t>
      </w:r>
      <w:r w:rsidRPr="006215AC">
        <w:rPr>
          <w:rFonts w:ascii="Times New Roman" w:eastAsia="Times New Roman" w:hAnsi="Times New Roman" w:cs="Times New Roman"/>
          <w:sz w:val="24"/>
          <w:szCs w:val="24"/>
          <w:vertAlign w:val="subscript"/>
          <w:lang w:val="en-US" w:eastAsia="ru-RU"/>
        </w:rPr>
        <w:t>3</w:t>
      </w:r>
      <w:r w:rsidRPr="006215AC">
        <w:rPr>
          <w:rFonts w:ascii="Times New Roman" w:eastAsia="Times New Roman" w:hAnsi="Times New Roman" w:cs="Times New Roman"/>
          <w:sz w:val="24"/>
          <w:szCs w:val="24"/>
          <w:lang w:val="en-US" w:eastAsia="ru-RU"/>
        </w:rPr>
        <w:t>, H</w:t>
      </w:r>
      <w:r w:rsidRPr="006215AC">
        <w:rPr>
          <w:rFonts w:ascii="Times New Roman" w:eastAsia="Times New Roman" w:hAnsi="Times New Roman" w:cs="Times New Roman"/>
          <w:sz w:val="24"/>
          <w:szCs w:val="24"/>
          <w:vertAlign w:val="superscript"/>
          <w:lang w:val="en-US" w:eastAsia="ru-RU"/>
        </w:rPr>
        <w:t>+</w:t>
      </w:r>
      <w:r w:rsidRPr="006215AC">
        <w:rPr>
          <w:rFonts w:ascii="Times New Roman" w:eastAsia="Times New Roman" w:hAnsi="Times New Roman" w:cs="Times New Roman"/>
          <w:sz w:val="24"/>
          <w:szCs w:val="24"/>
          <w:lang w:val="en-US" w:eastAsia="ru-RU"/>
        </w:rPr>
        <w:t>, OH</w:t>
      </w:r>
      <w:r w:rsidRPr="006215AC">
        <w:rPr>
          <w:rFonts w:ascii="Times New Roman" w:eastAsia="Times New Roman" w:hAnsi="Times New Roman" w:cs="Times New Roman"/>
          <w:sz w:val="24"/>
          <w:szCs w:val="24"/>
          <w:vertAlign w:val="superscript"/>
          <w:lang w:val="en-US" w:eastAsia="ru-RU"/>
        </w:rPr>
        <w:t>–</w:t>
      </w:r>
      <w:r w:rsidRPr="006215AC">
        <w:rPr>
          <w:rFonts w:ascii="Times New Roman" w:eastAsia="Times New Roman" w:hAnsi="Times New Roman" w:cs="Times New Roman"/>
          <w:sz w:val="24"/>
          <w:szCs w:val="24"/>
          <w:lang w:val="en-US" w:eastAsia="ru-RU"/>
        </w:rPr>
        <w:t>, Fe</w:t>
      </w:r>
      <w:r w:rsidRPr="006215AC">
        <w:rPr>
          <w:rFonts w:ascii="Times New Roman" w:eastAsia="Times New Roman" w:hAnsi="Times New Roman" w:cs="Times New Roman"/>
          <w:sz w:val="24"/>
          <w:szCs w:val="24"/>
          <w:vertAlign w:val="superscript"/>
          <w:lang w:val="en-US" w:eastAsia="ru-RU"/>
        </w:rPr>
        <w:t>2+</w:t>
      </w:r>
      <w:r w:rsidRPr="006215AC">
        <w:rPr>
          <w:rFonts w:ascii="Times New Roman" w:eastAsia="Times New Roman" w:hAnsi="Times New Roman" w:cs="Times New Roman"/>
          <w:sz w:val="24"/>
          <w:szCs w:val="24"/>
          <w:lang w:val="en-US" w:eastAsia="ru-RU"/>
        </w:rPr>
        <w:t>, Fe</w:t>
      </w:r>
      <w:r w:rsidRPr="006215AC">
        <w:rPr>
          <w:rFonts w:ascii="Times New Roman" w:eastAsia="Times New Roman" w:hAnsi="Times New Roman" w:cs="Times New Roman"/>
          <w:sz w:val="24"/>
          <w:szCs w:val="24"/>
          <w:vertAlign w:val="superscript"/>
          <w:lang w:val="en-US" w:eastAsia="ru-RU"/>
        </w:rPr>
        <w:t>3+</w:t>
      </w:r>
      <w:r w:rsidRPr="006215AC">
        <w:rPr>
          <w:rFonts w:ascii="Times New Roman" w:eastAsia="Times New Roman" w:hAnsi="Times New Roman" w:cs="Times New Roman"/>
          <w:sz w:val="24"/>
          <w:szCs w:val="24"/>
          <w:lang w:val="en-US" w:eastAsia="ru-RU"/>
        </w:rPr>
        <w:t xml:space="preserve"> and Cl</w:t>
      </w:r>
      <w:r w:rsidRPr="006215AC">
        <w:rPr>
          <w:rFonts w:ascii="Times New Roman" w:eastAsia="Times New Roman" w:hAnsi="Times New Roman" w:cs="Times New Roman"/>
          <w:sz w:val="24"/>
          <w:szCs w:val="24"/>
          <w:vertAlign w:val="superscript"/>
          <w:lang w:val="en-US" w:eastAsia="ru-RU"/>
        </w:rPr>
        <w:t>−</w:t>
      </w:r>
      <w:r w:rsidRPr="006215AC">
        <w:rPr>
          <w:rFonts w:ascii="Times New Roman" w:eastAsia="Times New Roman" w:hAnsi="Times New Roman" w:cs="Times New Roman"/>
          <w:sz w:val="24"/>
          <w:szCs w:val="24"/>
          <w:lang w:val="en-US" w:eastAsia="ru-RU"/>
        </w:rPr>
        <w:t>. We adopt a macroscopic (continuous) description (see, for example (</w:t>
      </w:r>
      <w:proofErr w:type="spellStart"/>
      <w:r w:rsidRPr="006215AC">
        <w:rPr>
          <w:rFonts w:ascii="Times New Roman" w:eastAsia="Times New Roman" w:hAnsi="Times New Roman" w:cs="Times New Roman"/>
          <w:sz w:val="24"/>
          <w:szCs w:val="24"/>
          <w:lang w:val="en-US" w:eastAsia="ru-RU"/>
        </w:rPr>
        <w:t>Lichtner</w:t>
      </w:r>
      <w:proofErr w:type="spellEnd"/>
      <w:r w:rsidRPr="006215AC">
        <w:rPr>
          <w:rFonts w:ascii="Times New Roman" w:eastAsia="Times New Roman" w:hAnsi="Times New Roman" w:cs="Times New Roman"/>
          <w:sz w:val="24"/>
          <w:szCs w:val="24"/>
          <w:lang w:val="en-US" w:eastAsia="ru-RU"/>
        </w:rPr>
        <w:t xml:space="preserve">, 1988, </w:t>
      </w:r>
      <w:proofErr w:type="spellStart"/>
      <w:r w:rsidRPr="006215AC">
        <w:rPr>
          <w:rFonts w:ascii="Times New Roman" w:eastAsia="Times New Roman" w:hAnsi="Times New Roman" w:cs="Times New Roman"/>
          <w:sz w:val="24"/>
          <w:szCs w:val="24"/>
          <w:lang w:val="en-US" w:eastAsia="ru-RU"/>
        </w:rPr>
        <w:t>Steefel</w:t>
      </w:r>
      <w:proofErr w:type="spellEnd"/>
      <w:r w:rsidRPr="006215AC">
        <w:rPr>
          <w:rFonts w:ascii="Times New Roman" w:eastAsia="Times New Roman" w:hAnsi="Times New Roman" w:cs="Times New Roman"/>
          <w:sz w:val="24"/>
          <w:szCs w:val="24"/>
          <w:lang w:val="en-US" w:eastAsia="ru-RU"/>
        </w:rPr>
        <w:t xml:space="preserve"> and Van </w:t>
      </w:r>
      <w:proofErr w:type="spellStart"/>
      <w:r w:rsidRPr="006215AC">
        <w:rPr>
          <w:rFonts w:ascii="Times New Roman" w:eastAsia="Times New Roman" w:hAnsi="Times New Roman" w:cs="Times New Roman"/>
          <w:sz w:val="24"/>
          <w:szCs w:val="24"/>
          <w:lang w:val="en-US" w:eastAsia="ru-RU"/>
        </w:rPr>
        <w:t>Cappellen</w:t>
      </w:r>
      <w:proofErr w:type="spellEnd"/>
      <w:r w:rsidRPr="006215AC">
        <w:rPr>
          <w:rFonts w:ascii="Times New Roman" w:eastAsia="Times New Roman" w:hAnsi="Times New Roman" w:cs="Times New Roman"/>
          <w:sz w:val="24"/>
          <w:szCs w:val="24"/>
          <w:lang w:val="en-US" w:eastAsia="ru-RU"/>
        </w:rPr>
        <w:t xml:space="preserve">, 1990, Soler and </w:t>
      </w:r>
      <w:proofErr w:type="spellStart"/>
      <w:r w:rsidRPr="006215AC">
        <w:rPr>
          <w:rFonts w:ascii="Times New Roman" w:eastAsia="Times New Roman" w:hAnsi="Times New Roman" w:cs="Times New Roman"/>
          <w:sz w:val="24"/>
          <w:szCs w:val="24"/>
          <w:lang w:val="en-US" w:eastAsia="ru-RU"/>
        </w:rPr>
        <w:t>Lasaga</w:t>
      </w:r>
      <w:proofErr w:type="spellEnd"/>
      <w:r w:rsidRPr="006215AC">
        <w:rPr>
          <w:rFonts w:ascii="Times New Roman" w:eastAsia="Times New Roman" w:hAnsi="Times New Roman" w:cs="Times New Roman"/>
          <w:sz w:val="24"/>
          <w:szCs w:val="24"/>
          <w:lang w:val="en-US" w:eastAsia="ru-RU"/>
        </w:rPr>
        <w:t xml:space="preserve">, 1998)) at a length scale much larger than the dimension of individual pore, grain or fractures. </w:t>
      </w:r>
      <w:proofErr w:type="gramStart"/>
      <w:r w:rsidRPr="006215AC">
        <w:rPr>
          <w:rFonts w:ascii="Times New Roman" w:eastAsia="Times New Roman" w:hAnsi="Times New Roman" w:cs="Times New Roman"/>
          <w:sz w:val="24"/>
          <w:szCs w:val="24"/>
          <w:lang w:val="en-US" w:eastAsia="ru-RU"/>
        </w:rPr>
        <w:t>So</w:t>
      </w:r>
      <w:proofErr w:type="gramEnd"/>
      <w:r w:rsidRPr="006215AC">
        <w:rPr>
          <w:rFonts w:ascii="Times New Roman" w:eastAsia="Times New Roman" w:hAnsi="Times New Roman" w:cs="Times New Roman"/>
          <w:sz w:val="24"/>
          <w:szCs w:val="24"/>
          <w:lang w:val="en-US" w:eastAsia="ru-RU"/>
        </w:rPr>
        <w:t xml:space="preserve"> our model does not include textural observations such as replacement, as was considered previously in other models (Merino et al., 1993, Wang et al., 1995) where weathering was considered at the microscale (</w:t>
      </w:r>
      <w:r w:rsidRPr="006215AC">
        <w:rPr>
          <w:rFonts w:ascii="Cambria Math" w:eastAsia="Times New Roman" w:hAnsi="Cambria Math" w:cs="Cambria Math"/>
          <w:sz w:val="24"/>
          <w:szCs w:val="24"/>
          <w:lang w:val="en-US" w:eastAsia="ru-RU"/>
        </w:rPr>
        <w:t>∼</w:t>
      </w:r>
      <w:r w:rsidRPr="006215AC">
        <w:rPr>
          <w:rFonts w:ascii="Times New Roman" w:eastAsia="Times New Roman" w:hAnsi="Times New Roman" w:cs="Times New Roman"/>
          <w:sz w:val="24"/>
          <w:szCs w:val="24"/>
          <w:lang w:val="en-US" w:eastAsia="ru-RU"/>
        </w:rPr>
        <w:t> 0.001m). We are interested in modeling deep weathering where the role of biota is greatly diminished, and so we largely ignore biotic effects which are more important high in the weathering profile (White, 2003).</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The diffusion model presented here describes weathering at scales </w:t>
      </w:r>
      <w:r w:rsidRPr="006215AC">
        <w:rPr>
          <w:rFonts w:ascii="Cambria Math" w:eastAsia="Times New Roman" w:hAnsi="Cambria Math" w:cs="Cambria Math"/>
          <w:sz w:val="24"/>
          <w:szCs w:val="24"/>
          <w:lang w:val="en-US" w:eastAsia="ru-RU"/>
        </w:rPr>
        <w:t>∼</w:t>
      </w:r>
      <w:r w:rsidRPr="006215AC">
        <w:rPr>
          <w:rFonts w:ascii="Times New Roman" w:eastAsia="Times New Roman" w:hAnsi="Times New Roman" w:cs="Times New Roman"/>
          <w:sz w:val="24"/>
          <w:szCs w:val="24"/>
          <w:lang w:val="en-US" w:eastAsia="ru-RU"/>
        </w:rPr>
        <w:t xml:space="preserve"> 1cm to </w:t>
      </w:r>
      <w:r w:rsidRPr="006215AC">
        <w:rPr>
          <w:rFonts w:ascii="Cambria Math" w:eastAsia="Times New Roman" w:hAnsi="Cambria Math" w:cs="Cambria Math"/>
          <w:sz w:val="24"/>
          <w:szCs w:val="24"/>
          <w:lang w:val="en-US" w:eastAsia="ru-RU"/>
        </w:rPr>
        <w:t>∼</w:t>
      </w:r>
      <w:r w:rsidRPr="006215AC">
        <w:rPr>
          <w:rFonts w:ascii="Times New Roman" w:eastAsia="Times New Roman" w:hAnsi="Times New Roman" w:cs="Times New Roman"/>
          <w:sz w:val="24"/>
          <w:szCs w:val="24"/>
          <w:lang w:val="en-US" w:eastAsia="ru-RU"/>
        </w:rPr>
        <w:t> 1m, showing the resulting sequence of mineral zones as low-porosity bedrock transforms to saprolite. This model is the first step in building a larger-scale model that will eventually incorporate advective transport. Since erosion is a key process coupling to weathering, we treat both erosion and non-erosion cases. The model assumes isovolumetric alteration.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In Section 2 we formulate the three-zone model. The kinetic functions for the model are discussed in Section 3. 4 Numerical results, 5 Asymptotic analytical solutions for local equilibrium without erosion present numerical and analytical results without erosion. 6 Local equilibrium solution with effect of erosion, 7 Kinetic solution for the two-mineral model with effect of erosion, 8 Transition solution for the two-mineral model with effect of erosion continue </w:t>
      </w:r>
      <w:r w:rsidRPr="006215AC">
        <w:rPr>
          <w:rFonts w:ascii="Times New Roman" w:eastAsia="Times New Roman" w:hAnsi="Times New Roman" w:cs="Times New Roman"/>
          <w:sz w:val="24"/>
          <w:szCs w:val="24"/>
          <w:lang w:val="en-US" w:eastAsia="ru-RU"/>
        </w:rPr>
        <w:lastRenderedPageBreak/>
        <w:t>development of analytical results. Section 6 treats the case of erosion at a constant rate in the local equilibrium limit (so-called supply-limited denudation); Section 7 treats the other limiting case of kinetic control (so-called weathering-limited denudation); and Section 8 treats the transition between the two limiting cases. In the Appendices, we give details of the analytical treatment, a more general formulation of the mathematical problem, and a brief outline of the numerical algorithm used in Section 4.</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The model</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The minimal model outlined above that is needed to describe zoning in spheroidal weathering is prescribed through the reactions: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We assume that precipitation of goethite (</w:t>
      </w:r>
      <w:proofErr w:type="spellStart"/>
      <w:r w:rsidRPr="006215AC">
        <w:rPr>
          <w:rFonts w:ascii="Times New Roman" w:eastAsia="Times New Roman" w:hAnsi="Times New Roman" w:cs="Times New Roman"/>
          <w:sz w:val="24"/>
          <w:szCs w:val="24"/>
          <w:lang w:val="en-US" w:eastAsia="ru-RU"/>
        </w:rPr>
        <w:t>gth</w:t>
      </w:r>
      <w:proofErr w:type="spellEnd"/>
      <w:r w:rsidRPr="006215AC">
        <w:rPr>
          <w:rFonts w:ascii="Times New Roman" w:eastAsia="Times New Roman" w:hAnsi="Times New Roman" w:cs="Times New Roman"/>
          <w:sz w:val="24"/>
          <w:szCs w:val="24"/>
          <w:lang w:val="en-US" w:eastAsia="ru-RU"/>
        </w:rPr>
        <w:t xml:space="preserve">), </w:t>
      </w:r>
      <w:proofErr w:type="spellStart"/>
      <w:proofErr w:type="gram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w:t>
      </w:r>
      <w:proofErr w:type="gramEnd"/>
      <w:r w:rsidRPr="006215AC">
        <w:rPr>
          <w:rFonts w:ascii="Times New Roman" w:eastAsia="Times New Roman" w:hAnsi="Times New Roman" w:cs="Times New Roman"/>
          <w:sz w:val="24"/>
          <w:szCs w:val="24"/>
          <w:lang w:val="en-US" w:eastAsia="ru-RU"/>
        </w:rPr>
        <w:t xml:space="preserve">OH) forms the </w:t>
      </w:r>
      <w:proofErr w:type="spellStart"/>
      <w:r w:rsidRPr="006215AC">
        <w:rPr>
          <w:rFonts w:ascii="Times New Roman" w:eastAsia="Times New Roman" w:hAnsi="Times New Roman" w:cs="Times New Roman"/>
          <w:sz w:val="24"/>
          <w:szCs w:val="24"/>
          <w:lang w:val="en-US" w:eastAsia="ru-RU"/>
        </w:rPr>
        <w:t>rindlet</w:t>
      </w:r>
      <w:proofErr w:type="spellEnd"/>
      <w:r w:rsidRPr="006215AC">
        <w:rPr>
          <w:rFonts w:ascii="Times New Roman" w:eastAsia="Times New Roman" w:hAnsi="Times New Roman" w:cs="Times New Roman"/>
          <w:sz w:val="24"/>
          <w:szCs w:val="24"/>
          <w:lang w:val="en-US" w:eastAsia="ru-RU"/>
        </w:rPr>
        <w:t xml:space="preserve"> zone, and the precipitation of kaolinite (</w:t>
      </w:r>
      <w:proofErr w:type="spellStart"/>
      <w:r w:rsidRPr="006215AC">
        <w:rPr>
          <w:rFonts w:ascii="Times New Roman" w:eastAsia="Times New Roman" w:hAnsi="Times New Roman" w:cs="Times New Roman"/>
          <w:sz w:val="24"/>
          <w:szCs w:val="24"/>
          <w:lang w:val="en-US" w:eastAsia="ru-RU"/>
        </w:rPr>
        <w:t>kao</w:t>
      </w:r>
      <w:proofErr w:type="spellEnd"/>
      <w:r w:rsidRPr="006215AC">
        <w:rPr>
          <w:rFonts w:ascii="Times New Roman" w:eastAsia="Times New Roman" w:hAnsi="Times New Roman" w:cs="Times New Roman"/>
          <w:sz w:val="24"/>
          <w:szCs w:val="24"/>
          <w:lang w:val="en-US" w:eastAsia="ru-RU"/>
        </w:rPr>
        <w:t>), Al</w:t>
      </w:r>
      <w:r w:rsidRPr="006215AC">
        <w:rPr>
          <w:rFonts w:ascii="Times New Roman" w:eastAsia="Times New Roman" w:hAnsi="Times New Roman" w:cs="Times New Roman"/>
          <w:sz w:val="24"/>
          <w:szCs w:val="24"/>
          <w:vertAlign w:val="subscript"/>
          <w:lang w:val="en-US" w:eastAsia="ru-RU"/>
        </w:rPr>
        <w:t>2</w:t>
      </w:r>
      <w:r w:rsidRPr="006215AC">
        <w:rPr>
          <w:rFonts w:ascii="Times New Roman" w:eastAsia="Times New Roman" w:hAnsi="Times New Roman" w:cs="Times New Roman"/>
          <w:sz w:val="24"/>
          <w:szCs w:val="24"/>
          <w:lang w:val="en-US" w:eastAsia="ru-RU"/>
        </w:rPr>
        <w:t>Si</w:t>
      </w:r>
      <w:r w:rsidRPr="006215AC">
        <w:rPr>
          <w:rFonts w:ascii="Times New Roman" w:eastAsia="Times New Roman" w:hAnsi="Times New Roman" w:cs="Times New Roman"/>
          <w:sz w:val="24"/>
          <w:szCs w:val="24"/>
          <w:vertAlign w:val="subscript"/>
          <w:lang w:val="en-US" w:eastAsia="ru-RU"/>
        </w:rPr>
        <w:t>2</w:t>
      </w:r>
      <w:r w:rsidRPr="006215AC">
        <w:rPr>
          <w:rFonts w:ascii="Times New Roman" w:eastAsia="Times New Roman" w:hAnsi="Times New Roman" w:cs="Times New Roman"/>
          <w:sz w:val="24"/>
          <w:szCs w:val="24"/>
          <w:lang w:val="en-US" w:eastAsia="ru-RU"/>
        </w:rPr>
        <w:t>O</w:t>
      </w:r>
      <w:r w:rsidRPr="006215AC">
        <w:rPr>
          <w:rFonts w:ascii="Times New Roman" w:eastAsia="Times New Roman" w:hAnsi="Times New Roman" w:cs="Times New Roman"/>
          <w:sz w:val="24"/>
          <w:szCs w:val="24"/>
          <w:vertAlign w:val="subscript"/>
          <w:lang w:val="en-US" w:eastAsia="ru-RU"/>
        </w:rPr>
        <w:t>5</w:t>
      </w:r>
      <w:r w:rsidRPr="006215AC">
        <w:rPr>
          <w:rFonts w:ascii="Times New Roman" w:eastAsia="Times New Roman" w:hAnsi="Times New Roman" w:cs="Times New Roman"/>
          <w:sz w:val="24"/>
          <w:szCs w:val="24"/>
          <w:lang w:val="en-US" w:eastAsia="ru-RU"/>
        </w:rPr>
        <w:t>(OH)</w:t>
      </w:r>
      <w:r w:rsidRPr="006215AC">
        <w:rPr>
          <w:rFonts w:ascii="Times New Roman" w:eastAsia="Times New Roman" w:hAnsi="Times New Roman" w:cs="Times New Roman"/>
          <w:sz w:val="24"/>
          <w:szCs w:val="24"/>
          <w:vertAlign w:val="subscript"/>
          <w:lang w:val="en-US" w:eastAsia="ru-RU"/>
        </w:rPr>
        <w:t>4</w:t>
      </w:r>
      <w:r w:rsidRPr="006215AC">
        <w:rPr>
          <w:rFonts w:ascii="Times New Roman" w:eastAsia="Times New Roman" w:hAnsi="Times New Roman" w:cs="Times New Roman"/>
          <w:sz w:val="24"/>
          <w:szCs w:val="24"/>
          <w:lang w:val="en-US" w:eastAsia="ru-RU"/>
        </w:rPr>
        <w:t xml:space="preserve">, after dissolution of albite (ab), forms the saprolite zone </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Kinetic functions and thermodynamics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The generalized kinetic equation for mineral dissolution or precipitation is written as the product of three functions: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where </w:t>
      </w:r>
      <w:proofErr w:type="spellStart"/>
      <w:r w:rsidRPr="006215AC">
        <w:rPr>
          <w:rFonts w:ascii="Times New Roman" w:eastAsia="Times New Roman" w:hAnsi="Times New Roman" w:cs="Times New Roman"/>
          <w:i/>
          <w:iCs/>
          <w:sz w:val="24"/>
          <w:szCs w:val="24"/>
          <w:lang w:val="en-US" w:eastAsia="ru-RU"/>
        </w:rPr>
        <w:t>j</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 xml:space="preserve"> is positive for mineral dissolution.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The function </w:t>
      </w:r>
      <w:r w:rsidRPr="006215AC">
        <w:rPr>
          <w:rFonts w:ascii="Times New Roman" w:eastAsia="Times New Roman" w:hAnsi="Times New Roman" w:cs="Times New Roman"/>
          <w:i/>
          <w:iCs/>
          <w:sz w:val="24"/>
          <w:szCs w:val="24"/>
          <w:lang w:val="en-US" w:eastAsia="ru-RU"/>
        </w:rPr>
        <w:t>f</w:t>
      </w:r>
      <w:r w:rsidRPr="006215AC">
        <w:rPr>
          <w:rFonts w:ascii="Times New Roman" w:eastAsia="Times New Roman" w:hAnsi="Times New Roman" w:cs="Times New Roman"/>
          <w:i/>
          <w:iCs/>
          <w:sz w:val="24"/>
          <w:szCs w:val="24"/>
          <w:vertAlign w:val="subscript"/>
          <w:lang w:val="en-US" w:eastAsia="ru-RU"/>
        </w:rPr>
        <w:t>j</w:t>
      </w:r>
      <w:r w:rsidRPr="006215AC">
        <w:rPr>
          <w:rFonts w:ascii="Times New Roman" w:eastAsia="Times New Roman" w:hAnsi="Times New Roman" w:cs="Times New Roman"/>
          <w:sz w:val="24"/>
          <w:szCs w:val="24"/>
          <w:lang w:val="en-US" w:eastAsia="ru-RU"/>
        </w:rPr>
        <w:t>(</w:t>
      </w:r>
      <w:proofErr w:type="spellStart"/>
      <w:r w:rsidRPr="006215AC">
        <w:rPr>
          <w:rFonts w:ascii="Times New Roman" w:eastAsia="Times New Roman" w:hAnsi="Times New Roman" w:cs="Times New Roman"/>
          <w:i/>
          <w:iCs/>
          <w:sz w:val="24"/>
          <w:szCs w:val="24"/>
          <w:lang w:val="en-US" w:eastAsia="ru-RU"/>
        </w:rPr>
        <w:t>s</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 xml:space="preserve">) describes the reaction rate dependence on the specific surface area </w:t>
      </w:r>
      <w:proofErr w:type="spellStart"/>
      <w:r w:rsidRPr="006215AC">
        <w:rPr>
          <w:rFonts w:ascii="Times New Roman" w:eastAsia="Times New Roman" w:hAnsi="Times New Roman" w:cs="Times New Roman"/>
          <w:i/>
          <w:iCs/>
          <w:sz w:val="24"/>
          <w:szCs w:val="24"/>
          <w:lang w:val="en-US" w:eastAsia="ru-RU"/>
        </w:rPr>
        <w:t>s</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 xml:space="preserve"> of given mineral j; for the model (1), (2), (3), (4), </w:t>
      </w:r>
      <w:r w:rsidRPr="006215AC">
        <w:rPr>
          <w:rFonts w:ascii="Times New Roman" w:eastAsia="Times New Roman" w:hAnsi="Times New Roman" w:cs="Times New Roman"/>
          <w:i/>
          <w:iCs/>
          <w:sz w:val="24"/>
          <w:szCs w:val="24"/>
          <w:lang w:val="en-US" w:eastAsia="ru-RU"/>
        </w:rPr>
        <w:t>j</w:t>
      </w:r>
      <w:r w:rsidRPr="006215AC">
        <w:rPr>
          <w:rFonts w:ascii="Times New Roman" w:eastAsia="Times New Roman" w:hAnsi="Times New Roman" w:cs="Times New Roman"/>
          <w:sz w:val="24"/>
          <w:szCs w:val="24"/>
          <w:lang w:val="en-US" w:eastAsia="ru-RU"/>
        </w:rPr>
        <w:t xml:space="preserve"> = ab,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w:t>
      </w:r>
      <w:proofErr w:type="spellStart"/>
      <w:r w:rsidRPr="006215AC">
        <w:rPr>
          <w:rFonts w:ascii="Times New Roman" w:eastAsia="Times New Roman" w:hAnsi="Times New Roman" w:cs="Times New Roman"/>
          <w:sz w:val="24"/>
          <w:szCs w:val="24"/>
          <w:lang w:val="en-US" w:eastAsia="ru-RU"/>
        </w:rPr>
        <w:t>kao</w:t>
      </w:r>
      <w:proofErr w:type="spellEnd"/>
      <w:r w:rsidRPr="006215AC">
        <w:rPr>
          <w:rFonts w:ascii="Times New Roman" w:eastAsia="Times New Roman" w:hAnsi="Times New Roman" w:cs="Times New Roman"/>
          <w:sz w:val="24"/>
          <w:szCs w:val="24"/>
          <w:lang w:val="en-US" w:eastAsia="ru-RU"/>
        </w:rPr>
        <w:t xml:space="preserve">, and </w:t>
      </w:r>
      <w:proofErr w:type="spellStart"/>
      <w:r w:rsidRPr="006215AC">
        <w:rPr>
          <w:rFonts w:ascii="Times New Roman" w:eastAsia="Times New Roman" w:hAnsi="Times New Roman" w:cs="Times New Roman"/>
          <w:sz w:val="24"/>
          <w:szCs w:val="24"/>
          <w:lang w:val="en-US" w:eastAsia="ru-RU"/>
        </w:rPr>
        <w:t>gth</w:t>
      </w:r>
      <w:proofErr w:type="spellEnd"/>
      <w:r w:rsidRPr="006215AC">
        <w:rPr>
          <w:rFonts w:ascii="Times New Roman" w:eastAsia="Times New Roman" w:hAnsi="Times New Roman" w:cs="Times New Roman"/>
          <w:sz w:val="24"/>
          <w:szCs w:val="24"/>
          <w:lang w:val="en-US" w:eastAsia="ru-RU"/>
        </w:rPr>
        <w:t xml:space="preserve">. It is assumed that </w:t>
      </w:r>
      <w:r w:rsidRPr="006215AC">
        <w:rPr>
          <w:rFonts w:ascii="Times New Roman" w:eastAsia="Times New Roman" w:hAnsi="Times New Roman" w:cs="Times New Roman"/>
          <w:i/>
          <w:iCs/>
          <w:sz w:val="24"/>
          <w:szCs w:val="24"/>
          <w:lang w:val="en-US" w:eastAsia="ru-RU"/>
        </w:rPr>
        <w:t>f</w:t>
      </w:r>
      <w:r w:rsidRPr="006215AC">
        <w:rPr>
          <w:rFonts w:ascii="Times New Roman" w:eastAsia="Times New Roman" w:hAnsi="Times New Roman" w:cs="Times New Roman"/>
          <w:i/>
          <w:iCs/>
          <w:sz w:val="24"/>
          <w:szCs w:val="24"/>
          <w:vertAlign w:val="subscript"/>
          <w:lang w:val="en-US" w:eastAsia="ru-RU"/>
        </w:rPr>
        <w:t>j</w:t>
      </w:r>
      <w:r w:rsidRPr="006215AC">
        <w:rPr>
          <w:rFonts w:ascii="Times New Roman" w:eastAsia="Times New Roman" w:hAnsi="Times New Roman" w:cs="Times New Roman"/>
          <w:sz w:val="24"/>
          <w:szCs w:val="24"/>
          <w:lang w:val="en-US" w:eastAsia="ru-RU"/>
        </w:rPr>
        <w:t>(</w:t>
      </w:r>
      <w:proofErr w:type="spellStart"/>
      <w:r w:rsidRPr="006215AC">
        <w:rPr>
          <w:rFonts w:ascii="Times New Roman" w:eastAsia="Times New Roman" w:hAnsi="Times New Roman" w:cs="Times New Roman"/>
          <w:i/>
          <w:iCs/>
          <w:sz w:val="24"/>
          <w:szCs w:val="24"/>
          <w:lang w:val="en-US" w:eastAsia="ru-RU"/>
        </w:rPr>
        <w:t>s</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 = </w:t>
      </w:r>
      <w:proofErr w:type="spellStart"/>
      <w:r w:rsidRPr="006215AC">
        <w:rPr>
          <w:rFonts w:ascii="Times New Roman" w:eastAsia="Times New Roman" w:hAnsi="Times New Roman" w:cs="Times New Roman"/>
          <w:i/>
          <w:iCs/>
          <w:sz w:val="24"/>
          <w:szCs w:val="24"/>
          <w:lang w:val="en-US" w:eastAsia="ru-RU"/>
        </w:rPr>
        <w:t>s</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 xml:space="preserve">. The value of </w:t>
      </w:r>
      <w:proofErr w:type="spellStart"/>
      <w:proofErr w:type="gramStart"/>
      <w:r w:rsidRPr="006215AC">
        <w:rPr>
          <w:rFonts w:ascii="Times New Roman" w:eastAsia="Times New Roman" w:hAnsi="Times New Roman" w:cs="Times New Roman"/>
          <w:i/>
          <w:iCs/>
          <w:sz w:val="24"/>
          <w:szCs w:val="24"/>
          <w:lang w:val="en-US" w:eastAsia="ru-RU"/>
        </w:rPr>
        <w:t>s</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w:t>
      </w:r>
      <w:proofErr w:type="gramEnd"/>
      <w:r w:rsidRPr="006215AC">
        <w:rPr>
          <w:rFonts w:ascii="Times New Roman" w:eastAsia="Times New Roman" w:hAnsi="Times New Roman" w:cs="Times New Roman"/>
          <w:i/>
          <w:iCs/>
          <w:sz w:val="24"/>
          <w:szCs w:val="24"/>
          <w:lang w:val="en-US" w:eastAsia="ru-RU"/>
        </w:rPr>
        <w:t>m</w:t>
      </w:r>
      <w:r w:rsidRPr="006215AC">
        <w:rPr>
          <w:rFonts w:ascii="Times New Roman" w:eastAsia="Times New Roman" w:hAnsi="Times New Roman" w:cs="Times New Roman"/>
          <w:sz w:val="24"/>
          <w:szCs w:val="24"/>
          <w:vertAlign w:val="superscript"/>
          <w:lang w:val="en-US" w:eastAsia="ru-RU"/>
        </w:rPr>
        <w:t>− 1</w:t>
      </w:r>
      <w:r w:rsidRPr="006215AC">
        <w:rPr>
          <w:rFonts w:ascii="Times New Roman" w:eastAsia="Times New Roman" w:hAnsi="Times New Roman" w:cs="Times New Roman"/>
          <w:sz w:val="24"/>
          <w:szCs w:val="24"/>
          <w:lang w:val="en-US" w:eastAsia="ru-RU"/>
        </w:rPr>
        <w:t>) is calculated as the geometric surface area:</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where </w:t>
      </w:r>
      <w:proofErr w:type="spellStart"/>
      <w:r w:rsidRPr="006215AC">
        <w:rPr>
          <w:rFonts w:ascii="Times New Roman" w:eastAsia="Times New Roman" w:hAnsi="Times New Roman" w:cs="Times New Roman"/>
          <w:i/>
          <w:iCs/>
          <w:sz w:val="24"/>
          <w:szCs w:val="24"/>
          <w:lang w:val="en-US" w:eastAsia="ru-RU"/>
        </w:rPr>
        <w:t>n</w:t>
      </w:r>
      <w:r w:rsidRPr="006215AC">
        <w:rPr>
          <w:rFonts w:ascii="Times New Roman" w:eastAsia="Times New Roman" w:hAnsi="Times New Roman" w:cs="Times New Roman"/>
          <w:i/>
          <w:iCs/>
          <w:sz w:val="24"/>
          <w:szCs w:val="24"/>
          <w:vertAlign w:val="subscript"/>
          <w:lang w:val="en-US" w:eastAsia="ru-RU"/>
        </w:rPr>
        <w:t>j</w:t>
      </w:r>
      <w:proofErr w:type="spellEnd"/>
      <w:r w:rsidRPr="006215AC">
        <w:rPr>
          <w:rFonts w:ascii="Times New Roman" w:eastAsia="Times New Roman" w:hAnsi="Times New Roman" w:cs="Times New Roman"/>
          <w:sz w:val="24"/>
          <w:szCs w:val="24"/>
          <w:lang w:val="en-US" w:eastAsia="ru-RU"/>
        </w:rPr>
        <w:t xml:space="preserve"> (m</w:t>
      </w:r>
      <w:r w:rsidRPr="006215AC">
        <w:rPr>
          <w:rFonts w:ascii="Times New Roman" w:eastAsia="Times New Roman" w:hAnsi="Times New Roman" w:cs="Times New Roman"/>
          <w:sz w:val="24"/>
          <w:szCs w:val="24"/>
          <w:vertAlign w:val="superscript"/>
          <w:lang w:val="en-US" w:eastAsia="ru-RU"/>
        </w:rPr>
        <w:t>− 3</w:t>
      </w:r>
      <w:r w:rsidRPr="006215AC">
        <w:rPr>
          <w:rFonts w:ascii="Times New Roman" w:eastAsia="Times New Roman" w:hAnsi="Times New Roman" w:cs="Times New Roman"/>
          <w:sz w:val="24"/>
          <w:szCs w:val="24"/>
          <w:lang w:val="en-US" w:eastAsia="ru-RU"/>
        </w:rPr>
        <w:t xml:space="preserve">) is the number </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Numerical results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The numerical solution of </w:t>
      </w:r>
      <w:proofErr w:type="spellStart"/>
      <w:r w:rsidRPr="006215AC">
        <w:rPr>
          <w:rFonts w:ascii="Times New Roman" w:eastAsia="Times New Roman" w:hAnsi="Times New Roman" w:cs="Times New Roman"/>
          <w:sz w:val="24"/>
          <w:szCs w:val="24"/>
          <w:lang w:val="en-US" w:eastAsia="ru-RU"/>
        </w:rPr>
        <w:t>Eqs</w:t>
      </w:r>
      <w:proofErr w:type="spellEnd"/>
      <w:r w:rsidRPr="006215AC">
        <w:rPr>
          <w:rFonts w:ascii="Times New Roman" w:eastAsia="Times New Roman" w:hAnsi="Times New Roman" w:cs="Times New Roman"/>
          <w:sz w:val="24"/>
          <w:szCs w:val="24"/>
          <w:lang w:val="en-US" w:eastAsia="ru-RU"/>
        </w:rPr>
        <w:t xml:space="preserve">. (9), (10), (11), (12), (13), (14), (16), (17), (18) shows that three zones, separated by the two sharp fronts </w:t>
      </w:r>
      <w:proofErr w:type="spellStart"/>
      <w:r w:rsidRPr="006215AC">
        <w:rPr>
          <w:rFonts w:ascii="Times New Roman" w:eastAsia="Times New Roman" w:hAnsi="Times New Roman" w:cs="Times New Roman"/>
          <w:sz w:val="24"/>
          <w:szCs w:val="24"/>
          <w:lang w:val="en-US" w:eastAsia="ru-RU"/>
        </w:rPr>
        <w:t>gth</w:t>
      </w:r>
      <w:proofErr w:type="spellEnd"/>
      <w:r w:rsidRPr="006215AC">
        <w:rPr>
          <w:rFonts w:ascii="Times New Roman" w:eastAsia="Times New Roman" w:hAnsi="Times New Roman" w:cs="Times New Roman"/>
          <w:sz w:val="24"/>
          <w:szCs w:val="24"/>
          <w:lang w:val="en-US" w:eastAsia="ru-RU"/>
        </w:rPr>
        <w:t>/</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and </w:t>
      </w:r>
      <w:proofErr w:type="spellStart"/>
      <w:r w:rsidRPr="006215AC">
        <w:rPr>
          <w:rFonts w:ascii="Times New Roman" w:eastAsia="Times New Roman" w:hAnsi="Times New Roman" w:cs="Times New Roman"/>
          <w:sz w:val="24"/>
          <w:szCs w:val="24"/>
          <w:lang w:val="en-US" w:eastAsia="ru-RU"/>
        </w:rPr>
        <w:t>kao</w:t>
      </w:r>
      <w:proofErr w:type="spellEnd"/>
      <w:r w:rsidRPr="006215AC">
        <w:rPr>
          <w:rFonts w:ascii="Times New Roman" w:eastAsia="Times New Roman" w:hAnsi="Times New Roman" w:cs="Times New Roman"/>
          <w:sz w:val="24"/>
          <w:szCs w:val="24"/>
          <w:lang w:val="en-US" w:eastAsia="ru-RU"/>
        </w:rPr>
        <w:t xml:space="preserve">/ab, develop (Fig. 3a): a zone where all Fe is present as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 a zone where goethite, albite, and kaolinite are all present, and a zone where goethite and kaolinite are present. In our simplified model for a weathering granite, these zones can be conceptualized as </w:t>
      </w:r>
      <w:proofErr w:type="spellStart"/>
      <w:r w:rsidRPr="006215AC">
        <w:rPr>
          <w:rFonts w:ascii="Times New Roman" w:eastAsia="Times New Roman" w:hAnsi="Times New Roman" w:cs="Times New Roman"/>
          <w:sz w:val="24"/>
          <w:szCs w:val="24"/>
          <w:lang w:val="en-US" w:eastAsia="ru-RU"/>
        </w:rPr>
        <w:t>unweathered</w:t>
      </w:r>
      <w:proofErr w:type="spellEnd"/>
      <w:r w:rsidRPr="006215AC">
        <w:rPr>
          <w:rFonts w:ascii="Times New Roman" w:eastAsia="Times New Roman" w:hAnsi="Times New Roman" w:cs="Times New Roman"/>
          <w:sz w:val="24"/>
          <w:szCs w:val="24"/>
          <w:lang w:val="en-US" w:eastAsia="ru-RU"/>
        </w:rPr>
        <w:t xml:space="preserve"> bedrock, partially weathered bedrock, and saprolite, respectively. </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Asymptotic analytical solutions for local equilibrium without erosion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Here we consider approximate solutions for the two and four-mineral models to understand the effect of parameters on the front velocity. It was shown previously (</w:t>
      </w:r>
      <w:proofErr w:type="spellStart"/>
      <w:r w:rsidRPr="006215AC">
        <w:rPr>
          <w:rFonts w:ascii="Times New Roman" w:eastAsia="Times New Roman" w:hAnsi="Times New Roman" w:cs="Times New Roman"/>
          <w:sz w:val="24"/>
          <w:szCs w:val="24"/>
          <w:lang w:val="en-US" w:eastAsia="ru-RU"/>
        </w:rPr>
        <w:t>Lichtner</w:t>
      </w:r>
      <w:proofErr w:type="spellEnd"/>
      <w:r w:rsidRPr="006215AC">
        <w:rPr>
          <w:rFonts w:ascii="Times New Roman" w:eastAsia="Times New Roman" w:hAnsi="Times New Roman" w:cs="Times New Roman"/>
          <w:sz w:val="24"/>
          <w:szCs w:val="24"/>
          <w:lang w:val="en-US" w:eastAsia="ru-RU"/>
        </w:rPr>
        <w:t xml:space="preserve">, 1993) that kinetic mineral alteration systems approach </w:t>
      </w:r>
      <w:proofErr w:type="spellStart"/>
      <w:r w:rsidRPr="006215AC">
        <w:rPr>
          <w:rFonts w:ascii="Times New Roman" w:eastAsia="Times New Roman" w:hAnsi="Times New Roman" w:cs="Times New Roman"/>
          <w:sz w:val="24"/>
          <w:szCs w:val="24"/>
          <w:lang w:val="en-US" w:eastAsia="ru-RU"/>
        </w:rPr>
        <w:t>Korzhinskii</w:t>
      </w:r>
      <w:proofErr w:type="spellEnd"/>
      <w:r w:rsidRPr="006215AC">
        <w:rPr>
          <w:rFonts w:ascii="Times New Roman" w:eastAsia="Times New Roman" w:hAnsi="Times New Roman" w:cs="Times New Roman"/>
          <w:sz w:val="24"/>
          <w:szCs w:val="24"/>
          <w:lang w:val="en-US" w:eastAsia="ru-RU"/>
        </w:rPr>
        <w:t xml:space="preserve"> local-equilibrium zoning with time. Consistent with this, our numerical simulations show that after a transient period of about 50ka, the mineral and aqueous species distributions are close to </w:t>
      </w:r>
      <w:proofErr w:type="spellStart"/>
      <w:r w:rsidRPr="006215AC">
        <w:rPr>
          <w:rFonts w:ascii="Times New Roman" w:eastAsia="Times New Roman" w:hAnsi="Times New Roman" w:cs="Times New Roman"/>
          <w:sz w:val="24"/>
          <w:szCs w:val="24"/>
          <w:lang w:val="en-US" w:eastAsia="ru-RU"/>
        </w:rPr>
        <w:t>Korzhinskii</w:t>
      </w:r>
      <w:proofErr w:type="spellEnd"/>
      <w:r w:rsidRPr="006215AC">
        <w:rPr>
          <w:rFonts w:ascii="Times New Roman" w:eastAsia="Times New Roman" w:hAnsi="Times New Roman" w:cs="Times New Roman"/>
          <w:sz w:val="24"/>
          <w:szCs w:val="24"/>
          <w:lang w:val="en-US" w:eastAsia="ru-RU"/>
        </w:rPr>
        <w:t xml:space="preserve"> local-equilibrium zoning. They also show that the</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Local equilibrium solution with effect of erosion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In previous sections, we have treated systems without erosion and without input from sediments or dust. For such systems, the thicknesses of the reduced-porosity zone (conceptualized here as a </w:t>
      </w:r>
      <w:proofErr w:type="spellStart"/>
      <w:r w:rsidRPr="006215AC">
        <w:rPr>
          <w:rFonts w:ascii="Times New Roman" w:eastAsia="Times New Roman" w:hAnsi="Times New Roman" w:cs="Times New Roman"/>
          <w:sz w:val="24"/>
          <w:szCs w:val="24"/>
          <w:lang w:val="en-US" w:eastAsia="ru-RU"/>
        </w:rPr>
        <w:t>rindlet</w:t>
      </w:r>
      <w:proofErr w:type="spellEnd"/>
      <w:r w:rsidRPr="006215AC">
        <w:rPr>
          <w:rFonts w:ascii="Times New Roman" w:eastAsia="Times New Roman" w:hAnsi="Times New Roman" w:cs="Times New Roman"/>
          <w:sz w:val="24"/>
          <w:szCs w:val="24"/>
          <w:lang w:val="en-US" w:eastAsia="ru-RU"/>
        </w:rPr>
        <w:t xml:space="preserve"> zone), </w:t>
      </w:r>
      <w:r w:rsidRPr="006215AC">
        <w:rPr>
          <w:rFonts w:ascii="Times New Roman" w:eastAsia="Times New Roman" w:hAnsi="Times New Roman" w:cs="Times New Roman"/>
          <w:i/>
          <w:iCs/>
          <w:sz w:val="24"/>
          <w:szCs w:val="24"/>
          <w:lang w:eastAsia="ru-RU"/>
        </w:rPr>
        <w:t>δ</w:t>
      </w:r>
      <w:r w:rsidRPr="006215AC">
        <w:rPr>
          <w:rFonts w:ascii="Times New Roman" w:eastAsia="Times New Roman" w:hAnsi="Times New Roman" w:cs="Times New Roman"/>
          <w:sz w:val="24"/>
          <w:szCs w:val="24"/>
          <w:vertAlign w:val="subscript"/>
          <w:lang w:val="en-US" w:eastAsia="ru-RU"/>
        </w:rPr>
        <w:t>2</w:t>
      </w:r>
      <w:r w:rsidRPr="006215AC">
        <w:rPr>
          <w:rFonts w:ascii="Times New Roman" w:eastAsia="Times New Roman" w:hAnsi="Times New Roman" w:cs="Times New Roman"/>
          <w:sz w:val="24"/>
          <w:szCs w:val="24"/>
          <w:lang w:val="en-US" w:eastAsia="ru-RU"/>
        </w:rPr>
        <w:t> = </w:t>
      </w:r>
      <w:proofErr w:type="spellStart"/>
      <w:r w:rsidRPr="006215AC">
        <w:rPr>
          <w:rFonts w:ascii="Times New Roman" w:eastAsia="Times New Roman" w:hAnsi="Times New Roman" w:cs="Times New Roman"/>
          <w:i/>
          <w:iCs/>
          <w:sz w:val="24"/>
          <w:szCs w:val="24"/>
          <w:lang w:val="en-US" w:eastAsia="ru-RU"/>
        </w:rPr>
        <w:t>L</w:t>
      </w:r>
      <w:r w:rsidRPr="006215AC">
        <w:rPr>
          <w:rFonts w:ascii="Times New Roman" w:eastAsia="Times New Roman" w:hAnsi="Times New Roman" w:cs="Times New Roman"/>
          <w:sz w:val="24"/>
          <w:szCs w:val="24"/>
          <w:vertAlign w:val="subscript"/>
          <w:lang w:val="en-US" w:eastAsia="ru-RU"/>
        </w:rPr>
        <w:t>gth</w:t>
      </w:r>
      <w:proofErr w:type="spellEnd"/>
      <w:r w:rsidRPr="006215AC">
        <w:rPr>
          <w:rFonts w:ascii="Times New Roman" w:eastAsia="Times New Roman" w:hAnsi="Times New Roman" w:cs="Times New Roman"/>
          <w:sz w:val="24"/>
          <w:szCs w:val="24"/>
          <w:lang w:val="en-US" w:eastAsia="ru-RU"/>
        </w:rPr>
        <w:t xml:space="preserve"> – </w:t>
      </w:r>
      <w:proofErr w:type="spellStart"/>
      <w:r w:rsidRPr="006215AC">
        <w:rPr>
          <w:rFonts w:ascii="Times New Roman" w:eastAsia="Times New Roman" w:hAnsi="Times New Roman" w:cs="Times New Roman"/>
          <w:i/>
          <w:iCs/>
          <w:sz w:val="24"/>
          <w:szCs w:val="24"/>
          <w:lang w:val="en-US" w:eastAsia="ru-RU"/>
        </w:rPr>
        <w:t>L</w:t>
      </w:r>
      <w:r w:rsidRPr="006215AC">
        <w:rPr>
          <w:rFonts w:ascii="Times New Roman" w:eastAsia="Times New Roman" w:hAnsi="Times New Roman" w:cs="Times New Roman"/>
          <w:sz w:val="24"/>
          <w:szCs w:val="24"/>
          <w:vertAlign w:val="subscript"/>
          <w:lang w:val="en-US" w:eastAsia="ru-RU"/>
        </w:rPr>
        <w:t>kao</w:t>
      </w:r>
      <w:proofErr w:type="spellEnd"/>
      <w:r w:rsidRPr="006215AC">
        <w:rPr>
          <w:rFonts w:ascii="Times New Roman" w:eastAsia="Times New Roman" w:hAnsi="Times New Roman" w:cs="Times New Roman"/>
          <w:sz w:val="24"/>
          <w:szCs w:val="24"/>
          <w:lang w:val="en-US" w:eastAsia="ru-RU"/>
        </w:rPr>
        <w:t xml:space="preserve">, and saprolite zone, </w:t>
      </w:r>
      <w:r w:rsidRPr="006215AC">
        <w:rPr>
          <w:rFonts w:ascii="Times New Roman" w:eastAsia="Times New Roman" w:hAnsi="Times New Roman" w:cs="Times New Roman"/>
          <w:i/>
          <w:iCs/>
          <w:sz w:val="24"/>
          <w:szCs w:val="24"/>
          <w:lang w:eastAsia="ru-RU"/>
        </w:rPr>
        <w:t>δ</w:t>
      </w:r>
      <w:r w:rsidRPr="006215AC">
        <w:rPr>
          <w:rFonts w:ascii="Times New Roman" w:eastAsia="Times New Roman" w:hAnsi="Times New Roman" w:cs="Times New Roman"/>
          <w:sz w:val="24"/>
          <w:szCs w:val="24"/>
          <w:vertAlign w:val="subscript"/>
          <w:lang w:val="en-US" w:eastAsia="ru-RU"/>
        </w:rPr>
        <w:t>1</w:t>
      </w:r>
      <w:r w:rsidRPr="006215AC">
        <w:rPr>
          <w:rFonts w:ascii="Times New Roman" w:eastAsia="Times New Roman" w:hAnsi="Times New Roman" w:cs="Times New Roman"/>
          <w:sz w:val="24"/>
          <w:szCs w:val="24"/>
          <w:lang w:val="en-US" w:eastAsia="ru-RU"/>
        </w:rPr>
        <w:t> = </w:t>
      </w:r>
      <w:proofErr w:type="spellStart"/>
      <w:r w:rsidRPr="006215AC">
        <w:rPr>
          <w:rFonts w:ascii="Times New Roman" w:eastAsia="Times New Roman" w:hAnsi="Times New Roman" w:cs="Times New Roman"/>
          <w:i/>
          <w:iCs/>
          <w:sz w:val="24"/>
          <w:szCs w:val="24"/>
          <w:lang w:val="en-US" w:eastAsia="ru-RU"/>
        </w:rPr>
        <w:t>L</w:t>
      </w:r>
      <w:r w:rsidRPr="006215AC">
        <w:rPr>
          <w:rFonts w:ascii="Times New Roman" w:eastAsia="Times New Roman" w:hAnsi="Times New Roman" w:cs="Times New Roman"/>
          <w:sz w:val="24"/>
          <w:szCs w:val="24"/>
          <w:vertAlign w:val="subscript"/>
          <w:lang w:val="en-US" w:eastAsia="ru-RU"/>
        </w:rPr>
        <w:t>kao</w:t>
      </w:r>
      <w:proofErr w:type="spellEnd"/>
      <w:r w:rsidRPr="006215AC">
        <w:rPr>
          <w:rFonts w:ascii="Times New Roman" w:eastAsia="Times New Roman" w:hAnsi="Times New Roman" w:cs="Times New Roman"/>
          <w:sz w:val="24"/>
          <w:szCs w:val="24"/>
          <w:lang w:val="en-US" w:eastAsia="ru-RU"/>
        </w:rPr>
        <w:t xml:space="preserve">, increase with time, and flux decreases </w:t>
      </w:r>
      <w:r w:rsidRPr="006215AC">
        <w:rPr>
          <w:rFonts w:ascii="Times New Roman" w:eastAsia="Times New Roman" w:hAnsi="Times New Roman" w:cs="Times New Roman"/>
          <w:sz w:val="24"/>
          <w:szCs w:val="24"/>
          <w:lang w:val="en-US" w:eastAsia="ru-RU"/>
        </w:rPr>
        <w:lastRenderedPageBreak/>
        <w:t xml:space="preserve">with time according to </w:t>
      </w:r>
      <w:proofErr w:type="spellStart"/>
      <w:r w:rsidRPr="006215AC">
        <w:rPr>
          <w:rFonts w:ascii="Times New Roman" w:eastAsia="Times New Roman" w:hAnsi="Times New Roman" w:cs="Times New Roman"/>
          <w:sz w:val="24"/>
          <w:szCs w:val="24"/>
          <w:lang w:val="en-US" w:eastAsia="ru-RU"/>
        </w:rPr>
        <w:t>Eqs</w:t>
      </w:r>
      <w:proofErr w:type="spellEnd"/>
      <w:r w:rsidRPr="006215AC">
        <w:rPr>
          <w:rFonts w:ascii="Times New Roman" w:eastAsia="Times New Roman" w:hAnsi="Times New Roman" w:cs="Times New Roman"/>
          <w:sz w:val="24"/>
          <w:szCs w:val="24"/>
          <w:lang w:val="en-US" w:eastAsia="ru-RU"/>
        </w:rPr>
        <w:t>. (29), (30), (31), (32). For the condition that the weathering advance rate equals a non-zero erosion rate, these thicknesses will remain constant in time.</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The local equilibrium</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Kinetic solution for the two-mineral model with effect of erosion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As shown in the previous section, for the case of </w:t>
      </w:r>
      <w:proofErr w:type="spellStart"/>
      <w:r w:rsidRPr="006215AC">
        <w:rPr>
          <w:rFonts w:ascii="Times New Roman" w:eastAsia="Times New Roman" w:hAnsi="Times New Roman" w:cs="Times New Roman"/>
          <w:sz w:val="24"/>
          <w:szCs w:val="24"/>
          <w:lang w:val="en-US" w:eastAsia="ru-RU"/>
        </w:rPr>
        <w:t>Korzhinskii</w:t>
      </w:r>
      <w:proofErr w:type="spellEnd"/>
      <w:r w:rsidRPr="006215AC">
        <w:rPr>
          <w:rFonts w:ascii="Times New Roman" w:eastAsia="Times New Roman" w:hAnsi="Times New Roman" w:cs="Times New Roman"/>
          <w:sz w:val="24"/>
          <w:szCs w:val="24"/>
          <w:lang w:val="en-US" w:eastAsia="ru-RU"/>
        </w:rPr>
        <w:t xml:space="preserve"> diffusion zoning, the effect of erosion on the evolution of the saprolite and reduced-porosity zones can be quantified; however, this local equilibrium is attained only when the reaction residence time is sufficiently large and the erosion rate is sufficiently small. This case is characterized by thin reaction fronts separating mineral zones predicted from equilibrium considerations. In the other limiting case of a fully kinetic</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6215AC">
        <w:rPr>
          <w:rFonts w:ascii="Times New Roman" w:eastAsia="Times New Roman" w:hAnsi="Times New Roman" w:cs="Times New Roman"/>
          <w:b/>
          <w:bCs/>
          <w:sz w:val="36"/>
          <w:szCs w:val="36"/>
          <w:lang w:val="en-US" w:eastAsia="ru-RU"/>
        </w:rPr>
        <w:t>Transition solution for the two-mineral model with effect of erosion</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When the extent of reaction at the left boundary attains the limiting value </w:t>
      </w:r>
      <w:r w:rsidRPr="006215AC">
        <w:rPr>
          <w:rFonts w:ascii="Times New Roman" w:eastAsia="Times New Roman" w:hAnsi="Times New Roman" w:cs="Times New Roman"/>
          <w:i/>
          <w:iCs/>
          <w:sz w:val="24"/>
          <w:szCs w:val="24"/>
          <w:lang w:eastAsia="ru-RU"/>
        </w:rPr>
        <w:t>η</w:t>
      </w:r>
      <w:r w:rsidRPr="006215AC">
        <w:rPr>
          <w:rFonts w:ascii="Times New Roman" w:eastAsia="Times New Roman" w:hAnsi="Times New Roman" w:cs="Times New Roman"/>
          <w:sz w:val="24"/>
          <w:szCs w:val="24"/>
          <w:vertAlign w:val="subscript"/>
          <w:lang w:val="en-US" w:eastAsia="ru-RU"/>
        </w:rPr>
        <w:t>0</w:t>
      </w:r>
      <w:r w:rsidRPr="006215AC">
        <w:rPr>
          <w:rFonts w:ascii="Times New Roman" w:eastAsia="Times New Roman" w:hAnsi="Times New Roman" w:cs="Times New Roman"/>
          <w:sz w:val="24"/>
          <w:szCs w:val="24"/>
          <w:lang w:val="en-US" w:eastAsia="ru-RU"/>
        </w:rPr>
        <w:t xml:space="preserve"> = 1, a new zone with constant value </w:t>
      </w:r>
      <w:r w:rsidRPr="006215AC">
        <w:rPr>
          <w:rFonts w:ascii="Times New Roman" w:eastAsia="Times New Roman" w:hAnsi="Times New Roman" w:cs="Times New Roman"/>
          <w:i/>
          <w:iCs/>
          <w:sz w:val="24"/>
          <w:szCs w:val="24"/>
          <w:lang w:eastAsia="ru-RU"/>
        </w:rPr>
        <w:t>η</w:t>
      </w:r>
      <w:r w:rsidRPr="006215AC">
        <w:rPr>
          <w:rFonts w:ascii="Times New Roman" w:eastAsia="Times New Roman" w:hAnsi="Times New Roman" w:cs="Times New Roman"/>
          <w:sz w:val="24"/>
          <w:szCs w:val="24"/>
          <w:lang w:val="en-US" w:eastAsia="ru-RU"/>
        </w:rPr>
        <w:t> = 1 starts to form. We define a transition solution as a stationary solution of (7), (9) within the reduced-porosity zone 0 ≤ </w:t>
      </w:r>
      <w:r w:rsidRPr="006215AC">
        <w:rPr>
          <w:rFonts w:ascii="Times New Roman" w:eastAsia="Times New Roman" w:hAnsi="Times New Roman" w:cs="Times New Roman"/>
          <w:i/>
          <w:iCs/>
          <w:sz w:val="24"/>
          <w:szCs w:val="24"/>
          <w:lang w:eastAsia="ru-RU"/>
        </w:rPr>
        <w:t>ξ</w:t>
      </w:r>
      <w:r w:rsidRPr="006215AC">
        <w:rPr>
          <w:rFonts w:ascii="Times New Roman" w:eastAsia="Times New Roman" w:hAnsi="Times New Roman" w:cs="Times New Roman"/>
          <w:sz w:val="24"/>
          <w:szCs w:val="24"/>
          <w:vertAlign w:val="subscript"/>
          <w:lang w:val="en-US" w:eastAsia="ru-RU"/>
        </w:rPr>
        <w:t>1</w:t>
      </w:r>
      <w:r w:rsidRPr="006215AC">
        <w:rPr>
          <w:rFonts w:ascii="Times New Roman" w:eastAsia="Times New Roman" w:hAnsi="Times New Roman" w:cs="Times New Roman"/>
          <w:sz w:val="24"/>
          <w:szCs w:val="24"/>
          <w:lang w:val="en-US" w:eastAsia="ru-RU"/>
        </w:rPr>
        <w:t> ≤ 1 subject to additional conditions:</w:t>
      </w:r>
    </w:p>
    <w:p w:rsidR="006215AC" w:rsidRPr="006215AC" w:rsidRDefault="006215AC" w:rsidP="006215AC">
      <w:pPr>
        <w:spacing w:after="0" w:line="240" w:lineRule="auto"/>
        <w:rPr>
          <w:rFonts w:ascii="Times New Roman" w:eastAsia="Times New Roman" w:hAnsi="Times New Roman" w:cs="Times New Roman"/>
          <w:sz w:val="24"/>
          <w:szCs w:val="24"/>
          <w:lang w:val="en-US" w:eastAsia="ru-RU"/>
        </w:rPr>
      </w:pPr>
      <w:r w:rsidRPr="006215AC">
        <w:rPr>
          <w:rFonts w:ascii="Times New Roman" w:eastAsia="Times New Roman" w:hAnsi="Times New Roman" w:cs="Times New Roman"/>
          <w:sz w:val="24"/>
          <w:szCs w:val="24"/>
          <w:lang w:val="en-US" w:eastAsia="ru-RU"/>
        </w:rPr>
        <w:t xml:space="preserve">It follows from (46) that when </w:t>
      </w:r>
      <w:r w:rsidRPr="006215AC">
        <w:rPr>
          <w:rFonts w:ascii="Times New Roman" w:eastAsia="Times New Roman" w:hAnsi="Times New Roman" w:cs="Times New Roman"/>
          <w:i/>
          <w:iCs/>
          <w:sz w:val="24"/>
          <w:szCs w:val="24"/>
          <w:lang w:eastAsia="ru-RU"/>
        </w:rPr>
        <w:t>ξ</w:t>
      </w:r>
      <w:r w:rsidRPr="006215AC">
        <w:rPr>
          <w:rFonts w:ascii="Times New Roman" w:eastAsia="Times New Roman" w:hAnsi="Times New Roman" w:cs="Times New Roman"/>
          <w:i/>
          <w:iCs/>
          <w:sz w:val="24"/>
          <w:szCs w:val="24"/>
          <w:vertAlign w:val="subscript"/>
          <w:lang w:val="en-US" w:eastAsia="ru-RU"/>
        </w:rPr>
        <w:t>f</w:t>
      </w:r>
      <w:r w:rsidRPr="006215AC">
        <w:rPr>
          <w:rFonts w:ascii="Times New Roman" w:eastAsia="Times New Roman" w:hAnsi="Times New Roman" w:cs="Times New Roman"/>
          <w:sz w:val="24"/>
          <w:szCs w:val="24"/>
          <w:lang w:val="en-US" w:eastAsia="ru-RU"/>
        </w:rPr>
        <w:t xml:space="preserve"> → 1 and </w:t>
      </w:r>
      <w:proofErr w:type="spellStart"/>
      <w:r w:rsidRPr="006215AC">
        <w:rPr>
          <w:rFonts w:ascii="Times New Roman" w:eastAsia="Times New Roman" w:hAnsi="Times New Roman" w:cs="Times New Roman"/>
          <w:i/>
          <w:iCs/>
          <w:sz w:val="24"/>
          <w:szCs w:val="24"/>
          <w:lang w:val="en-US" w:eastAsia="ru-RU"/>
        </w:rPr>
        <w:t>y</w:t>
      </w:r>
      <w:r w:rsidRPr="006215AC">
        <w:rPr>
          <w:rFonts w:ascii="Times New Roman" w:eastAsia="Times New Roman" w:hAnsi="Times New Roman" w:cs="Times New Roman"/>
          <w:i/>
          <w:iCs/>
          <w:sz w:val="24"/>
          <w:szCs w:val="24"/>
          <w:vertAlign w:val="subscript"/>
          <w:lang w:val="en-US" w:eastAsia="ru-RU"/>
        </w:rPr>
        <w:t>f</w:t>
      </w:r>
      <w:proofErr w:type="spellEnd"/>
      <w:r w:rsidRPr="006215AC">
        <w:rPr>
          <w:rFonts w:ascii="Times New Roman" w:eastAsia="Times New Roman" w:hAnsi="Times New Roman" w:cs="Times New Roman"/>
          <w:sz w:val="24"/>
          <w:szCs w:val="24"/>
          <w:lang w:val="en-US" w:eastAsia="ru-RU"/>
        </w:rPr>
        <w:t> → </w:t>
      </w:r>
      <w:proofErr w:type="spellStart"/>
      <w:r w:rsidRPr="006215AC">
        <w:rPr>
          <w:rFonts w:ascii="Times New Roman" w:eastAsia="Times New Roman" w:hAnsi="Times New Roman" w:cs="Times New Roman"/>
          <w:i/>
          <w:iCs/>
          <w:sz w:val="24"/>
          <w:szCs w:val="24"/>
          <w:lang w:val="en-US" w:eastAsia="ru-RU"/>
        </w:rPr>
        <w:t>y</w:t>
      </w:r>
      <w:r w:rsidRPr="006215AC">
        <w:rPr>
          <w:rFonts w:ascii="Times New Roman" w:eastAsia="Times New Roman" w:hAnsi="Times New Roman" w:cs="Times New Roman"/>
          <w:i/>
          <w:iCs/>
          <w:sz w:val="24"/>
          <w:szCs w:val="24"/>
          <w:vertAlign w:val="subscript"/>
          <w:lang w:val="en-US" w:eastAsia="ru-RU"/>
        </w:rPr>
        <w:t>N</w:t>
      </w:r>
      <w:proofErr w:type="spellEnd"/>
      <w:r w:rsidRPr="006215AC">
        <w:rPr>
          <w:rFonts w:ascii="Times New Roman" w:eastAsia="Times New Roman" w:hAnsi="Times New Roman" w:cs="Times New Roman"/>
          <w:sz w:val="24"/>
          <w:szCs w:val="24"/>
          <w:lang w:val="en-US" w:eastAsia="ru-RU"/>
        </w:rPr>
        <w:t xml:space="preserve"> the transition solution tends to the local equilibrium solution, with </w:t>
      </w:r>
      <w:r w:rsidRPr="006215AC">
        <w:rPr>
          <w:rFonts w:ascii="Times New Roman" w:eastAsia="Times New Roman" w:hAnsi="Times New Roman" w:cs="Times New Roman"/>
          <w:i/>
          <w:iCs/>
          <w:sz w:val="24"/>
          <w:szCs w:val="24"/>
          <w:lang w:eastAsia="ru-RU"/>
        </w:rPr>
        <w:t>η</w:t>
      </w:r>
      <w:r w:rsidRPr="006215AC">
        <w:rPr>
          <w:rFonts w:ascii="Times New Roman" w:eastAsia="Times New Roman" w:hAnsi="Times New Roman" w:cs="Times New Roman"/>
          <w:sz w:val="24"/>
          <w:szCs w:val="24"/>
          <w:lang w:val="en-US" w:eastAsia="ru-RU"/>
        </w:rPr>
        <w:t> = 1 inside the whole reduced-porosity zone 0 ≤ </w:t>
      </w:r>
      <w:r w:rsidRPr="006215AC">
        <w:rPr>
          <w:rFonts w:ascii="Times New Roman" w:eastAsia="Times New Roman" w:hAnsi="Times New Roman" w:cs="Times New Roman"/>
          <w:i/>
          <w:iCs/>
          <w:sz w:val="24"/>
          <w:szCs w:val="24"/>
          <w:lang w:eastAsia="ru-RU"/>
        </w:rPr>
        <w:t>ξ</w:t>
      </w:r>
      <w:r w:rsidRPr="006215AC">
        <w:rPr>
          <w:rFonts w:ascii="Times New Roman" w:eastAsia="Times New Roman" w:hAnsi="Times New Roman" w:cs="Times New Roman"/>
          <w:sz w:val="24"/>
          <w:szCs w:val="24"/>
          <w:vertAlign w:val="subscript"/>
          <w:lang w:val="en-US" w:eastAsia="ru-RU"/>
        </w:rPr>
        <w:t>1</w:t>
      </w:r>
      <w:r w:rsidRPr="006215AC">
        <w:rPr>
          <w:rFonts w:ascii="Times New Roman" w:eastAsia="Times New Roman" w:hAnsi="Times New Roman" w:cs="Times New Roman"/>
          <w:sz w:val="24"/>
          <w:szCs w:val="24"/>
          <w:lang w:val="en-US" w:eastAsia="ru-RU"/>
        </w:rPr>
        <w:t> &lt; 1; it tends to the kinetic</w:t>
      </w:r>
    </w:p>
    <w:p w:rsidR="006215AC" w:rsidRPr="006215AC" w:rsidRDefault="006215AC" w:rsidP="006215AC">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proofErr w:type="spellStart"/>
      <w:r w:rsidRPr="006215AC">
        <w:rPr>
          <w:rFonts w:ascii="Times New Roman" w:eastAsia="Times New Roman" w:hAnsi="Times New Roman" w:cs="Times New Roman"/>
          <w:b/>
          <w:bCs/>
          <w:sz w:val="36"/>
          <w:szCs w:val="36"/>
          <w:lang w:eastAsia="ru-RU"/>
        </w:rPr>
        <w:t>Summary</w:t>
      </w:r>
      <w:proofErr w:type="spellEnd"/>
      <w:r w:rsidRPr="006215AC">
        <w:rPr>
          <w:rFonts w:ascii="Times New Roman" w:eastAsia="Times New Roman" w:hAnsi="Times New Roman" w:cs="Times New Roman"/>
          <w:b/>
          <w:bCs/>
          <w:sz w:val="36"/>
          <w:szCs w:val="36"/>
          <w:lang w:eastAsia="ru-RU"/>
        </w:rPr>
        <w:t xml:space="preserve"> </w:t>
      </w:r>
      <w:proofErr w:type="spellStart"/>
      <w:r w:rsidRPr="006215AC">
        <w:rPr>
          <w:rFonts w:ascii="Times New Roman" w:eastAsia="Times New Roman" w:hAnsi="Times New Roman" w:cs="Times New Roman"/>
          <w:b/>
          <w:bCs/>
          <w:sz w:val="36"/>
          <w:szCs w:val="36"/>
          <w:lang w:eastAsia="ru-RU"/>
        </w:rPr>
        <w:t>and</w:t>
      </w:r>
      <w:proofErr w:type="spellEnd"/>
      <w:r w:rsidRPr="006215AC">
        <w:rPr>
          <w:rFonts w:ascii="Times New Roman" w:eastAsia="Times New Roman" w:hAnsi="Times New Roman" w:cs="Times New Roman"/>
          <w:b/>
          <w:bCs/>
          <w:sz w:val="36"/>
          <w:szCs w:val="36"/>
          <w:lang w:eastAsia="ru-RU"/>
        </w:rPr>
        <w:t xml:space="preserve"> </w:t>
      </w:r>
      <w:proofErr w:type="spellStart"/>
      <w:r w:rsidRPr="006215AC">
        <w:rPr>
          <w:rFonts w:ascii="Times New Roman" w:eastAsia="Times New Roman" w:hAnsi="Times New Roman" w:cs="Times New Roman"/>
          <w:b/>
          <w:bCs/>
          <w:sz w:val="36"/>
          <w:szCs w:val="36"/>
          <w:lang w:eastAsia="ru-RU"/>
        </w:rPr>
        <w:t>conclusions</w:t>
      </w:r>
      <w:proofErr w:type="spellEnd"/>
    </w:p>
    <w:p w:rsidR="006215AC" w:rsidRPr="006215AC" w:rsidRDefault="006215AC" w:rsidP="006215AC">
      <w:pPr>
        <w:numPr>
          <w:ilvl w:val="0"/>
          <w:numId w:val="1"/>
        </w:numPr>
        <w:spacing w:before="100" w:beforeAutospacing="1" w:after="100" w:afterAutospacing="1" w:line="240" w:lineRule="auto"/>
        <w:rPr>
          <w:rFonts w:ascii="Times New Roman" w:eastAsia="Times New Roman" w:hAnsi="Times New Roman" w:cs="Times New Roman"/>
          <w:sz w:val="24"/>
          <w:szCs w:val="24"/>
          <w:lang w:eastAsia="ru-RU"/>
        </w:rPr>
      </w:pPr>
      <w:r w:rsidRPr="006215AC">
        <w:rPr>
          <w:rFonts w:ascii="Times New Roman" w:eastAsia="Times New Roman" w:hAnsi="Times New Roman" w:cs="Times New Roman"/>
          <w:sz w:val="24"/>
          <w:szCs w:val="24"/>
          <w:lang w:eastAsia="ru-RU"/>
        </w:rPr>
        <w:t>1.</w:t>
      </w:r>
    </w:p>
    <w:p w:rsidR="006215AC" w:rsidRPr="006215AC" w:rsidRDefault="006215AC" w:rsidP="006215AC">
      <w:pPr>
        <w:spacing w:before="100" w:beforeAutospacing="1" w:after="100" w:afterAutospacing="1" w:line="240" w:lineRule="auto"/>
        <w:ind w:left="720"/>
        <w:rPr>
          <w:rFonts w:ascii="Times New Roman" w:eastAsia="Times New Roman" w:hAnsi="Times New Roman" w:cs="Times New Roman"/>
          <w:sz w:val="24"/>
          <w:szCs w:val="24"/>
          <w:lang w:eastAsia="ru-RU"/>
        </w:rPr>
      </w:pPr>
      <w:r w:rsidRPr="006215AC">
        <w:rPr>
          <w:rFonts w:ascii="Times New Roman" w:eastAsia="Times New Roman" w:hAnsi="Times New Roman" w:cs="Times New Roman"/>
          <w:sz w:val="24"/>
          <w:szCs w:val="24"/>
          <w:lang w:val="en-US" w:eastAsia="ru-RU"/>
        </w:rPr>
        <w:t xml:space="preserve">To understand weathering processes, we propose that simplified mineralogical systems must be modeled in order to predict geochemical controls on variables such as regolith thickness or fracture spacing. Along this vein, we have developed a chemical formulation for the weathering of a model “granite” consisting of an </w:t>
      </w:r>
      <w:proofErr w:type="spellStart"/>
      <w:r w:rsidRPr="006215AC">
        <w:rPr>
          <w:rFonts w:ascii="Times New Roman" w:eastAsia="Times New Roman" w:hAnsi="Times New Roman" w:cs="Times New Roman"/>
          <w:sz w:val="24"/>
          <w:szCs w:val="24"/>
          <w:lang w:val="en-US" w:eastAsia="ru-RU"/>
        </w:rPr>
        <w:t>FeO</w:t>
      </w:r>
      <w:proofErr w:type="spellEnd"/>
      <w:r w:rsidRPr="006215AC">
        <w:rPr>
          <w:rFonts w:ascii="Times New Roman" w:eastAsia="Times New Roman" w:hAnsi="Times New Roman" w:cs="Times New Roman"/>
          <w:sz w:val="24"/>
          <w:szCs w:val="24"/>
          <w:lang w:val="en-US" w:eastAsia="ru-RU"/>
        </w:rPr>
        <w:t xml:space="preserve">-bearing phase weathering to goethite, albite weathering to kaolinite, and non-reactive quartz. </w:t>
      </w:r>
      <w:proofErr w:type="spellStart"/>
      <w:r w:rsidRPr="006215AC">
        <w:rPr>
          <w:rFonts w:ascii="Times New Roman" w:eastAsia="Times New Roman" w:hAnsi="Times New Roman" w:cs="Times New Roman"/>
          <w:sz w:val="24"/>
          <w:szCs w:val="24"/>
          <w:lang w:eastAsia="ru-RU"/>
        </w:rPr>
        <w:t>Conceptually</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oxidation</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of</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FeO</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represents</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the</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initial</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reaction</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that</w:t>
      </w:r>
      <w:proofErr w:type="spellEnd"/>
      <w:r w:rsidRPr="006215AC">
        <w:rPr>
          <w:rFonts w:ascii="Times New Roman" w:eastAsia="Times New Roman" w:hAnsi="Times New Roman" w:cs="Times New Roman"/>
          <w:sz w:val="24"/>
          <w:szCs w:val="24"/>
          <w:lang w:eastAsia="ru-RU"/>
        </w:rPr>
        <w:t xml:space="preserve"> </w:t>
      </w:r>
      <w:proofErr w:type="spellStart"/>
      <w:r w:rsidRPr="006215AC">
        <w:rPr>
          <w:rFonts w:ascii="Times New Roman" w:eastAsia="Times New Roman" w:hAnsi="Times New Roman" w:cs="Times New Roman"/>
          <w:sz w:val="24"/>
          <w:szCs w:val="24"/>
          <w:lang w:eastAsia="ru-RU"/>
        </w:rPr>
        <w:t>causes</w:t>
      </w:r>
      <w:proofErr w:type="spellEnd"/>
    </w:p>
    <w:p w:rsidR="00F4263B" w:rsidRDefault="00F4263B"/>
    <w:sectPr w:rsidR="00F426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DBE61C3"/>
    <w:multiLevelType w:val="multilevel"/>
    <w:tmpl w:val="68505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5AC"/>
    <w:rsid w:val="006215AC"/>
    <w:rsid w:val="00F426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89B57"/>
  <w15:chartTrackingRefBased/>
  <w15:docId w15:val="{B06D0EC2-FDF6-4426-A0E4-D097992B4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71141563">
      <w:bodyDiv w:val="1"/>
      <w:marLeft w:val="0"/>
      <w:marRight w:val="0"/>
      <w:marTop w:val="0"/>
      <w:marBottom w:val="0"/>
      <w:divBdr>
        <w:top w:val="none" w:sz="0" w:space="0" w:color="auto"/>
        <w:left w:val="none" w:sz="0" w:space="0" w:color="auto"/>
        <w:bottom w:val="none" w:sz="0" w:space="0" w:color="auto"/>
        <w:right w:val="none" w:sz="0" w:space="0" w:color="auto"/>
      </w:divBdr>
      <w:divsChild>
        <w:div w:id="1375816215">
          <w:marLeft w:val="0"/>
          <w:marRight w:val="0"/>
          <w:marTop w:val="0"/>
          <w:marBottom w:val="0"/>
          <w:divBdr>
            <w:top w:val="none" w:sz="0" w:space="0" w:color="auto"/>
            <w:left w:val="none" w:sz="0" w:space="0" w:color="auto"/>
            <w:bottom w:val="none" w:sz="0" w:space="0" w:color="auto"/>
            <w:right w:val="none" w:sz="0" w:space="0" w:color="auto"/>
          </w:divBdr>
          <w:divsChild>
            <w:div w:id="525096651">
              <w:marLeft w:val="0"/>
              <w:marRight w:val="0"/>
              <w:marTop w:val="0"/>
              <w:marBottom w:val="0"/>
              <w:divBdr>
                <w:top w:val="none" w:sz="0" w:space="0" w:color="auto"/>
                <w:left w:val="none" w:sz="0" w:space="0" w:color="auto"/>
                <w:bottom w:val="none" w:sz="0" w:space="0" w:color="auto"/>
                <w:right w:val="none" w:sz="0" w:space="0" w:color="auto"/>
              </w:divBdr>
              <w:divsChild>
                <w:div w:id="702362338">
                  <w:marLeft w:val="0"/>
                  <w:marRight w:val="0"/>
                  <w:marTop w:val="0"/>
                  <w:marBottom w:val="0"/>
                  <w:divBdr>
                    <w:top w:val="none" w:sz="0" w:space="0" w:color="auto"/>
                    <w:left w:val="none" w:sz="0" w:space="0" w:color="auto"/>
                    <w:bottom w:val="none" w:sz="0" w:space="0" w:color="auto"/>
                    <w:right w:val="none" w:sz="0" w:space="0" w:color="auto"/>
                  </w:divBdr>
                  <w:divsChild>
                    <w:div w:id="169125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798451">
          <w:marLeft w:val="0"/>
          <w:marRight w:val="0"/>
          <w:marTop w:val="0"/>
          <w:marBottom w:val="0"/>
          <w:divBdr>
            <w:top w:val="none" w:sz="0" w:space="0" w:color="auto"/>
            <w:left w:val="none" w:sz="0" w:space="0" w:color="auto"/>
            <w:bottom w:val="none" w:sz="0" w:space="0" w:color="auto"/>
            <w:right w:val="none" w:sz="0" w:space="0" w:color="auto"/>
          </w:divBdr>
          <w:divsChild>
            <w:div w:id="2010711175">
              <w:marLeft w:val="0"/>
              <w:marRight w:val="0"/>
              <w:marTop w:val="0"/>
              <w:marBottom w:val="0"/>
              <w:divBdr>
                <w:top w:val="none" w:sz="0" w:space="0" w:color="auto"/>
                <w:left w:val="none" w:sz="0" w:space="0" w:color="auto"/>
                <w:bottom w:val="none" w:sz="0" w:space="0" w:color="auto"/>
                <w:right w:val="none" w:sz="0" w:space="0" w:color="auto"/>
              </w:divBdr>
              <w:divsChild>
                <w:div w:id="191909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465268">
          <w:marLeft w:val="0"/>
          <w:marRight w:val="0"/>
          <w:marTop w:val="0"/>
          <w:marBottom w:val="0"/>
          <w:divBdr>
            <w:top w:val="none" w:sz="0" w:space="0" w:color="auto"/>
            <w:left w:val="none" w:sz="0" w:space="0" w:color="auto"/>
            <w:bottom w:val="none" w:sz="0" w:space="0" w:color="auto"/>
            <w:right w:val="none" w:sz="0" w:space="0" w:color="auto"/>
          </w:divBdr>
          <w:divsChild>
            <w:div w:id="418526964">
              <w:marLeft w:val="0"/>
              <w:marRight w:val="0"/>
              <w:marTop w:val="0"/>
              <w:marBottom w:val="0"/>
              <w:divBdr>
                <w:top w:val="none" w:sz="0" w:space="0" w:color="auto"/>
                <w:left w:val="none" w:sz="0" w:space="0" w:color="auto"/>
                <w:bottom w:val="none" w:sz="0" w:space="0" w:color="auto"/>
                <w:right w:val="none" w:sz="0" w:space="0" w:color="auto"/>
              </w:divBdr>
              <w:divsChild>
                <w:div w:id="1980912690">
                  <w:marLeft w:val="0"/>
                  <w:marRight w:val="0"/>
                  <w:marTop w:val="0"/>
                  <w:marBottom w:val="0"/>
                  <w:divBdr>
                    <w:top w:val="none" w:sz="0" w:space="0" w:color="auto"/>
                    <w:left w:val="none" w:sz="0" w:space="0" w:color="auto"/>
                    <w:bottom w:val="none" w:sz="0" w:space="0" w:color="auto"/>
                    <w:right w:val="none" w:sz="0" w:space="0" w:color="auto"/>
                  </w:divBdr>
                  <w:divsChild>
                    <w:div w:id="1031371407">
                      <w:marLeft w:val="0"/>
                      <w:marRight w:val="0"/>
                      <w:marTop w:val="0"/>
                      <w:marBottom w:val="0"/>
                      <w:divBdr>
                        <w:top w:val="none" w:sz="0" w:space="0" w:color="auto"/>
                        <w:left w:val="none" w:sz="0" w:space="0" w:color="auto"/>
                        <w:bottom w:val="none" w:sz="0" w:space="0" w:color="auto"/>
                        <w:right w:val="none" w:sz="0" w:space="0" w:color="auto"/>
                      </w:divBdr>
                      <w:divsChild>
                        <w:div w:id="30332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7620354">
          <w:marLeft w:val="0"/>
          <w:marRight w:val="0"/>
          <w:marTop w:val="0"/>
          <w:marBottom w:val="0"/>
          <w:divBdr>
            <w:top w:val="none" w:sz="0" w:space="0" w:color="auto"/>
            <w:left w:val="none" w:sz="0" w:space="0" w:color="auto"/>
            <w:bottom w:val="none" w:sz="0" w:space="0" w:color="auto"/>
            <w:right w:val="none" w:sz="0" w:space="0" w:color="auto"/>
          </w:divBdr>
        </w:div>
        <w:div w:id="1468358819">
          <w:marLeft w:val="0"/>
          <w:marRight w:val="0"/>
          <w:marTop w:val="0"/>
          <w:marBottom w:val="0"/>
          <w:divBdr>
            <w:top w:val="none" w:sz="0" w:space="0" w:color="auto"/>
            <w:left w:val="none" w:sz="0" w:space="0" w:color="auto"/>
            <w:bottom w:val="none" w:sz="0" w:space="0" w:color="auto"/>
            <w:right w:val="none" w:sz="0" w:space="0" w:color="auto"/>
          </w:divBdr>
          <w:divsChild>
            <w:div w:id="1282221991">
              <w:marLeft w:val="0"/>
              <w:marRight w:val="0"/>
              <w:marTop w:val="0"/>
              <w:marBottom w:val="0"/>
              <w:divBdr>
                <w:top w:val="none" w:sz="0" w:space="0" w:color="auto"/>
                <w:left w:val="none" w:sz="0" w:space="0" w:color="auto"/>
                <w:bottom w:val="none" w:sz="0" w:space="0" w:color="auto"/>
                <w:right w:val="none" w:sz="0" w:space="0" w:color="auto"/>
              </w:divBdr>
              <w:divsChild>
                <w:div w:id="1309506364">
                  <w:marLeft w:val="0"/>
                  <w:marRight w:val="0"/>
                  <w:marTop w:val="0"/>
                  <w:marBottom w:val="0"/>
                  <w:divBdr>
                    <w:top w:val="none" w:sz="0" w:space="0" w:color="auto"/>
                    <w:left w:val="none" w:sz="0" w:space="0" w:color="auto"/>
                    <w:bottom w:val="none" w:sz="0" w:space="0" w:color="auto"/>
                    <w:right w:val="none" w:sz="0" w:space="0" w:color="auto"/>
                  </w:divBdr>
                  <w:divsChild>
                    <w:div w:id="948316915">
                      <w:marLeft w:val="0"/>
                      <w:marRight w:val="0"/>
                      <w:marTop w:val="0"/>
                      <w:marBottom w:val="0"/>
                      <w:divBdr>
                        <w:top w:val="none" w:sz="0" w:space="0" w:color="auto"/>
                        <w:left w:val="none" w:sz="0" w:space="0" w:color="auto"/>
                        <w:bottom w:val="none" w:sz="0" w:space="0" w:color="auto"/>
                        <w:right w:val="none" w:sz="0" w:space="0" w:color="auto"/>
                      </w:divBdr>
                      <w:divsChild>
                        <w:div w:id="32173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375628">
          <w:marLeft w:val="0"/>
          <w:marRight w:val="0"/>
          <w:marTop w:val="0"/>
          <w:marBottom w:val="0"/>
          <w:divBdr>
            <w:top w:val="none" w:sz="0" w:space="0" w:color="auto"/>
            <w:left w:val="none" w:sz="0" w:space="0" w:color="auto"/>
            <w:bottom w:val="none" w:sz="0" w:space="0" w:color="auto"/>
            <w:right w:val="none" w:sz="0" w:space="0" w:color="auto"/>
          </w:divBdr>
          <w:divsChild>
            <w:div w:id="544677367">
              <w:marLeft w:val="0"/>
              <w:marRight w:val="0"/>
              <w:marTop w:val="0"/>
              <w:marBottom w:val="0"/>
              <w:divBdr>
                <w:top w:val="none" w:sz="0" w:space="0" w:color="auto"/>
                <w:left w:val="none" w:sz="0" w:space="0" w:color="auto"/>
                <w:bottom w:val="none" w:sz="0" w:space="0" w:color="auto"/>
                <w:right w:val="none" w:sz="0" w:space="0" w:color="auto"/>
              </w:divBdr>
              <w:divsChild>
                <w:div w:id="2140562843">
                  <w:marLeft w:val="0"/>
                  <w:marRight w:val="0"/>
                  <w:marTop w:val="0"/>
                  <w:marBottom w:val="0"/>
                  <w:divBdr>
                    <w:top w:val="none" w:sz="0" w:space="0" w:color="auto"/>
                    <w:left w:val="none" w:sz="0" w:space="0" w:color="auto"/>
                    <w:bottom w:val="none" w:sz="0" w:space="0" w:color="auto"/>
                    <w:right w:val="none" w:sz="0" w:space="0" w:color="auto"/>
                  </w:divBdr>
                  <w:divsChild>
                    <w:div w:id="1310940563">
                      <w:marLeft w:val="0"/>
                      <w:marRight w:val="0"/>
                      <w:marTop w:val="0"/>
                      <w:marBottom w:val="0"/>
                      <w:divBdr>
                        <w:top w:val="none" w:sz="0" w:space="0" w:color="auto"/>
                        <w:left w:val="none" w:sz="0" w:space="0" w:color="auto"/>
                        <w:bottom w:val="none" w:sz="0" w:space="0" w:color="auto"/>
                        <w:right w:val="none" w:sz="0" w:space="0" w:color="auto"/>
                      </w:divBdr>
                      <w:divsChild>
                        <w:div w:id="2006128798">
                          <w:marLeft w:val="0"/>
                          <w:marRight w:val="0"/>
                          <w:marTop w:val="0"/>
                          <w:marBottom w:val="0"/>
                          <w:divBdr>
                            <w:top w:val="none" w:sz="0" w:space="0" w:color="auto"/>
                            <w:left w:val="none" w:sz="0" w:space="0" w:color="auto"/>
                            <w:bottom w:val="none" w:sz="0" w:space="0" w:color="auto"/>
                            <w:right w:val="none" w:sz="0" w:space="0" w:color="auto"/>
                          </w:divBdr>
                        </w:div>
                        <w:div w:id="1769082360">
                          <w:marLeft w:val="0"/>
                          <w:marRight w:val="0"/>
                          <w:marTop w:val="0"/>
                          <w:marBottom w:val="0"/>
                          <w:divBdr>
                            <w:top w:val="none" w:sz="0" w:space="0" w:color="auto"/>
                            <w:left w:val="none" w:sz="0" w:space="0" w:color="auto"/>
                            <w:bottom w:val="none" w:sz="0" w:space="0" w:color="auto"/>
                            <w:right w:val="none" w:sz="0" w:space="0" w:color="auto"/>
                          </w:divBdr>
                        </w:div>
                        <w:div w:id="1927807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023256">
          <w:marLeft w:val="0"/>
          <w:marRight w:val="0"/>
          <w:marTop w:val="0"/>
          <w:marBottom w:val="0"/>
          <w:divBdr>
            <w:top w:val="none" w:sz="0" w:space="0" w:color="auto"/>
            <w:left w:val="none" w:sz="0" w:space="0" w:color="auto"/>
            <w:bottom w:val="none" w:sz="0" w:space="0" w:color="auto"/>
            <w:right w:val="none" w:sz="0" w:space="0" w:color="auto"/>
          </w:divBdr>
          <w:divsChild>
            <w:div w:id="475149406">
              <w:marLeft w:val="0"/>
              <w:marRight w:val="0"/>
              <w:marTop w:val="0"/>
              <w:marBottom w:val="0"/>
              <w:divBdr>
                <w:top w:val="none" w:sz="0" w:space="0" w:color="auto"/>
                <w:left w:val="none" w:sz="0" w:space="0" w:color="auto"/>
                <w:bottom w:val="none" w:sz="0" w:space="0" w:color="auto"/>
                <w:right w:val="none" w:sz="0" w:space="0" w:color="auto"/>
              </w:divBdr>
              <w:divsChild>
                <w:div w:id="509683608">
                  <w:marLeft w:val="0"/>
                  <w:marRight w:val="0"/>
                  <w:marTop w:val="0"/>
                  <w:marBottom w:val="0"/>
                  <w:divBdr>
                    <w:top w:val="none" w:sz="0" w:space="0" w:color="auto"/>
                    <w:left w:val="none" w:sz="0" w:space="0" w:color="auto"/>
                    <w:bottom w:val="none" w:sz="0" w:space="0" w:color="auto"/>
                    <w:right w:val="none" w:sz="0" w:space="0" w:color="auto"/>
                  </w:divBdr>
                </w:div>
                <w:div w:id="392697098">
                  <w:marLeft w:val="0"/>
                  <w:marRight w:val="0"/>
                  <w:marTop w:val="0"/>
                  <w:marBottom w:val="0"/>
                  <w:divBdr>
                    <w:top w:val="none" w:sz="0" w:space="0" w:color="auto"/>
                    <w:left w:val="none" w:sz="0" w:space="0" w:color="auto"/>
                    <w:bottom w:val="none" w:sz="0" w:space="0" w:color="auto"/>
                    <w:right w:val="none" w:sz="0" w:space="0" w:color="auto"/>
                  </w:divBdr>
                </w:div>
                <w:div w:id="593171271">
                  <w:marLeft w:val="0"/>
                  <w:marRight w:val="0"/>
                  <w:marTop w:val="0"/>
                  <w:marBottom w:val="0"/>
                  <w:divBdr>
                    <w:top w:val="none" w:sz="0" w:space="0" w:color="auto"/>
                    <w:left w:val="none" w:sz="0" w:space="0" w:color="auto"/>
                    <w:bottom w:val="none" w:sz="0" w:space="0" w:color="auto"/>
                    <w:right w:val="none" w:sz="0" w:space="0" w:color="auto"/>
                  </w:divBdr>
                </w:div>
                <w:div w:id="396436870">
                  <w:marLeft w:val="0"/>
                  <w:marRight w:val="0"/>
                  <w:marTop w:val="0"/>
                  <w:marBottom w:val="0"/>
                  <w:divBdr>
                    <w:top w:val="none" w:sz="0" w:space="0" w:color="auto"/>
                    <w:left w:val="none" w:sz="0" w:space="0" w:color="auto"/>
                    <w:bottom w:val="none" w:sz="0" w:space="0" w:color="auto"/>
                    <w:right w:val="none" w:sz="0" w:space="0" w:color="auto"/>
                  </w:divBdr>
                </w:div>
                <w:div w:id="202058612">
                  <w:marLeft w:val="0"/>
                  <w:marRight w:val="0"/>
                  <w:marTop w:val="0"/>
                  <w:marBottom w:val="0"/>
                  <w:divBdr>
                    <w:top w:val="none" w:sz="0" w:space="0" w:color="auto"/>
                    <w:left w:val="none" w:sz="0" w:space="0" w:color="auto"/>
                    <w:bottom w:val="none" w:sz="0" w:space="0" w:color="auto"/>
                    <w:right w:val="none" w:sz="0" w:space="0" w:color="auto"/>
                  </w:divBdr>
                </w:div>
                <w:div w:id="608633825">
                  <w:marLeft w:val="0"/>
                  <w:marRight w:val="0"/>
                  <w:marTop w:val="0"/>
                  <w:marBottom w:val="0"/>
                  <w:divBdr>
                    <w:top w:val="none" w:sz="0" w:space="0" w:color="auto"/>
                    <w:left w:val="none" w:sz="0" w:space="0" w:color="auto"/>
                    <w:bottom w:val="none" w:sz="0" w:space="0" w:color="auto"/>
                    <w:right w:val="none" w:sz="0" w:space="0" w:color="auto"/>
                  </w:divBdr>
                </w:div>
                <w:div w:id="1595549429">
                  <w:marLeft w:val="0"/>
                  <w:marRight w:val="0"/>
                  <w:marTop w:val="0"/>
                  <w:marBottom w:val="0"/>
                  <w:divBdr>
                    <w:top w:val="none" w:sz="0" w:space="0" w:color="auto"/>
                    <w:left w:val="none" w:sz="0" w:space="0" w:color="auto"/>
                    <w:bottom w:val="none" w:sz="0" w:space="0" w:color="auto"/>
                    <w:right w:val="none" w:sz="0" w:space="0" w:color="auto"/>
                  </w:divBdr>
                </w:div>
                <w:div w:id="676539479">
                  <w:marLeft w:val="0"/>
                  <w:marRight w:val="0"/>
                  <w:marTop w:val="0"/>
                  <w:marBottom w:val="0"/>
                  <w:divBdr>
                    <w:top w:val="none" w:sz="0" w:space="0" w:color="auto"/>
                    <w:left w:val="none" w:sz="0" w:space="0" w:color="auto"/>
                    <w:bottom w:val="none" w:sz="0" w:space="0" w:color="auto"/>
                    <w:right w:val="none" w:sz="0" w:space="0" w:color="auto"/>
                  </w:divBdr>
                </w:div>
                <w:div w:id="660357280">
                  <w:marLeft w:val="0"/>
                  <w:marRight w:val="0"/>
                  <w:marTop w:val="0"/>
                  <w:marBottom w:val="0"/>
                  <w:divBdr>
                    <w:top w:val="none" w:sz="0" w:space="0" w:color="auto"/>
                    <w:left w:val="none" w:sz="0" w:space="0" w:color="auto"/>
                    <w:bottom w:val="none" w:sz="0" w:space="0" w:color="auto"/>
                    <w:right w:val="none" w:sz="0" w:space="0" w:color="auto"/>
                  </w:divBdr>
                </w:div>
                <w:div w:id="1408723692">
                  <w:marLeft w:val="0"/>
                  <w:marRight w:val="0"/>
                  <w:marTop w:val="0"/>
                  <w:marBottom w:val="0"/>
                  <w:divBdr>
                    <w:top w:val="none" w:sz="0" w:space="0" w:color="auto"/>
                    <w:left w:val="none" w:sz="0" w:space="0" w:color="auto"/>
                    <w:bottom w:val="none" w:sz="0" w:space="0" w:color="auto"/>
                    <w:right w:val="none" w:sz="0" w:space="0" w:color="auto"/>
                  </w:divBdr>
                </w:div>
                <w:div w:id="2140612388">
                  <w:marLeft w:val="0"/>
                  <w:marRight w:val="0"/>
                  <w:marTop w:val="0"/>
                  <w:marBottom w:val="0"/>
                  <w:divBdr>
                    <w:top w:val="none" w:sz="0" w:space="0" w:color="auto"/>
                    <w:left w:val="none" w:sz="0" w:space="0" w:color="auto"/>
                    <w:bottom w:val="none" w:sz="0" w:space="0" w:color="auto"/>
                    <w:right w:val="none" w:sz="0" w:space="0" w:color="auto"/>
                  </w:divBdr>
                </w:div>
                <w:div w:id="89327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698887">
          <w:marLeft w:val="0"/>
          <w:marRight w:val="0"/>
          <w:marTop w:val="0"/>
          <w:marBottom w:val="0"/>
          <w:divBdr>
            <w:top w:val="none" w:sz="0" w:space="0" w:color="auto"/>
            <w:left w:val="none" w:sz="0" w:space="0" w:color="auto"/>
            <w:bottom w:val="none" w:sz="0" w:space="0" w:color="auto"/>
            <w:right w:val="none" w:sz="0" w:space="0" w:color="auto"/>
          </w:divBdr>
        </w:div>
        <w:div w:id="310794956">
          <w:marLeft w:val="0"/>
          <w:marRight w:val="0"/>
          <w:marTop w:val="0"/>
          <w:marBottom w:val="0"/>
          <w:divBdr>
            <w:top w:val="none" w:sz="0" w:space="0" w:color="auto"/>
            <w:left w:val="none" w:sz="0" w:space="0" w:color="auto"/>
            <w:bottom w:val="none" w:sz="0" w:space="0" w:color="auto"/>
            <w:right w:val="none" w:sz="0" w:space="0" w:color="auto"/>
          </w:divBdr>
          <w:divsChild>
            <w:div w:id="1682585224">
              <w:marLeft w:val="0"/>
              <w:marRight w:val="0"/>
              <w:marTop w:val="0"/>
              <w:marBottom w:val="0"/>
              <w:divBdr>
                <w:top w:val="none" w:sz="0" w:space="0" w:color="auto"/>
                <w:left w:val="none" w:sz="0" w:space="0" w:color="auto"/>
                <w:bottom w:val="none" w:sz="0" w:space="0" w:color="auto"/>
                <w:right w:val="none" w:sz="0" w:space="0" w:color="auto"/>
              </w:divBdr>
            </w:div>
          </w:divsChild>
        </w:div>
        <w:div w:id="1755202983">
          <w:marLeft w:val="0"/>
          <w:marRight w:val="0"/>
          <w:marTop w:val="0"/>
          <w:marBottom w:val="0"/>
          <w:divBdr>
            <w:top w:val="none" w:sz="0" w:space="0" w:color="auto"/>
            <w:left w:val="none" w:sz="0" w:space="0" w:color="auto"/>
            <w:bottom w:val="none" w:sz="0" w:space="0" w:color="auto"/>
            <w:right w:val="none" w:sz="0" w:space="0" w:color="auto"/>
          </w:divBdr>
        </w:div>
        <w:div w:id="824860294">
          <w:marLeft w:val="0"/>
          <w:marRight w:val="0"/>
          <w:marTop w:val="0"/>
          <w:marBottom w:val="0"/>
          <w:divBdr>
            <w:top w:val="none" w:sz="0" w:space="0" w:color="auto"/>
            <w:left w:val="none" w:sz="0" w:space="0" w:color="auto"/>
            <w:bottom w:val="none" w:sz="0" w:space="0" w:color="auto"/>
            <w:right w:val="none" w:sz="0" w:space="0" w:color="auto"/>
          </w:divBdr>
        </w:div>
        <w:div w:id="1270813042">
          <w:marLeft w:val="0"/>
          <w:marRight w:val="0"/>
          <w:marTop w:val="0"/>
          <w:marBottom w:val="0"/>
          <w:divBdr>
            <w:top w:val="none" w:sz="0" w:space="0" w:color="auto"/>
            <w:left w:val="none" w:sz="0" w:space="0" w:color="auto"/>
            <w:bottom w:val="none" w:sz="0" w:space="0" w:color="auto"/>
            <w:right w:val="none" w:sz="0" w:space="0" w:color="auto"/>
          </w:divBdr>
        </w:div>
        <w:div w:id="1601335083">
          <w:marLeft w:val="0"/>
          <w:marRight w:val="0"/>
          <w:marTop w:val="0"/>
          <w:marBottom w:val="0"/>
          <w:divBdr>
            <w:top w:val="none" w:sz="0" w:space="0" w:color="auto"/>
            <w:left w:val="none" w:sz="0" w:space="0" w:color="auto"/>
            <w:bottom w:val="none" w:sz="0" w:space="0" w:color="auto"/>
            <w:right w:val="none" w:sz="0" w:space="0" w:color="auto"/>
          </w:divBdr>
        </w:div>
        <w:div w:id="1908879724">
          <w:marLeft w:val="0"/>
          <w:marRight w:val="0"/>
          <w:marTop w:val="0"/>
          <w:marBottom w:val="0"/>
          <w:divBdr>
            <w:top w:val="none" w:sz="0" w:space="0" w:color="auto"/>
            <w:left w:val="none" w:sz="0" w:space="0" w:color="auto"/>
            <w:bottom w:val="none" w:sz="0" w:space="0" w:color="auto"/>
            <w:right w:val="none" w:sz="0" w:space="0" w:color="auto"/>
          </w:divBdr>
        </w:div>
        <w:div w:id="82800487">
          <w:marLeft w:val="0"/>
          <w:marRight w:val="0"/>
          <w:marTop w:val="0"/>
          <w:marBottom w:val="0"/>
          <w:divBdr>
            <w:top w:val="none" w:sz="0" w:space="0" w:color="auto"/>
            <w:left w:val="none" w:sz="0" w:space="0" w:color="auto"/>
            <w:bottom w:val="none" w:sz="0" w:space="0" w:color="auto"/>
            <w:right w:val="none" w:sz="0" w:space="0" w:color="auto"/>
          </w:divBdr>
        </w:div>
        <w:div w:id="1980109098">
          <w:marLeft w:val="0"/>
          <w:marRight w:val="0"/>
          <w:marTop w:val="0"/>
          <w:marBottom w:val="0"/>
          <w:divBdr>
            <w:top w:val="none" w:sz="0" w:space="0" w:color="auto"/>
            <w:left w:val="none" w:sz="0" w:space="0" w:color="auto"/>
            <w:bottom w:val="none" w:sz="0" w:space="0" w:color="auto"/>
            <w:right w:val="none" w:sz="0" w:space="0" w:color="auto"/>
          </w:divBdr>
        </w:div>
        <w:div w:id="8679146">
          <w:marLeft w:val="0"/>
          <w:marRight w:val="0"/>
          <w:marTop w:val="0"/>
          <w:marBottom w:val="0"/>
          <w:divBdr>
            <w:top w:val="none" w:sz="0" w:space="0" w:color="auto"/>
            <w:left w:val="none" w:sz="0" w:space="0" w:color="auto"/>
            <w:bottom w:val="none" w:sz="0" w:space="0" w:color="auto"/>
            <w:right w:val="none" w:sz="0" w:space="0" w:color="auto"/>
          </w:divBdr>
        </w:div>
        <w:div w:id="951329408">
          <w:marLeft w:val="0"/>
          <w:marRight w:val="0"/>
          <w:marTop w:val="0"/>
          <w:marBottom w:val="0"/>
          <w:divBdr>
            <w:top w:val="none" w:sz="0" w:space="0" w:color="auto"/>
            <w:left w:val="none" w:sz="0" w:space="0" w:color="auto"/>
            <w:bottom w:val="none" w:sz="0" w:space="0" w:color="auto"/>
            <w:right w:val="none" w:sz="0" w:space="0" w:color="auto"/>
          </w:divBdr>
        </w:div>
        <w:div w:id="680861923">
          <w:marLeft w:val="0"/>
          <w:marRight w:val="0"/>
          <w:marTop w:val="0"/>
          <w:marBottom w:val="0"/>
          <w:divBdr>
            <w:top w:val="none" w:sz="0" w:space="0" w:color="auto"/>
            <w:left w:val="none" w:sz="0" w:space="0" w:color="auto"/>
            <w:bottom w:val="none" w:sz="0" w:space="0" w:color="auto"/>
            <w:right w:val="none" w:sz="0" w:space="0" w:color="auto"/>
          </w:divBdr>
        </w:div>
        <w:div w:id="1084566629">
          <w:marLeft w:val="0"/>
          <w:marRight w:val="0"/>
          <w:marTop w:val="0"/>
          <w:marBottom w:val="0"/>
          <w:divBdr>
            <w:top w:val="none" w:sz="0" w:space="0" w:color="auto"/>
            <w:left w:val="none" w:sz="0" w:space="0" w:color="auto"/>
            <w:bottom w:val="none" w:sz="0" w:space="0" w:color="auto"/>
            <w:right w:val="none" w:sz="0" w:space="0" w:color="auto"/>
          </w:divBdr>
        </w:div>
        <w:div w:id="886601285">
          <w:marLeft w:val="0"/>
          <w:marRight w:val="0"/>
          <w:marTop w:val="0"/>
          <w:marBottom w:val="0"/>
          <w:divBdr>
            <w:top w:val="none" w:sz="0" w:space="0" w:color="auto"/>
            <w:left w:val="none" w:sz="0" w:space="0" w:color="auto"/>
            <w:bottom w:val="none" w:sz="0" w:space="0" w:color="auto"/>
            <w:right w:val="none" w:sz="0" w:space="0" w:color="auto"/>
          </w:divBdr>
        </w:div>
        <w:div w:id="1272979708">
          <w:marLeft w:val="0"/>
          <w:marRight w:val="0"/>
          <w:marTop w:val="0"/>
          <w:marBottom w:val="0"/>
          <w:divBdr>
            <w:top w:val="none" w:sz="0" w:space="0" w:color="auto"/>
            <w:left w:val="none" w:sz="0" w:space="0" w:color="auto"/>
            <w:bottom w:val="none" w:sz="0" w:space="0" w:color="auto"/>
            <w:right w:val="none" w:sz="0" w:space="0" w:color="auto"/>
          </w:divBdr>
          <w:divsChild>
            <w:div w:id="138807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landscape-evolutio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iencedirect.com/topics/earth-and-planetary-sciences/advance-rate" TargetMode="External"/><Relationship Id="rId12" Type="http://schemas.openxmlformats.org/officeDocument/2006/relationships/hyperlink" Target="https://www.sciencedirect.com/topics/earth-and-planetary-sciences/kaolinit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erosion-rate" TargetMode="External"/><Relationship Id="rId11" Type="http://schemas.openxmlformats.org/officeDocument/2006/relationships/hyperlink" Target="https://www.sciencedirect.com/topics/earth-and-planetary-sciences/goethite" TargetMode="External"/><Relationship Id="rId5" Type="http://schemas.openxmlformats.org/officeDocument/2006/relationships/hyperlink" Target="https://www.sciencedirect.com/topics/earth-and-planetary-sciences/regolith" TargetMode="External"/><Relationship Id="rId10" Type="http://schemas.openxmlformats.org/officeDocument/2006/relationships/hyperlink" Target="https://www.sciencedirect.com/topics/earth-and-planetary-sciences/saprolite" TargetMode="External"/><Relationship Id="rId4" Type="http://schemas.openxmlformats.org/officeDocument/2006/relationships/webSettings" Target="webSettings.xml"/><Relationship Id="rId9" Type="http://schemas.openxmlformats.org/officeDocument/2006/relationships/hyperlink" Target="https://www.sciencedirect.com/topics/earth-and-planetary-sciences/geochemistry"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2740</Words>
  <Characters>15621</Characters>
  <Application>Microsoft Office Word</Application>
  <DocSecurity>0</DocSecurity>
  <Lines>130</Lines>
  <Paragraphs>36</Paragraphs>
  <ScaleCrop>false</ScaleCrop>
  <Company/>
  <LinksUpToDate>false</LinksUpToDate>
  <CharactersWithSpaces>18325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2026-02-21T07:27:00Z</dcterms:created>
  <dcterms:modified xsi:type="dcterms:W3CDTF">2026-02-21T07:28:00Z</dcterms:modified>
</cp:coreProperties>
</file>