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F266B" w:rsidRPr="002F266B" w:rsidRDefault="002F266B" w:rsidP="002F266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F266B">
        <w:rPr>
          <w:rFonts w:ascii="Times New Roman" w:eastAsia="Times New Roman" w:hAnsi="Times New Roman" w:cs="Times New Roman"/>
          <w:b/>
          <w:bCs/>
          <w:kern w:val="36"/>
          <w:sz w:val="48"/>
          <w:szCs w:val="48"/>
        </w:rPr>
        <w:t>Geochemical processes and solute transport at the seawater/freshwater interface of a sandy aquifer</w:t>
      </w:r>
    </w:p>
    <w:p w:rsidR="002F266B" w:rsidRPr="002F266B" w:rsidRDefault="002F266B" w:rsidP="002F266B">
      <w:pPr>
        <w:spacing w:after="0" w:line="240" w:lineRule="auto"/>
        <w:rPr>
          <w:rFonts w:ascii="Times New Roman" w:eastAsia="Times New Roman" w:hAnsi="Times New Roman" w:cs="Times New Roman"/>
          <w:sz w:val="24"/>
          <w:szCs w:val="24"/>
        </w:rPr>
      </w:pPr>
      <w:r w:rsidRPr="002F266B">
        <w:rPr>
          <w:rFonts w:ascii="Times New Roman" w:eastAsia="Times New Roman" w:hAnsi="Times New Roman" w:cs="Times New Roman"/>
          <w:sz w:val="24"/>
          <w:szCs w:val="24"/>
        </w:rPr>
        <w:t>Author links open overlay panel</w:t>
      </w:r>
    </w:p>
    <w:p w:rsidR="002F266B" w:rsidRPr="002F266B" w:rsidRDefault="002F266B" w:rsidP="002F266B">
      <w:pPr>
        <w:spacing w:after="0" w:line="240" w:lineRule="auto"/>
        <w:rPr>
          <w:rFonts w:ascii="Times New Roman" w:eastAsia="Times New Roman" w:hAnsi="Times New Roman" w:cs="Times New Roman"/>
          <w:sz w:val="24"/>
          <w:szCs w:val="24"/>
        </w:rPr>
      </w:pPr>
      <w:r w:rsidRPr="002F266B">
        <w:rPr>
          <w:rFonts w:ascii="Times New Roman" w:eastAsia="Times New Roman" w:hAnsi="Times New Roman" w:cs="Times New Roman"/>
          <w:sz w:val="24"/>
          <w:szCs w:val="24"/>
        </w:rPr>
        <w:t xml:space="preserve">, , , </w:t>
      </w:r>
    </w:p>
    <w:p w:rsidR="002F266B" w:rsidRPr="002F266B" w:rsidRDefault="002F266B" w:rsidP="002F266B">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2F266B">
          <w:rPr>
            <w:rFonts w:ascii="Times New Roman" w:eastAsia="Times New Roman" w:hAnsi="Times New Roman" w:cs="Times New Roman"/>
            <w:color w:val="0000FF"/>
            <w:sz w:val="24"/>
            <w:szCs w:val="24"/>
            <w:u w:val="single"/>
          </w:rPr>
          <w:t>https://doi.org/10.1016/j.gca.2005.03.017</w:t>
        </w:r>
      </w:hyperlink>
      <w:bookmarkStart w:id="0" w:name="_GoBack"/>
      <w:bookmarkEnd w:id="0"/>
      <w:r w:rsidRPr="002F266B">
        <w:rPr>
          <w:rFonts w:ascii="Times New Roman" w:eastAsia="Times New Roman" w:hAnsi="Times New Roman" w:cs="Times New Roman"/>
          <w:sz w:val="24"/>
          <w:szCs w:val="24"/>
        </w:rPr>
        <w:t xml:space="preserve"> </w:t>
      </w:r>
    </w:p>
    <w:p w:rsidR="002F266B" w:rsidRPr="002F266B" w:rsidRDefault="002F266B" w:rsidP="002F266B">
      <w:pPr>
        <w:spacing w:before="100" w:beforeAutospacing="1" w:after="100" w:afterAutospacing="1" w:line="240" w:lineRule="auto"/>
        <w:outlineLvl w:val="1"/>
        <w:rPr>
          <w:rFonts w:ascii="Times New Roman" w:eastAsia="Times New Roman" w:hAnsi="Times New Roman" w:cs="Times New Roman"/>
          <w:b/>
          <w:bCs/>
          <w:sz w:val="36"/>
          <w:szCs w:val="36"/>
        </w:rPr>
      </w:pPr>
      <w:r w:rsidRPr="002F266B">
        <w:rPr>
          <w:rFonts w:ascii="Times New Roman" w:eastAsia="Times New Roman" w:hAnsi="Times New Roman" w:cs="Times New Roman"/>
          <w:b/>
          <w:bCs/>
          <w:sz w:val="36"/>
          <w:szCs w:val="36"/>
        </w:rPr>
        <w:t>Abstract</w:t>
      </w:r>
    </w:p>
    <w:p w:rsidR="002F266B" w:rsidRPr="002F266B" w:rsidRDefault="002F266B" w:rsidP="002F266B">
      <w:pPr>
        <w:spacing w:before="100" w:beforeAutospacing="1" w:after="100" w:afterAutospacing="1" w:line="240" w:lineRule="auto"/>
        <w:rPr>
          <w:rFonts w:ascii="Times New Roman" w:eastAsia="Times New Roman" w:hAnsi="Times New Roman" w:cs="Times New Roman"/>
          <w:sz w:val="24"/>
          <w:szCs w:val="24"/>
        </w:rPr>
      </w:pPr>
      <w:r w:rsidRPr="002F266B">
        <w:rPr>
          <w:rFonts w:ascii="Times New Roman" w:eastAsia="Times New Roman" w:hAnsi="Times New Roman" w:cs="Times New Roman"/>
          <w:sz w:val="24"/>
          <w:szCs w:val="24"/>
        </w:rPr>
        <w:t xml:space="preserve">Geochemical processes occurring at a seawater/freshwater interface were studied in a shallow coastal </w:t>
      </w:r>
      <w:proofErr w:type="spellStart"/>
      <w:r w:rsidRPr="002F266B">
        <w:rPr>
          <w:rFonts w:ascii="Times New Roman" w:eastAsia="Times New Roman" w:hAnsi="Times New Roman" w:cs="Times New Roman"/>
          <w:sz w:val="24"/>
          <w:szCs w:val="24"/>
        </w:rPr>
        <w:t>siliclastic</w:t>
      </w:r>
      <w:proofErr w:type="spellEnd"/>
      <w:r w:rsidRPr="002F266B">
        <w:rPr>
          <w:rFonts w:ascii="Times New Roman" w:eastAsia="Times New Roman" w:hAnsi="Times New Roman" w:cs="Times New Roman"/>
          <w:sz w:val="24"/>
          <w:szCs w:val="24"/>
        </w:rPr>
        <w:t xml:space="preserve"> aquifer containing minor amounts of </w:t>
      </w:r>
      <w:hyperlink r:id="rId5" w:tooltip="Learn more about calcite from ScienceDirect's AI-generated Topic Pages" w:history="1">
        <w:r w:rsidRPr="002F266B">
          <w:rPr>
            <w:rFonts w:ascii="Times New Roman" w:eastAsia="Times New Roman" w:hAnsi="Times New Roman" w:cs="Times New Roman"/>
            <w:color w:val="0000FF"/>
            <w:sz w:val="24"/>
            <w:szCs w:val="24"/>
            <w:u w:val="single"/>
          </w:rPr>
          <w:t>calcite</w:t>
        </w:r>
      </w:hyperlink>
      <w:r w:rsidRPr="002F266B">
        <w:rPr>
          <w:rFonts w:ascii="Times New Roman" w:eastAsia="Times New Roman" w:hAnsi="Times New Roman" w:cs="Times New Roman"/>
          <w:sz w:val="24"/>
          <w:szCs w:val="24"/>
        </w:rPr>
        <w:t xml:space="preserve">. Data were collected from 106 </w:t>
      </w:r>
      <w:hyperlink r:id="rId6" w:tooltip="Learn more about piezometers from ScienceDirect's AI-generated Topic Pages" w:history="1">
        <w:r w:rsidRPr="002F266B">
          <w:rPr>
            <w:rFonts w:ascii="Times New Roman" w:eastAsia="Times New Roman" w:hAnsi="Times New Roman" w:cs="Times New Roman"/>
            <w:color w:val="0000FF"/>
            <w:sz w:val="24"/>
            <w:szCs w:val="24"/>
            <w:u w:val="single"/>
          </w:rPr>
          <w:t>piezometers</w:t>
        </w:r>
      </w:hyperlink>
      <w:r w:rsidRPr="002F266B">
        <w:rPr>
          <w:rFonts w:ascii="Times New Roman" w:eastAsia="Times New Roman" w:hAnsi="Times New Roman" w:cs="Times New Roman"/>
          <w:sz w:val="24"/>
          <w:szCs w:val="24"/>
        </w:rPr>
        <w:t xml:space="preserve"> in a 120-m transect from the coastline and landward. In the first 40 m from the coastline, a wedge of saltwater is intruding below the freshwater aquifer. The aquifer is strongly reduced with mineralization of organic matter by </w:t>
      </w:r>
      <w:hyperlink r:id="rId7" w:tooltip="Learn more about methanogenesis from ScienceDirect's AI-generated Topic Pages" w:history="1">
        <w:r w:rsidRPr="002F266B">
          <w:rPr>
            <w:rFonts w:ascii="Times New Roman" w:eastAsia="Times New Roman" w:hAnsi="Times New Roman" w:cs="Times New Roman"/>
            <w:color w:val="0000FF"/>
            <w:sz w:val="24"/>
            <w:szCs w:val="24"/>
            <w:u w:val="single"/>
          </w:rPr>
          <w:t>methanogenesis</w:t>
        </w:r>
      </w:hyperlink>
      <w:r w:rsidRPr="002F266B">
        <w:rPr>
          <w:rFonts w:ascii="Times New Roman" w:eastAsia="Times New Roman" w:hAnsi="Times New Roman" w:cs="Times New Roman"/>
          <w:sz w:val="24"/>
          <w:szCs w:val="24"/>
        </w:rPr>
        <w:t xml:space="preserve"> in the freshwater aquifer, and sulfate reduction dominating in the most seaward part of the saline aquifer. The spatial separation of cations in the aquifer indicated a slow freshening process where Ca</w:t>
      </w:r>
      <w:r w:rsidRPr="002F266B">
        <w:rPr>
          <w:rFonts w:ascii="Times New Roman" w:eastAsia="Times New Roman" w:hAnsi="Times New Roman" w:cs="Times New Roman"/>
          <w:sz w:val="24"/>
          <w:szCs w:val="24"/>
          <w:vertAlign w:val="superscript"/>
        </w:rPr>
        <w:t>2+</w:t>
      </w:r>
      <w:r w:rsidRPr="002F266B">
        <w:rPr>
          <w:rFonts w:ascii="Times New Roman" w:eastAsia="Times New Roman" w:hAnsi="Times New Roman" w:cs="Times New Roman"/>
          <w:sz w:val="24"/>
          <w:szCs w:val="24"/>
        </w:rPr>
        <w:t xml:space="preserve"> from freshwater displaced the marine cations Na</w:t>
      </w:r>
      <w:r w:rsidRPr="002F266B">
        <w:rPr>
          <w:rFonts w:ascii="Times New Roman" w:eastAsia="Times New Roman" w:hAnsi="Times New Roman" w:cs="Times New Roman"/>
          <w:sz w:val="24"/>
          <w:szCs w:val="24"/>
          <w:vertAlign w:val="superscript"/>
        </w:rPr>
        <w:t>+</w:t>
      </w:r>
      <w:r w:rsidRPr="002F266B">
        <w:rPr>
          <w:rFonts w:ascii="Times New Roman" w:eastAsia="Times New Roman" w:hAnsi="Times New Roman" w:cs="Times New Roman"/>
          <w:sz w:val="24"/>
          <w:szCs w:val="24"/>
        </w:rPr>
        <w:t xml:space="preserve"> and Mg</w:t>
      </w:r>
      <w:r w:rsidRPr="002F266B">
        <w:rPr>
          <w:rFonts w:ascii="Times New Roman" w:eastAsia="Times New Roman" w:hAnsi="Times New Roman" w:cs="Times New Roman"/>
          <w:sz w:val="24"/>
          <w:szCs w:val="24"/>
          <w:vertAlign w:val="superscript"/>
        </w:rPr>
        <w:t>2+</w:t>
      </w:r>
      <w:r w:rsidRPr="002F266B">
        <w:rPr>
          <w:rFonts w:ascii="Times New Roman" w:eastAsia="Times New Roman" w:hAnsi="Times New Roman" w:cs="Times New Roman"/>
          <w:sz w:val="24"/>
          <w:szCs w:val="24"/>
        </w:rPr>
        <w:t xml:space="preserve"> from the exchanger complex. The resulting loss of Ca</w:t>
      </w:r>
      <w:r w:rsidRPr="002F266B">
        <w:rPr>
          <w:rFonts w:ascii="Times New Roman" w:eastAsia="Times New Roman" w:hAnsi="Times New Roman" w:cs="Times New Roman"/>
          <w:sz w:val="24"/>
          <w:szCs w:val="24"/>
          <w:vertAlign w:val="superscript"/>
        </w:rPr>
        <w:t>2+</w:t>
      </w:r>
      <w:r w:rsidRPr="002F266B">
        <w:rPr>
          <w:rFonts w:ascii="Times New Roman" w:eastAsia="Times New Roman" w:hAnsi="Times New Roman" w:cs="Times New Roman"/>
          <w:sz w:val="24"/>
          <w:szCs w:val="24"/>
        </w:rPr>
        <w:t xml:space="preserve"> from solution decreases the saturation state for calcite and possibly causes calcite dissolution. A storm-flooding event was recorded where pulses of dense seawater sank through the fresh aquifer. As a result, the terminal electron accepting process switched from methanogenesis to sulfate reduction. The pulses of sinking seawater also triggered cation exchange reactions where Ca</w:t>
      </w:r>
      <w:r w:rsidRPr="002F266B">
        <w:rPr>
          <w:rFonts w:ascii="Times New Roman" w:eastAsia="Times New Roman" w:hAnsi="Times New Roman" w:cs="Times New Roman"/>
          <w:sz w:val="24"/>
          <w:szCs w:val="24"/>
          <w:vertAlign w:val="superscript"/>
        </w:rPr>
        <w:t>2+</w:t>
      </w:r>
      <w:r w:rsidRPr="002F266B">
        <w:rPr>
          <w:rFonts w:ascii="Times New Roman" w:eastAsia="Times New Roman" w:hAnsi="Times New Roman" w:cs="Times New Roman"/>
          <w:sz w:val="24"/>
          <w:szCs w:val="24"/>
        </w:rPr>
        <w:t xml:space="preserve"> was expelled from the exchanger by seawater Na</w:t>
      </w:r>
      <w:r w:rsidRPr="002F266B">
        <w:rPr>
          <w:rFonts w:ascii="Times New Roman" w:eastAsia="Times New Roman" w:hAnsi="Times New Roman" w:cs="Times New Roman"/>
          <w:sz w:val="24"/>
          <w:szCs w:val="24"/>
          <w:vertAlign w:val="superscript"/>
        </w:rPr>
        <w:t>+</w:t>
      </w:r>
      <w:r w:rsidRPr="002F266B">
        <w:rPr>
          <w:rFonts w:ascii="Times New Roman" w:eastAsia="Times New Roman" w:hAnsi="Times New Roman" w:cs="Times New Roman"/>
          <w:sz w:val="24"/>
          <w:szCs w:val="24"/>
        </w:rPr>
        <w:t xml:space="preserve"> and Mg</w:t>
      </w:r>
      <w:r w:rsidRPr="002F266B">
        <w:rPr>
          <w:rFonts w:ascii="Times New Roman" w:eastAsia="Times New Roman" w:hAnsi="Times New Roman" w:cs="Times New Roman"/>
          <w:sz w:val="24"/>
          <w:szCs w:val="24"/>
          <w:vertAlign w:val="superscript"/>
        </w:rPr>
        <w:t>2+</w:t>
      </w:r>
      <w:r w:rsidRPr="002F266B">
        <w:rPr>
          <w:rFonts w:ascii="Times New Roman" w:eastAsia="Times New Roman" w:hAnsi="Times New Roman" w:cs="Times New Roman"/>
          <w:sz w:val="24"/>
          <w:szCs w:val="24"/>
        </w:rPr>
        <w:t>. The released Ca</w:t>
      </w:r>
      <w:r w:rsidRPr="002F266B">
        <w:rPr>
          <w:rFonts w:ascii="Times New Roman" w:eastAsia="Times New Roman" w:hAnsi="Times New Roman" w:cs="Times New Roman"/>
          <w:sz w:val="24"/>
          <w:szCs w:val="24"/>
          <w:vertAlign w:val="superscript"/>
        </w:rPr>
        <w:t>2+</w:t>
      </w:r>
      <w:r w:rsidRPr="002F266B">
        <w:rPr>
          <w:rFonts w:ascii="Times New Roman" w:eastAsia="Times New Roman" w:hAnsi="Times New Roman" w:cs="Times New Roman"/>
          <w:sz w:val="24"/>
          <w:szCs w:val="24"/>
        </w:rPr>
        <w:t xml:space="preserve"> is being flushed from the aquifer by </w:t>
      </w:r>
      <w:hyperlink r:id="rId8" w:tooltip="Learn more about groundwater flow from ScienceDirect's AI-generated Topic Pages" w:history="1">
        <w:r w:rsidRPr="002F266B">
          <w:rPr>
            <w:rFonts w:ascii="Times New Roman" w:eastAsia="Times New Roman" w:hAnsi="Times New Roman" w:cs="Times New Roman"/>
            <w:color w:val="0000FF"/>
            <w:sz w:val="24"/>
            <w:szCs w:val="24"/>
            <w:u w:val="single"/>
          </w:rPr>
          <w:t>groundwater flow</w:t>
        </w:r>
      </w:hyperlink>
      <w:r w:rsidRPr="002F266B">
        <w:rPr>
          <w:rFonts w:ascii="Times New Roman" w:eastAsia="Times New Roman" w:hAnsi="Times New Roman" w:cs="Times New Roman"/>
          <w:sz w:val="24"/>
          <w:szCs w:val="24"/>
        </w:rPr>
        <w:t>, and this export of Ca</w:t>
      </w:r>
      <w:r w:rsidRPr="002F266B">
        <w:rPr>
          <w:rFonts w:ascii="Times New Roman" w:eastAsia="Times New Roman" w:hAnsi="Times New Roman" w:cs="Times New Roman"/>
          <w:sz w:val="24"/>
          <w:szCs w:val="24"/>
          <w:vertAlign w:val="superscript"/>
        </w:rPr>
        <w:t>2+</w:t>
      </w:r>
      <w:r w:rsidRPr="002F266B">
        <w:rPr>
          <w:rFonts w:ascii="Times New Roman" w:eastAsia="Times New Roman" w:hAnsi="Times New Roman" w:cs="Times New Roman"/>
          <w:sz w:val="24"/>
          <w:szCs w:val="24"/>
        </w:rPr>
        <w:t xml:space="preserve"> will, in the long term, cause decalcification of the sediment. The water composition in the aquifer is in a transient state as the result of various processes that operate on different timescales. Oxidation of organic matter occurs continuously but at a rate decreasing on a </w:t>
      </w:r>
      <w:hyperlink r:id="rId9" w:tooltip="Learn more about geological time from ScienceDirect's AI-generated Topic Pages" w:history="1">
        <w:r w:rsidRPr="002F266B">
          <w:rPr>
            <w:rFonts w:ascii="Times New Roman" w:eastAsia="Times New Roman" w:hAnsi="Times New Roman" w:cs="Times New Roman"/>
            <w:color w:val="0000FF"/>
            <w:sz w:val="24"/>
            <w:szCs w:val="24"/>
            <w:u w:val="single"/>
          </w:rPr>
          <w:t>geological time</w:t>
        </w:r>
      </w:hyperlink>
      <w:r w:rsidRPr="002F266B">
        <w:rPr>
          <w:rFonts w:ascii="Times New Roman" w:eastAsia="Times New Roman" w:hAnsi="Times New Roman" w:cs="Times New Roman"/>
          <w:sz w:val="24"/>
          <w:szCs w:val="24"/>
        </w:rPr>
        <w:t xml:space="preserve"> scale. The freshening of the aquifer operates on the timescale of a few years. The episodic flooding and sinking of seawater through the aquifer proceeds in the course of days to weeks, but occurs irregularly with years in between.</w:t>
      </w:r>
    </w:p>
    <w:p w:rsidR="002F266B" w:rsidRPr="002F266B" w:rsidRDefault="002F266B" w:rsidP="002F266B">
      <w:pPr>
        <w:spacing w:before="100" w:beforeAutospacing="1" w:after="100" w:afterAutospacing="1" w:line="240" w:lineRule="auto"/>
        <w:outlineLvl w:val="1"/>
        <w:rPr>
          <w:rFonts w:ascii="Times New Roman" w:eastAsia="Times New Roman" w:hAnsi="Times New Roman" w:cs="Times New Roman"/>
          <w:b/>
          <w:bCs/>
          <w:sz w:val="36"/>
          <w:szCs w:val="36"/>
        </w:rPr>
      </w:pPr>
      <w:r w:rsidRPr="002F266B">
        <w:rPr>
          <w:rFonts w:ascii="Times New Roman" w:eastAsia="Times New Roman" w:hAnsi="Times New Roman" w:cs="Times New Roman"/>
          <w:b/>
          <w:bCs/>
          <w:sz w:val="36"/>
          <w:szCs w:val="36"/>
        </w:rPr>
        <w:t>Introduction</w:t>
      </w:r>
    </w:p>
    <w:p w:rsidR="002F266B" w:rsidRPr="002F266B" w:rsidRDefault="002F266B" w:rsidP="002F266B">
      <w:pPr>
        <w:spacing w:before="100" w:beforeAutospacing="1" w:after="100" w:afterAutospacing="1" w:line="240" w:lineRule="auto"/>
        <w:rPr>
          <w:rFonts w:ascii="Times New Roman" w:eastAsia="Times New Roman" w:hAnsi="Times New Roman" w:cs="Times New Roman"/>
          <w:sz w:val="24"/>
          <w:szCs w:val="24"/>
        </w:rPr>
      </w:pPr>
      <w:r w:rsidRPr="002F266B">
        <w:rPr>
          <w:rFonts w:ascii="Times New Roman" w:eastAsia="Times New Roman" w:hAnsi="Times New Roman" w:cs="Times New Roman"/>
          <w:sz w:val="24"/>
          <w:szCs w:val="24"/>
        </w:rPr>
        <w:t xml:space="preserve">The coastal aquifer contains the interface between the freshwater and seawater domains. At the interface, dense seawater with a high ionic strength meets lighter freshwater with a lower ionic strength. The processes at the seawater/freshwater interface are controlled by this contrast in physical and chemical properties and by perturbations of the system such as variations in sea level or changes in aquifer recharge. Physical processes at the seawater/freshwater interface have been studied extensively, with respect to flow and transport of miscible fluids of different densities (Bear 1972, Todd 1980, Reilly and Goodman 1985, Bear et al 1999). Much less attention has been given to the chemical processes. Often investigations have focused on the origin of the saltwater; is it infiltrating seawater or derived from sources such as deep brines and dissolution of evaporites (Howard and Lloyd 1983, Howard and Mullings 1996, </w:t>
      </w:r>
      <w:proofErr w:type="spellStart"/>
      <w:r w:rsidRPr="002F266B">
        <w:rPr>
          <w:rFonts w:ascii="Times New Roman" w:eastAsia="Times New Roman" w:hAnsi="Times New Roman" w:cs="Times New Roman"/>
          <w:sz w:val="24"/>
          <w:szCs w:val="24"/>
        </w:rPr>
        <w:t>Giménez</w:t>
      </w:r>
      <w:proofErr w:type="spellEnd"/>
      <w:r w:rsidRPr="002F266B">
        <w:rPr>
          <w:rFonts w:ascii="Times New Roman" w:eastAsia="Times New Roman" w:hAnsi="Times New Roman" w:cs="Times New Roman"/>
          <w:sz w:val="24"/>
          <w:szCs w:val="24"/>
        </w:rPr>
        <w:t xml:space="preserve"> and Morell 1997, </w:t>
      </w:r>
      <w:proofErr w:type="spellStart"/>
      <w:r w:rsidRPr="002F266B">
        <w:rPr>
          <w:rFonts w:ascii="Times New Roman" w:eastAsia="Times New Roman" w:hAnsi="Times New Roman" w:cs="Times New Roman"/>
          <w:sz w:val="24"/>
          <w:szCs w:val="24"/>
        </w:rPr>
        <w:t>Xue</w:t>
      </w:r>
      <w:proofErr w:type="spellEnd"/>
      <w:r w:rsidRPr="002F266B">
        <w:rPr>
          <w:rFonts w:ascii="Times New Roman" w:eastAsia="Times New Roman" w:hAnsi="Times New Roman" w:cs="Times New Roman"/>
          <w:sz w:val="24"/>
          <w:szCs w:val="24"/>
        </w:rPr>
        <w:t xml:space="preserve"> et al 2000, </w:t>
      </w:r>
      <w:proofErr w:type="spellStart"/>
      <w:r w:rsidRPr="002F266B">
        <w:rPr>
          <w:rFonts w:ascii="Times New Roman" w:eastAsia="Times New Roman" w:hAnsi="Times New Roman" w:cs="Times New Roman"/>
          <w:sz w:val="24"/>
          <w:szCs w:val="24"/>
        </w:rPr>
        <w:t>Schmerge</w:t>
      </w:r>
      <w:proofErr w:type="spellEnd"/>
      <w:r w:rsidRPr="002F266B">
        <w:rPr>
          <w:rFonts w:ascii="Times New Roman" w:eastAsia="Times New Roman" w:hAnsi="Times New Roman" w:cs="Times New Roman"/>
          <w:sz w:val="24"/>
          <w:szCs w:val="24"/>
        </w:rPr>
        <w:t xml:space="preserve"> 2001, Kim et al 2003). Studies of the seawater/freshwater interface have focused on ion exchange processes, and on using the resulting water composition as an indicator for changes in the </w:t>
      </w:r>
      <w:r w:rsidRPr="002F266B">
        <w:rPr>
          <w:rFonts w:ascii="Times New Roman" w:eastAsia="Times New Roman" w:hAnsi="Times New Roman" w:cs="Times New Roman"/>
          <w:sz w:val="24"/>
          <w:szCs w:val="24"/>
        </w:rPr>
        <w:lastRenderedPageBreak/>
        <w:t xml:space="preserve">seawater/freshwater interface position (Mercado 1985, Beekman 1991, </w:t>
      </w:r>
      <w:proofErr w:type="spellStart"/>
      <w:r w:rsidRPr="002F266B">
        <w:rPr>
          <w:rFonts w:ascii="Times New Roman" w:eastAsia="Times New Roman" w:hAnsi="Times New Roman" w:cs="Times New Roman"/>
          <w:sz w:val="24"/>
          <w:szCs w:val="24"/>
        </w:rPr>
        <w:t>Stuyfzand</w:t>
      </w:r>
      <w:proofErr w:type="spellEnd"/>
      <w:r w:rsidRPr="002F266B">
        <w:rPr>
          <w:rFonts w:ascii="Times New Roman" w:eastAsia="Times New Roman" w:hAnsi="Times New Roman" w:cs="Times New Roman"/>
          <w:sz w:val="24"/>
          <w:szCs w:val="24"/>
        </w:rPr>
        <w:t xml:space="preserve"> 1993, </w:t>
      </w:r>
      <w:proofErr w:type="spellStart"/>
      <w:r w:rsidRPr="002F266B">
        <w:rPr>
          <w:rFonts w:ascii="Times New Roman" w:eastAsia="Times New Roman" w:hAnsi="Times New Roman" w:cs="Times New Roman"/>
          <w:sz w:val="24"/>
          <w:szCs w:val="24"/>
        </w:rPr>
        <w:t>Appelo</w:t>
      </w:r>
      <w:proofErr w:type="spellEnd"/>
      <w:r w:rsidRPr="002F266B">
        <w:rPr>
          <w:rFonts w:ascii="Times New Roman" w:eastAsia="Times New Roman" w:hAnsi="Times New Roman" w:cs="Times New Roman"/>
          <w:sz w:val="24"/>
          <w:szCs w:val="24"/>
        </w:rPr>
        <w:t xml:space="preserve"> 1994, </w:t>
      </w:r>
      <w:proofErr w:type="spellStart"/>
      <w:r w:rsidRPr="002F266B">
        <w:rPr>
          <w:rFonts w:ascii="Times New Roman" w:eastAsia="Times New Roman" w:hAnsi="Times New Roman" w:cs="Times New Roman"/>
          <w:sz w:val="24"/>
          <w:szCs w:val="24"/>
        </w:rPr>
        <w:t>Appelo</w:t>
      </w:r>
      <w:proofErr w:type="spellEnd"/>
      <w:r w:rsidRPr="002F266B">
        <w:rPr>
          <w:rFonts w:ascii="Times New Roman" w:eastAsia="Times New Roman" w:hAnsi="Times New Roman" w:cs="Times New Roman"/>
          <w:sz w:val="24"/>
          <w:szCs w:val="24"/>
        </w:rPr>
        <w:t xml:space="preserve"> 1996).</w:t>
      </w:r>
    </w:p>
    <w:p w:rsidR="002F266B" w:rsidRPr="002F266B" w:rsidRDefault="002F266B" w:rsidP="002F266B">
      <w:pPr>
        <w:spacing w:before="100" w:beforeAutospacing="1" w:after="100" w:afterAutospacing="1" w:line="240" w:lineRule="auto"/>
        <w:rPr>
          <w:rFonts w:ascii="Times New Roman" w:eastAsia="Times New Roman" w:hAnsi="Times New Roman" w:cs="Times New Roman"/>
          <w:sz w:val="24"/>
          <w:szCs w:val="24"/>
        </w:rPr>
      </w:pPr>
      <w:r w:rsidRPr="002F266B">
        <w:rPr>
          <w:rFonts w:ascii="Times New Roman" w:eastAsia="Times New Roman" w:hAnsi="Times New Roman" w:cs="Times New Roman"/>
          <w:sz w:val="24"/>
          <w:szCs w:val="24"/>
        </w:rPr>
        <w:t xml:space="preserve">Changes in the position of the seawater/freshwater interface trigger ion exchange-, redox-, and dissolution-precipitation reactions (Beekman 1991, </w:t>
      </w:r>
      <w:proofErr w:type="spellStart"/>
      <w:r w:rsidRPr="002F266B">
        <w:rPr>
          <w:rFonts w:ascii="Times New Roman" w:eastAsia="Times New Roman" w:hAnsi="Times New Roman" w:cs="Times New Roman"/>
          <w:sz w:val="24"/>
          <w:szCs w:val="24"/>
        </w:rPr>
        <w:t>Stuyfzand</w:t>
      </w:r>
      <w:proofErr w:type="spellEnd"/>
      <w:r w:rsidRPr="002F266B">
        <w:rPr>
          <w:rFonts w:ascii="Times New Roman" w:eastAsia="Times New Roman" w:hAnsi="Times New Roman" w:cs="Times New Roman"/>
          <w:sz w:val="24"/>
          <w:szCs w:val="24"/>
        </w:rPr>
        <w:t xml:space="preserve"> 1993, </w:t>
      </w:r>
      <w:proofErr w:type="spellStart"/>
      <w:r w:rsidRPr="002F266B">
        <w:rPr>
          <w:rFonts w:ascii="Times New Roman" w:eastAsia="Times New Roman" w:hAnsi="Times New Roman" w:cs="Times New Roman"/>
          <w:sz w:val="24"/>
          <w:szCs w:val="24"/>
        </w:rPr>
        <w:t>Appelo</w:t>
      </w:r>
      <w:proofErr w:type="spellEnd"/>
      <w:r w:rsidRPr="002F266B">
        <w:rPr>
          <w:rFonts w:ascii="Times New Roman" w:eastAsia="Times New Roman" w:hAnsi="Times New Roman" w:cs="Times New Roman"/>
          <w:sz w:val="24"/>
          <w:szCs w:val="24"/>
        </w:rPr>
        <w:t xml:space="preserve"> 1994, </w:t>
      </w:r>
      <w:proofErr w:type="spellStart"/>
      <w:r w:rsidRPr="002F266B">
        <w:rPr>
          <w:rFonts w:ascii="Times New Roman" w:eastAsia="Times New Roman" w:hAnsi="Times New Roman" w:cs="Times New Roman"/>
          <w:sz w:val="24"/>
          <w:szCs w:val="24"/>
        </w:rPr>
        <w:t>Appelo</w:t>
      </w:r>
      <w:proofErr w:type="spellEnd"/>
      <w:r w:rsidRPr="002F266B">
        <w:rPr>
          <w:rFonts w:ascii="Times New Roman" w:eastAsia="Times New Roman" w:hAnsi="Times New Roman" w:cs="Times New Roman"/>
          <w:sz w:val="24"/>
          <w:szCs w:val="24"/>
        </w:rPr>
        <w:t xml:space="preserve"> 1996). Beekman (1991) explained the evolution in water quality along a freshening flow path as a coupled effect of cation exchange, calcite dissolution, and organic matter degradation. The interaction of redox reactions with carbonate equilibria has in particular been studied by Edmunds and Walton 1983, Smart et al 1988, Bishop and Lloyd 1990, </w:t>
      </w:r>
      <w:proofErr w:type="spellStart"/>
      <w:r w:rsidRPr="002F266B">
        <w:rPr>
          <w:rFonts w:ascii="Times New Roman" w:eastAsia="Times New Roman" w:hAnsi="Times New Roman" w:cs="Times New Roman"/>
          <w:sz w:val="24"/>
          <w:szCs w:val="24"/>
        </w:rPr>
        <w:t>Stoessell</w:t>
      </w:r>
      <w:proofErr w:type="spellEnd"/>
      <w:r w:rsidRPr="002F266B">
        <w:rPr>
          <w:rFonts w:ascii="Times New Roman" w:eastAsia="Times New Roman" w:hAnsi="Times New Roman" w:cs="Times New Roman"/>
          <w:sz w:val="24"/>
          <w:szCs w:val="24"/>
        </w:rPr>
        <w:t xml:space="preserve"> et al 1993, and Cai et al. (2003). Only a few studies have examined the coupling between the flow and transport processes and the geochemical processes as they occur at the interface in a coastal aquifer (Whitaker and Smart 1997, Barker et al 1998, Carlyle et al 2004, Snyder et al 2004).</w:t>
      </w:r>
    </w:p>
    <w:p w:rsidR="002F266B" w:rsidRPr="002F266B" w:rsidRDefault="002F266B" w:rsidP="002F266B">
      <w:pPr>
        <w:spacing w:before="100" w:beforeAutospacing="1" w:after="100" w:afterAutospacing="1" w:line="240" w:lineRule="auto"/>
        <w:rPr>
          <w:rFonts w:ascii="Times New Roman" w:eastAsia="Times New Roman" w:hAnsi="Times New Roman" w:cs="Times New Roman"/>
          <w:sz w:val="24"/>
          <w:szCs w:val="24"/>
        </w:rPr>
      </w:pPr>
      <w:r w:rsidRPr="002F266B">
        <w:rPr>
          <w:rFonts w:ascii="Times New Roman" w:eastAsia="Times New Roman" w:hAnsi="Times New Roman" w:cs="Times New Roman"/>
          <w:sz w:val="24"/>
          <w:szCs w:val="24"/>
        </w:rPr>
        <w:t xml:space="preserve">The objective of this paper is to describe the dynamics of flow and geochemical processes in a coastal aquifer subject to episodic seawater flooding. The paper presents the results of a detailed field study of the physical and geochemical processes in a seawater/freshwater transition zone within an unpolluted shallow </w:t>
      </w:r>
      <w:proofErr w:type="spellStart"/>
      <w:r w:rsidRPr="002F266B">
        <w:rPr>
          <w:rFonts w:ascii="Times New Roman" w:eastAsia="Times New Roman" w:hAnsi="Times New Roman" w:cs="Times New Roman"/>
          <w:sz w:val="24"/>
          <w:szCs w:val="24"/>
        </w:rPr>
        <w:t>siliclastic</w:t>
      </w:r>
      <w:proofErr w:type="spellEnd"/>
      <w:r w:rsidRPr="002F266B">
        <w:rPr>
          <w:rFonts w:ascii="Times New Roman" w:eastAsia="Times New Roman" w:hAnsi="Times New Roman" w:cs="Times New Roman"/>
          <w:sz w:val="24"/>
          <w:szCs w:val="24"/>
        </w:rPr>
        <w:t xml:space="preserve"> aquifer, containing traces of CaCO</w:t>
      </w:r>
      <w:r w:rsidRPr="002F266B">
        <w:rPr>
          <w:rFonts w:ascii="Times New Roman" w:eastAsia="Times New Roman" w:hAnsi="Times New Roman" w:cs="Times New Roman"/>
          <w:sz w:val="24"/>
          <w:szCs w:val="24"/>
          <w:vertAlign w:val="subscript"/>
        </w:rPr>
        <w:t>3</w:t>
      </w:r>
      <w:r w:rsidRPr="002F266B">
        <w:rPr>
          <w:rFonts w:ascii="Times New Roman" w:eastAsia="Times New Roman" w:hAnsi="Times New Roman" w:cs="Times New Roman"/>
          <w:sz w:val="24"/>
          <w:szCs w:val="24"/>
        </w:rPr>
        <w:t xml:space="preserve">. The field site is situated on a coastal meadow on the side of a small peninsula (called </w:t>
      </w:r>
      <w:proofErr w:type="spellStart"/>
      <w:r w:rsidRPr="002F266B">
        <w:rPr>
          <w:rFonts w:ascii="Times New Roman" w:eastAsia="Times New Roman" w:hAnsi="Times New Roman" w:cs="Times New Roman"/>
          <w:sz w:val="24"/>
          <w:szCs w:val="24"/>
        </w:rPr>
        <w:t>Skansehage</w:t>
      </w:r>
      <w:proofErr w:type="spellEnd"/>
      <w:r w:rsidRPr="002F266B">
        <w:rPr>
          <w:rFonts w:ascii="Times New Roman" w:eastAsia="Times New Roman" w:hAnsi="Times New Roman" w:cs="Times New Roman"/>
          <w:sz w:val="24"/>
          <w:szCs w:val="24"/>
        </w:rPr>
        <w:t xml:space="preserve">) in the </w:t>
      </w:r>
      <w:proofErr w:type="spellStart"/>
      <w:r w:rsidRPr="002F266B">
        <w:rPr>
          <w:rFonts w:ascii="Times New Roman" w:eastAsia="Times New Roman" w:hAnsi="Times New Roman" w:cs="Times New Roman"/>
          <w:sz w:val="24"/>
          <w:szCs w:val="24"/>
        </w:rPr>
        <w:t>Isefjord</w:t>
      </w:r>
      <w:proofErr w:type="spellEnd"/>
      <w:r w:rsidRPr="002F266B">
        <w:rPr>
          <w:rFonts w:ascii="Times New Roman" w:eastAsia="Times New Roman" w:hAnsi="Times New Roman" w:cs="Times New Roman"/>
          <w:sz w:val="24"/>
          <w:szCs w:val="24"/>
        </w:rPr>
        <w:t xml:space="preserve"> at the northern part of Zealand, Denmark (Fig. 1).</w:t>
      </w:r>
    </w:p>
    <w:p w:rsidR="002F266B" w:rsidRPr="002F266B" w:rsidRDefault="002F266B" w:rsidP="002F266B">
      <w:pPr>
        <w:spacing w:before="100" w:beforeAutospacing="1" w:after="100" w:afterAutospacing="1" w:line="240" w:lineRule="auto"/>
        <w:outlineLvl w:val="1"/>
        <w:rPr>
          <w:rFonts w:ascii="Times New Roman" w:eastAsia="Times New Roman" w:hAnsi="Times New Roman" w:cs="Times New Roman"/>
          <w:b/>
          <w:bCs/>
          <w:sz w:val="36"/>
          <w:szCs w:val="36"/>
        </w:rPr>
      </w:pPr>
      <w:r w:rsidRPr="002F266B">
        <w:rPr>
          <w:rFonts w:ascii="Times New Roman" w:eastAsia="Times New Roman" w:hAnsi="Times New Roman" w:cs="Times New Roman"/>
          <w:b/>
          <w:bCs/>
          <w:sz w:val="36"/>
          <w:szCs w:val="36"/>
        </w:rPr>
        <w:t>Section snippets</w:t>
      </w:r>
    </w:p>
    <w:p w:rsidR="002F266B" w:rsidRPr="002F266B" w:rsidRDefault="002F266B" w:rsidP="002F266B">
      <w:pPr>
        <w:spacing w:before="100" w:beforeAutospacing="1" w:after="100" w:afterAutospacing="1" w:line="240" w:lineRule="auto"/>
        <w:outlineLvl w:val="1"/>
        <w:rPr>
          <w:rFonts w:ascii="Times New Roman" w:eastAsia="Times New Roman" w:hAnsi="Times New Roman" w:cs="Times New Roman"/>
          <w:b/>
          <w:bCs/>
          <w:sz w:val="36"/>
          <w:szCs w:val="36"/>
        </w:rPr>
      </w:pPr>
      <w:r w:rsidRPr="002F266B">
        <w:rPr>
          <w:rFonts w:ascii="Times New Roman" w:eastAsia="Times New Roman" w:hAnsi="Times New Roman" w:cs="Times New Roman"/>
          <w:b/>
          <w:bCs/>
          <w:sz w:val="36"/>
          <w:szCs w:val="36"/>
        </w:rPr>
        <w:t>Monitoring Well Installation and Sediment Coring</w:t>
      </w:r>
    </w:p>
    <w:p w:rsidR="002F266B" w:rsidRPr="002F266B" w:rsidRDefault="002F266B" w:rsidP="002F266B">
      <w:pPr>
        <w:spacing w:before="100" w:beforeAutospacing="1" w:after="100" w:afterAutospacing="1" w:line="240" w:lineRule="auto"/>
        <w:rPr>
          <w:rFonts w:ascii="Times New Roman" w:eastAsia="Times New Roman" w:hAnsi="Times New Roman" w:cs="Times New Roman"/>
          <w:sz w:val="24"/>
          <w:szCs w:val="24"/>
        </w:rPr>
      </w:pPr>
      <w:r w:rsidRPr="002F266B">
        <w:rPr>
          <w:rFonts w:ascii="Times New Roman" w:eastAsia="Times New Roman" w:hAnsi="Times New Roman" w:cs="Times New Roman"/>
          <w:sz w:val="24"/>
          <w:szCs w:val="24"/>
        </w:rPr>
        <w:t xml:space="preserve">Piezometers were constructed from polyethylene pipes, equipped with 12-cm screens and a check valve just above the screen. The ball of the check valve could be removed for performing </w:t>
      </w:r>
      <w:proofErr w:type="spellStart"/>
      <w:r w:rsidRPr="002F266B">
        <w:rPr>
          <w:rFonts w:ascii="Times New Roman" w:eastAsia="Times New Roman" w:hAnsi="Times New Roman" w:cs="Times New Roman"/>
          <w:sz w:val="24"/>
          <w:szCs w:val="24"/>
        </w:rPr>
        <w:t>slugtests</w:t>
      </w:r>
      <w:proofErr w:type="spellEnd"/>
      <w:r w:rsidRPr="002F266B">
        <w:rPr>
          <w:rFonts w:ascii="Times New Roman" w:eastAsia="Times New Roman" w:hAnsi="Times New Roman" w:cs="Times New Roman"/>
          <w:sz w:val="24"/>
          <w:szCs w:val="24"/>
        </w:rPr>
        <w:t>. The piezometers were installed using 2.125</w:t>
      </w:r>
      <w:proofErr w:type="gramStart"/>
      <w:r w:rsidRPr="002F266B">
        <w:rPr>
          <w:rFonts w:ascii="Times New Roman" w:eastAsia="Times New Roman" w:hAnsi="Times New Roman" w:cs="Times New Roman"/>
          <w:sz w:val="24"/>
          <w:szCs w:val="24"/>
        </w:rPr>
        <w:t>“ (</w:t>
      </w:r>
      <w:proofErr w:type="gramEnd"/>
      <w:r w:rsidRPr="002F266B">
        <w:rPr>
          <w:rFonts w:ascii="Times New Roman" w:eastAsia="Times New Roman" w:hAnsi="Times New Roman" w:cs="Times New Roman"/>
          <w:sz w:val="24"/>
          <w:szCs w:val="24"/>
        </w:rPr>
        <w:t>OD) steel pipes, fitted with a disposable tip and driven into the ground by a Geoprobe 54 DT drilling rig. Intact sediment cores were obtained in a 1.2-m-long 43-mm ID polyvinylchloride liner using a piston coring system. The Geoprobe 54 DT rig was used to</w:t>
      </w:r>
    </w:p>
    <w:p w:rsidR="002F266B" w:rsidRPr="002F266B" w:rsidRDefault="002F266B" w:rsidP="002F266B">
      <w:pPr>
        <w:spacing w:before="100" w:beforeAutospacing="1" w:after="100" w:afterAutospacing="1" w:line="240" w:lineRule="auto"/>
        <w:outlineLvl w:val="1"/>
        <w:rPr>
          <w:rFonts w:ascii="Times New Roman" w:eastAsia="Times New Roman" w:hAnsi="Times New Roman" w:cs="Times New Roman"/>
          <w:b/>
          <w:bCs/>
          <w:sz w:val="36"/>
          <w:szCs w:val="36"/>
        </w:rPr>
      </w:pPr>
      <w:r w:rsidRPr="002F266B">
        <w:rPr>
          <w:rFonts w:ascii="Times New Roman" w:eastAsia="Times New Roman" w:hAnsi="Times New Roman" w:cs="Times New Roman"/>
          <w:b/>
          <w:bCs/>
          <w:sz w:val="36"/>
          <w:szCs w:val="36"/>
        </w:rPr>
        <w:t>Water Chemistry at the Seawater/Freshwater Interface</w:t>
      </w:r>
    </w:p>
    <w:p w:rsidR="002F266B" w:rsidRPr="002F266B" w:rsidRDefault="002F266B" w:rsidP="002F266B">
      <w:pPr>
        <w:spacing w:before="100" w:beforeAutospacing="1" w:after="100" w:afterAutospacing="1" w:line="240" w:lineRule="auto"/>
        <w:rPr>
          <w:rFonts w:ascii="Times New Roman" w:eastAsia="Times New Roman" w:hAnsi="Times New Roman" w:cs="Times New Roman"/>
          <w:sz w:val="24"/>
          <w:szCs w:val="24"/>
        </w:rPr>
      </w:pPr>
      <w:r w:rsidRPr="002F266B">
        <w:rPr>
          <w:rFonts w:ascii="Times New Roman" w:eastAsia="Times New Roman" w:hAnsi="Times New Roman" w:cs="Times New Roman"/>
          <w:sz w:val="24"/>
          <w:szCs w:val="24"/>
        </w:rPr>
        <w:t xml:space="preserve">Table 1 presents the four main water compositions at the field site. The fresh groundwater is of low salinity and dominated by calcium and bicarbonate with a high content of methane. The saline groundwater resembles mean surface seawater of the bay, but has a lower pH and is depleted in sulfate and enriched in sulfide and alkalinity (Table 1). Water samples from the transition zone have intermediate salinity, show enrichment in sulfide and alkalinity, and have consistently higher pH values than </w:t>
      </w:r>
    </w:p>
    <w:p w:rsidR="002F266B" w:rsidRPr="002F266B" w:rsidRDefault="002F266B" w:rsidP="002F266B">
      <w:pPr>
        <w:spacing w:before="100" w:beforeAutospacing="1" w:after="100" w:afterAutospacing="1" w:line="240" w:lineRule="auto"/>
        <w:outlineLvl w:val="1"/>
        <w:rPr>
          <w:rFonts w:ascii="Times New Roman" w:eastAsia="Times New Roman" w:hAnsi="Times New Roman" w:cs="Times New Roman"/>
          <w:b/>
          <w:bCs/>
          <w:sz w:val="36"/>
          <w:szCs w:val="36"/>
        </w:rPr>
      </w:pPr>
      <w:r w:rsidRPr="002F266B">
        <w:rPr>
          <w:rFonts w:ascii="Times New Roman" w:eastAsia="Times New Roman" w:hAnsi="Times New Roman" w:cs="Times New Roman"/>
          <w:b/>
          <w:bCs/>
          <w:sz w:val="36"/>
          <w:szCs w:val="36"/>
        </w:rPr>
        <w:t>Conclusions</w:t>
      </w:r>
    </w:p>
    <w:p w:rsidR="002F266B" w:rsidRPr="002F266B" w:rsidRDefault="002F266B" w:rsidP="002F266B">
      <w:pPr>
        <w:spacing w:before="100" w:beforeAutospacing="1" w:after="100" w:afterAutospacing="1" w:line="240" w:lineRule="auto"/>
        <w:rPr>
          <w:rFonts w:ascii="Times New Roman" w:eastAsia="Times New Roman" w:hAnsi="Times New Roman" w:cs="Times New Roman"/>
          <w:sz w:val="24"/>
          <w:szCs w:val="24"/>
        </w:rPr>
      </w:pPr>
      <w:r w:rsidRPr="002F266B">
        <w:rPr>
          <w:rFonts w:ascii="Times New Roman" w:eastAsia="Times New Roman" w:hAnsi="Times New Roman" w:cs="Times New Roman"/>
          <w:sz w:val="24"/>
          <w:szCs w:val="24"/>
        </w:rPr>
        <w:t xml:space="preserve">The groundwater composition at the seawater/freshwater interface in a pristine coastal aquifer is controlled by the combined effects of ion exchange, calcite dissolution, sulfate reduction, and methanogenesis in combination with advective transport and mixing. There are intricate interactions between these chemical processes: organic matter forms the main ion exchanger, degradation of </w:t>
      </w:r>
      <w:r w:rsidRPr="002F266B">
        <w:rPr>
          <w:rFonts w:ascii="Times New Roman" w:eastAsia="Times New Roman" w:hAnsi="Times New Roman" w:cs="Times New Roman"/>
          <w:sz w:val="24"/>
          <w:szCs w:val="24"/>
        </w:rPr>
        <w:lastRenderedPageBreak/>
        <w:t>organic matter produces HCO</w:t>
      </w:r>
      <w:r w:rsidRPr="002F266B">
        <w:rPr>
          <w:rFonts w:ascii="Times New Roman" w:eastAsia="Times New Roman" w:hAnsi="Times New Roman" w:cs="Times New Roman"/>
          <w:sz w:val="24"/>
          <w:szCs w:val="24"/>
          <w:vertAlign w:val="subscript"/>
        </w:rPr>
        <w:t>3</w:t>
      </w:r>
      <w:r w:rsidRPr="002F266B">
        <w:rPr>
          <w:rFonts w:ascii="Times New Roman" w:eastAsia="Times New Roman" w:hAnsi="Times New Roman" w:cs="Times New Roman"/>
          <w:sz w:val="24"/>
          <w:szCs w:val="24"/>
          <w:vertAlign w:val="superscript"/>
        </w:rPr>
        <w:t>−</w:t>
      </w:r>
      <w:r w:rsidRPr="002F266B">
        <w:rPr>
          <w:rFonts w:ascii="Times New Roman" w:eastAsia="Times New Roman" w:hAnsi="Times New Roman" w:cs="Times New Roman"/>
          <w:sz w:val="24"/>
          <w:szCs w:val="24"/>
        </w:rPr>
        <w:t xml:space="preserve"> or CO</w:t>
      </w:r>
      <w:r w:rsidRPr="002F266B">
        <w:rPr>
          <w:rFonts w:ascii="Times New Roman" w:eastAsia="Times New Roman" w:hAnsi="Times New Roman" w:cs="Times New Roman"/>
          <w:sz w:val="24"/>
          <w:szCs w:val="24"/>
          <w:vertAlign w:val="subscript"/>
        </w:rPr>
        <w:t>2</w:t>
      </w:r>
      <w:r w:rsidRPr="002F266B">
        <w:rPr>
          <w:rFonts w:ascii="Times New Roman" w:eastAsia="Times New Roman" w:hAnsi="Times New Roman" w:cs="Times New Roman"/>
          <w:sz w:val="24"/>
          <w:szCs w:val="24"/>
        </w:rPr>
        <w:t xml:space="preserve"> affecting CaCO</w:t>
      </w:r>
      <w:r w:rsidRPr="002F266B">
        <w:rPr>
          <w:rFonts w:ascii="Times New Roman" w:eastAsia="Times New Roman" w:hAnsi="Times New Roman" w:cs="Times New Roman"/>
          <w:sz w:val="24"/>
          <w:szCs w:val="24"/>
          <w:vertAlign w:val="subscript"/>
        </w:rPr>
        <w:t>3</w:t>
      </w:r>
      <w:r w:rsidRPr="002F266B">
        <w:rPr>
          <w:rFonts w:ascii="Times New Roman" w:eastAsia="Times New Roman" w:hAnsi="Times New Roman" w:cs="Times New Roman"/>
          <w:sz w:val="24"/>
          <w:szCs w:val="24"/>
        </w:rPr>
        <w:t xml:space="preserve"> equilibria, and the latter influences ion exchange</w:t>
      </w:r>
    </w:p>
    <w:p w:rsidR="002F266B" w:rsidRPr="002F266B" w:rsidRDefault="002F266B" w:rsidP="002F266B">
      <w:pPr>
        <w:spacing w:before="100" w:beforeAutospacing="1" w:after="100" w:afterAutospacing="1" w:line="240" w:lineRule="auto"/>
        <w:outlineLvl w:val="1"/>
        <w:rPr>
          <w:rFonts w:ascii="Times New Roman" w:eastAsia="Times New Roman" w:hAnsi="Times New Roman" w:cs="Times New Roman"/>
          <w:b/>
          <w:bCs/>
          <w:sz w:val="36"/>
          <w:szCs w:val="36"/>
        </w:rPr>
      </w:pPr>
      <w:r w:rsidRPr="002F266B">
        <w:rPr>
          <w:rFonts w:ascii="Times New Roman" w:eastAsia="Times New Roman" w:hAnsi="Times New Roman" w:cs="Times New Roman"/>
          <w:b/>
          <w:bCs/>
          <w:sz w:val="36"/>
          <w:szCs w:val="36"/>
        </w:rPr>
        <w:t>Acknowledgments</w:t>
      </w:r>
    </w:p>
    <w:p w:rsidR="002F266B" w:rsidRPr="002F266B" w:rsidRDefault="002F266B" w:rsidP="002F266B">
      <w:pPr>
        <w:spacing w:before="100" w:beforeAutospacing="1" w:after="100" w:afterAutospacing="1" w:line="240" w:lineRule="auto"/>
        <w:rPr>
          <w:rFonts w:ascii="Times New Roman" w:eastAsia="Times New Roman" w:hAnsi="Times New Roman" w:cs="Times New Roman"/>
          <w:sz w:val="24"/>
          <w:szCs w:val="24"/>
        </w:rPr>
      </w:pPr>
      <w:r w:rsidRPr="002F266B">
        <w:rPr>
          <w:rFonts w:ascii="Times New Roman" w:eastAsia="Times New Roman" w:hAnsi="Times New Roman" w:cs="Times New Roman"/>
          <w:sz w:val="24"/>
          <w:szCs w:val="24"/>
        </w:rPr>
        <w:t xml:space="preserve">This research has been supported by the Groundwater Research Centre–Technical University of Denmark (DTU), the Danish Natural Science Research Council, and DTU. Thanks to Ellen Zimmer Hansen, Erik </w:t>
      </w:r>
      <w:proofErr w:type="spellStart"/>
      <w:r w:rsidRPr="002F266B">
        <w:rPr>
          <w:rFonts w:ascii="Times New Roman" w:eastAsia="Times New Roman" w:hAnsi="Times New Roman" w:cs="Times New Roman"/>
          <w:sz w:val="24"/>
          <w:szCs w:val="24"/>
        </w:rPr>
        <w:t>Rønn</w:t>
      </w:r>
      <w:proofErr w:type="spellEnd"/>
      <w:r w:rsidRPr="002F266B">
        <w:rPr>
          <w:rFonts w:ascii="Times New Roman" w:eastAsia="Times New Roman" w:hAnsi="Times New Roman" w:cs="Times New Roman"/>
          <w:sz w:val="24"/>
          <w:szCs w:val="24"/>
        </w:rPr>
        <w:t xml:space="preserve"> Lange, </w:t>
      </w:r>
      <w:proofErr w:type="spellStart"/>
      <w:r w:rsidRPr="002F266B">
        <w:rPr>
          <w:rFonts w:ascii="Times New Roman" w:eastAsia="Times New Roman" w:hAnsi="Times New Roman" w:cs="Times New Roman"/>
          <w:sz w:val="24"/>
          <w:szCs w:val="24"/>
        </w:rPr>
        <w:t>Lene</w:t>
      </w:r>
      <w:proofErr w:type="spellEnd"/>
      <w:r w:rsidRPr="002F266B">
        <w:rPr>
          <w:rFonts w:ascii="Times New Roman" w:eastAsia="Times New Roman" w:hAnsi="Times New Roman" w:cs="Times New Roman"/>
          <w:sz w:val="24"/>
          <w:szCs w:val="24"/>
        </w:rPr>
        <w:t xml:space="preserve"> </w:t>
      </w:r>
      <w:proofErr w:type="spellStart"/>
      <w:r w:rsidRPr="002F266B">
        <w:rPr>
          <w:rFonts w:ascii="Times New Roman" w:eastAsia="Times New Roman" w:hAnsi="Times New Roman" w:cs="Times New Roman"/>
          <w:sz w:val="24"/>
          <w:szCs w:val="24"/>
        </w:rPr>
        <w:t>Kirstejn</w:t>
      </w:r>
      <w:proofErr w:type="spellEnd"/>
      <w:r w:rsidRPr="002F266B">
        <w:rPr>
          <w:rFonts w:ascii="Times New Roman" w:eastAsia="Times New Roman" w:hAnsi="Times New Roman" w:cs="Times New Roman"/>
          <w:sz w:val="24"/>
          <w:szCs w:val="24"/>
        </w:rPr>
        <w:t xml:space="preserve"> Jensen, </w:t>
      </w:r>
      <w:proofErr w:type="spellStart"/>
      <w:r w:rsidRPr="002F266B">
        <w:rPr>
          <w:rFonts w:ascii="Times New Roman" w:eastAsia="Times New Roman" w:hAnsi="Times New Roman" w:cs="Times New Roman"/>
          <w:sz w:val="24"/>
          <w:szCs w:val="24"/>
        </w:rPr>
        <w:t>Flemming</w:t>
      </w:r>
      <w:proofErr w:type="spellEnd"/>
      <w:r w:rsidRPr="002F266B">
        <w:rPr>
          <w:rFonts w:ascii="Times New Roman" w:eastAsia="Times New Roman" w:hAnsi="Times New Roman" w:cs="Times New Roman"/>
          <w:sz w:val="24"/>
          <w:szCs w:val="24"/>
        </w:rPr>
        <w:t xml:space="preserve"> </w:t>
      </w:r>
      <w:proofErr w:type="spellStart"/>
      <w:r w:rsidRPr="002F266B">
        <w:rPr>
          <w:rFonts w:ascii="Times New Roman" w:eastAsia="Times New Roman" w:hAnsi="Times New Roman" w:cs="Times New Roman"/>
          <w:sz w:val="24"/>
          <w:szCs w:val="24"/>
        </w:rPr>
        <w:t>Damgaard</w:t>
      </w:r>
      <w:proofErr w:type="spellEnd"/>
      <w:r w:rsidRPr="002F266B">
        <w:rPr>
          <w:rFonts w:ascii="Times New Roman" w:eastAsia="Times New Roman" w:hAnsi="Times New Roman" w:cs="Times New Roman"/>
          <w:sz w:val="24"/>
          <w:szCs w:val="24"/>
        </w:rPr>
        <w:t xml:space="preserve"> Christensen, Henrik </w:t>
      </w:r>
      <w:proofErr w:type="spellStart"/>
      <w:r w:rsidRPr="002F266B">
        <w:rPr>
          <w:rFonts w:ascii="Times New Roman" w:eastAsia="Times New Roman" w:hAnsi="Times New Roman" w:cs="Times New Roman"/>
          <w:sz w:val="24"/>
          <w:szCs w:val="24"/>
        </w:rPr>
        <w:t>Skov</w:t>
      </w:r>
      <w:proofErr w:type="spellEnd"/>
      <w:r w:rsidRPr="002F266B">
        <w:rPr>
          <w:rFonts w:ascii="Times New Roman" w:eastAsia="Times New Roman" w:hAnsi="Times New Roman" w:cs="Times New Roman"/>
          <w:sz w:val="24"/>
          <w:szCs w:val="24"/>
        </w:rPr>
        <w:t xml:space="preserve">, and </w:t>
      </w:r>
      <w:proofErr w:type="spellStart"/>
      <w:r w:rsidRPr="002F266B">
        <w:rPr>
          <w:rFonts w:ascii="Times New Roman" w:eastAsia="Times New Roman" w:hAnsi="Times New Roman" w:cs="Times New Roman"/>
          <w:sz w:val="24"/>
          <w:szCs w:val="24"/>
        </w:rPr>
        <w:t>Bente</w:t>
      </w:r>
      <w:proofErr w:type="spellEnd"/>
      <w:r w:rsidRPr="002F266B">
        <w:rPr>
          <w:rFonts w:ascii="Times New Roman" w:eastAsia="Times New Roman" w:hAnsi="Times New Roman" w:cs="Times New Roman"/>
          <w:sz w:val="24"/>
          <w:szCs w:val="24"/>
        </w:rPr>
        <w:t xml:space="preserve"> </w:t>
      </w:r>
      <w:proofErr w:type="spellStart"/>
      <w:r w:rsidRPr="002F266B">
        <w:rPr>
          <w:rFonts w:ascii="Times New Roman" w:eastAsia="Times New Roman" w:hAnsi="Times New Roman" w:cs="Times New Roman"/>
          <w:sz w:val="24"/>
          <w:szCs w:val="24"/>
        </w:rPr>
        <w:t>Frydenlund</w:t>
      </w:r>
      <w:proofErr w:type="spellEnd"/>
      <w:r w:rsidRPr="002F266B">
        <w:rPr>
          <w:rFonts w:ascii="Times New Roman" w:eastAsia="Times New Roman" w:hAnsi="Times New Roman" w:cs="Times New Roman"/>
          <w:sz w:val="24"/>
          <w:szCs w:val="24"/>
        </w:rPr>
        <w:t xml:space="preserve"> who supported in the field and the laboratory. Thanks to Tony </w:t>
      </w:r>
      <w:proofErr w:type="spellStart"/>
      <w:r w:rsidRPr="002F266B">
        <w:rPr>
          <w:rFonts w:ascii="Times New Roman" w:eastAsia="Times New Roman" w:hAnsi="Times New Roman" w:cs="Times New Roman"/>
          <w:sz w:val="24"/>
          <w:szCs w:val="24"/>
        </w:rPr>
        <w:t>Appelo</w:t>
      </w:r>
      <w:proofErr w:type="spellEnd"/>
      <w:r w:rsidRPr="002F266B">
        <w:rPr>
          <w:rFonts w:ascii="Times New Roman" w:eastAsia="Times New Roman" w:hAnsi="Times New Roman" w:cs="Times New Roman"/>
          <w:sz w:val="24"/>
          <w:szCs w:val="24"/>
        </w:rPr>
        <w:t xml:space="preserve"> who suggested methodologies for the determination of adsorbed cations and CEC. We also wish to thank the two anonymous reviewers and</w:t>
      </w:r>
    </w:p>
    <w:p w:rsidR="00B04B12" w:rsidRDefault="00B04B12"/>
    <w:sectPr w:rsidR="00B04B12">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66B"/>
    <w:rsid w:val="002F266B"/>
    <w:rsid w:val="00B04B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5FDE3"/>
  <w15:chartTrackingRefBased/>
  <w15:docId w15:val="{188CFA62-F91E-4961-AC0B-534A05624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5997156">
      <w:bodyDiv w:val="1"/>
      <w:marLeft w:val="0"/>
      <w:marRight w:val="0"/>
      <w:marTop w:val="0"/>
      <w:marBottom w:val="0"/>
      <w:divBdr>
        <w:top w:val="none" w:sz="0" w:space="0" w:color="auto"/>
        <w:left w:val="none" w:sz="0" w:space="0" w:color="auto"/>
        <w:bottom w:val="none" w:sz="0" w:space="0" w:color="auto"/>
        <w:right w:val="none" w:sz="0" w:space="0" w:color="auto"/>
      </w:divBdr>
      <w:divsChild>
        <w:div w:id="469713347">
          <w:marLeft w:val="0"/>
          <w:marRight w:val="0"/>
          <w:marTop w:val="0"/>
          <w:marBottom w:val="0"/>
          <w:divBdr>
            <w:top w:val="none" w:sz="0" w:space="0" w:color="auto"/>
            <w:left w:val="none" w:sz="0" w:space="0" w:color="auto"/>
            <w:bottom w:val="none" w:sz="0" w:space="0" w:color="auto"/>
            <w:right w:val="none" w:sz="0" w:space="0" w:color="auto"/>
          </w:divBdr>
          <w:divsChild>
            <w:div w:id="1839341424">
              <w:marLeft w:val="0"/>
              <w:marRight w:val="0"/>
              <w:marTop w:val="0"/>
              <w:marBottom w:val="0"/>
              <w:divBdr>
                <w:top w:val="none" w:sz="0" w:space="0" w:color="auto"/>
                <w:left w:val="none" w:sz="0" w:space="0" w:color="auto"/>
                <w:bottom w:val="none" w:sz="0" w:space="0" w:color="auto"/>
                <w:right w:val="none" w:sz="0" w:space="0" w:color="auto"/>
              </w:divBdr>
              <w:divsChild>
                <w:div w:id="1592161207">
                  <w:marLeft w:val="0"/>
                  <w:marRight w:val="0"/>
                  <w:marTop w:val="0"/>
                  <w:marBottom w:val="0"/>
                  <w:divBdr>
                    <w:top w:val="none" w:sz="0" w:space="0" w:color="auto"/>
                    <w:left w:val="none" w:sz="0" w:space="0" w:color="auto"/>
                    <w:bottom w:val="none" w:sz="0" w:space="0" w:color="auto"/>
                    <w:right w:val="none" w:sz="0" w:space="0" w:color="auto"/>
                  </w:divBdr>
                  <w:divsChild>
                    <w:div w:id="84216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29181">
          <w:marLeft w:val="0"/>
          <w:marRight w:val="0"/>
          <w:marTop w:val="0"/>
          <w:marBottom w:val="0"/>
          <w:divBdr>
            <w:top w:val="none" w:sz="0" w:space="0" w:color="auto"/>
            <w:left w:val="none" w:sz="0" w:space="0" w:color="auto"/>
            <w:bottom w:val="none" w:sz="0" w:space="0" w:color="auto"/>
            <w:right w:val="none" w:sz="0" w:space="0" w:color="auto"/>
          </w:divBdr>
          <w:divsChild>
            <w:div w:id="1649359603">
              <w:marLeft w:val="0"/>
              <w:marRight w:val="0"/>
              <w:marTop w:val="0"/>
              <w:marBottom w:val="0"/>
              <w:divBdr>
                <w:top w:val="none" w:sz="0" w:space="0" w:color="auto"/>
                <w:left w:val="none" w:sz="0" w:space="0" w:color="auto"/>
                <w:bottom w:val="none" w:sz="0" w:space="0" w:color="auto"/>
                <w:right w:val="none" w:sz="0" w:space="0" w:color="auto"/>
              </w:divBdr>
              <w:divsChild>
                <w:div w:id="918290845">
                  <w:marLeft w:val="0"/>
                  <w:marRight w:val="0"/>
                  <w:marTop w:val="0"/>
                  <w:marBottom w:val="0"/>
                  <w:divBdr>
                    <w:top w:val="none" w:sz="0" w:space="0" w:color="auto"/>
                    <w:left w:val="none" w:sz="0" w:space="0" w:color="auto"/>
                    <w:bottom w:val="none" w:sz="0" w:space="0" w:color="auto"/>
                    <w:right w:val="none" w:sz="0" w:space="0" w:color="auto"/>
                  </w:divBdr>
                  <w:divsChild>
                    <w:div w:id="196596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705642">
          <w:marLeft w:val="0"/>
          <w:marRight w:val="0"/>
          <w:marTop w:val="0"/>
          <w:marBottom w:val="0"/>
          <w:divBdr>
            <w:top w:val="none" w:sz="0" w:space="0" w:color="auto"/>
            <w:left w:val="none" w:sz="0" w:space="0" w:color="auto"/>
            <w:bottom w:val="none" w:sz="0" w:space="0" w:color="auto"/>
            <w:right w:val="none" w:sz="0" w:space="0" w:color="auto"/>
          </w:divBdr>
          <w:divsChild>
            <w:div w:id="1179079883">
              <w:marLeft w:val="0"/>
              <w:marRight w:val="0"/>
              <w:marTop w:val="0"/>
              <w:marBottom w:val="0"/>
              <w:divBdr>
                <w:top w:val="none" w:sz="0" w:space="0" w:color="auto"/>
                <w:left w:val="none" w:sz="0" w:space="0" w:color="auto"/>
                <w:bottom w:val="none" w:sz="0" w:space="0" w:color="auto"/>
                <w:right w:val="none" w:sz="0" w:space="0" w:color="auto"/>
              </w:divBdr>
            </w:div>
          </w:divsChild>
        </w:div>
        <w:div w:id="2128088007">
          <w:marLeft w:val="0"/>
          <w:marRight w:val="0"/>
          <w:marTop w:val="0"/>
          <w:marBottom w:val="0"/>
          <w:divBdr>
            <w:top w:val="none" w:sz="0" w:space="0" w:color="auto"/>
            <w:left w:val="none" w:sz="0" w:space="0" w:color="auto"/>
            <w:bottom w:val="none" w:sz="0" w:space="0" w:color="auto"/>
            <w:right w:val="none" w:sz="0" w:space="0" w:color="auto"/>
          </w:divBdr>
          <w:divsChild>
            <w:div w:id="209311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groundwater-flow"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methanogenesi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piezometer" TargetMode="External"/><Relationship Id="rId11" Type="http://schemas.openxmlformats.org/officeDocument/2006/relationships/theme" Target="theme/theme1.xml"/><Relationship Id="rId5" Type="http://schemas.openxmlformats.org/officeDocument/2006/relationships/hyperlink" Target="https://www.sciencedirect.com/topics/earth-and-planetary-sciences/calcite" TargetMode="External"/><Relationship Id="rId10" Type="http://schemas.openxmlformats.org/officeDocument/2006/relationships/fontTable" Target="fontTable.xml"/><Relationship Id="rId4" Type="http://schemas.openxmlformats.org/officeDocument/2006/relationships/hyperlink" Target="https://doi.org/10.1016/j.gca.2005.03.017" TargetMode="External"/><Relationship Id="rId9" Type="http://schemas.openxmlformats.org/officeDocument/2006/relationships/hyperlink" Target="https://www.sciencedirect.com/topics/earth-and-planetary-sciences/geological-t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1165</Words>
  <Characters>6644</Characters>
  <Application>Microsoft Office Word</Application>
  <DocSecurity>0</DocSecurity>
  <Lines>55</Lines>
  <Paragraphs>15</Paragraphs>
  <ScaleCrop>false</ScaleCrop>
  <Company/>
  <LinksUpToDate>false</LinksUpToDate>
  <CharactersWithSpaces>7794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2023-11-18T03:58:00Z</dcterms:created>
  <dcterms:modified xsi:type="dcterms:W3CDTF">2023-11-18T03:58:00Z</dcterms:modified>
</cp:coreProperties>
</file>