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F30AE" w:rsidRPr="005F30AE" w:rsidRDefault="005F30AE" w:rsidP="005F30AE">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F30AE">
        <w:rPr>
          <w:rFonts w:ascii="Times New Roman" w:eastAsia="Times New Roman" w:hAnsi="Times New Roman" w:cs="Times New Roman"/>
          <w:b/>
          <w:bCs/>
          <w:kern w:val="36"/>
          <w:sz w:val="48"/>
          <w:szCs w:val="48"/>
        </w:rPr>
        <w:t xml:space="preserve">Boric acid, “carbonic” acid, and N-containing </w:t>
      </w:r>
      <w:proofErr w:type="spellStart"/>
      <w:r w:rsidRPr="005F30AE">
        <w:rPr>
          <w:rFonts w:ascii="Times New Roman" w:eastAsia="Times New Roman" w:hAnsi="Times New Roman" w:cs="Times New Roman"/>
          <w:b/>
          <w:bCs/>
          <w:kern w:val="36"/>
          <w:sz w:val="48"/>
          <w:szCs w:val="48"/>
        </w:rPr>
        <w:t>oxyacids</w:t>
      </w:r>
      <w:proofErr w:type="spellEnd"/>
      <w:r w:rsidRPr="005F30AE">
        <w:rPr>
          <w:rFonts w:ascii="Times New Roman" w:eastAsia="Times New Roman" w:hAnsi="Times New Roman" w:cs="Times New Roman"/>
          <w:b/>
          <w:bCs/>
          <w:kern w:val="36"/>
          <w:sz w:val="48"/>
          <w:szCs w:val="48"/>
        </w:rPr>
        <w:t xml:space="preserve"> in aqueous solution: Ab initio studies of structure, </w:t>
      </w:r>
      <w:proofErr w:type="spellStart"/>
      <w:r w:rsidRPr="005F30AE">
        <w:rPr>
          <w:rFonts w:ascii="Times New Roman" w:eastAsia="Times New Roman" w:hAnsi="Times New Roman" w:cs="Times New Roman"/>
          <w:b/>
          <w:bCs/>
          <w:kern w:val="36"/>
          <w:sz w:val="48"/>
          <w:szCs w:val="48"/>
        </w:rPr>
        <w:t>p</w:t>
      </w:r>
      <w:r w:rsidRPr="005F30AE">
        <w:rPr>
          <w:rFonts w:ascii="Times New Roman" w:eastAsia="Times New Roman" w:hAnsi="Times New Roman" w:cs="Times New Roman"/>
          <w:b/>
          <w:bCs/>
          <w:i/>
          <w:iCs/>
          <w:kern w:val="36"/>
          <w:sz w:val="48"/>
          <w:szCs w:val="48"/>
        </w:rPr>
        <w:t>K</w:t>
      </w:r>
      <w:r w:rsidRPr="005F30AE">
        <w:rPr>
          <w:rFonts w:ascii="Times New Roman" w:eastAsia="Times New Roman" w:hAnsi="Times New Roman" w:cs="Times New Roman"/>
          <w:b/>
          <w:bCs/>
          <w:kern w:val="36"/>
          <w:sz w:val="48"/>
          <w:szCs w:val="48"/>
          <w:vertAlign w:val="subscript"/>
        </w:rPr>
        <w:t>a</w:t>
      </w:r>
      <w:proofErr w:type="spellEnd"/>
      <w:r w:rsidRPr="005F30AE">
        <w:rPr>
          <w:rFonts w:ascii="Times New Roman" w:eastAsia="Times New Roman" w:hAnsi="Times New Roman" w:cs="Times New Roman"/>
          <w:b/>
          <w:bCs/>
          <w:kern w:val="36"/>
          <w:sz w:val="48"/>
          <w:szCs w:val="48"/>
        </w:rPr>
        <w:t>, NMR shifts, and isotopic fractionations</w:t>
      </w:r>
    </w:p>
    <w:p w:rsidR="005F30AE" w:rsidRPr="005F30AE" w:rsidRDefault="005F30AE" w:rsidP="005F30AE">
      <w:pPr>
        <w:spacing w:after="0"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Author links open overlay panel</w:t>
      </w:r>
    </w:p>
    <w:p w:rsidR="005F30AE" w:rsidRPr="005F30AE" w:rsidRDefault="005F30AE" w:rsidP="005F30AE">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5F30AE">
          <w:rPr>
            <w:rFonts w:ascii="Times New Roman" w:eastAsia="Times New Roman" w:hAnsi="Times New Roman" w:cs="Times New Roman"/>
            <w:color w:val="0000FF"/>
            <w:sz w:val="24"/>
            <w:szCs w:val="24"/>
            <w:u w:val="single"/>
          </w:rPr>
          <w:t>https://doi.org/10.1016/j.gca.2005.08.004</w:t>
        </w:r>
      </w:hyperlink>
      <w:bookmarkStart w:id="0" w:name="_GoBack"/>
      <w:bookmarkEnd w:id="0"/>
      <w:r w:rsidRPr="005F30AE">
        <w:rPr>
          <w:rFonts w:ascii="Times New Roman" w:eastAsia="Times New Roman" w:hAnsi="Times New Roman" w:cs="Times New Roman"/>
          <w:sz w:val="24"/>
          <w:szCs w:val="24"/>
        </w:rPr>
        <w:t xml:space="preserve"> </w:t>
      </w:r>
    </w:p>
    <w:p w:rsidR="005F30AE" w:rsidRPr="005F30AE" w:rsidRDefault="005F30AE" w:rsidP="005F30AE">
      <w:pPr>
        <w:spacing w:before="100" w:beforeAutospacing="1" w:after="100" w:afterAutospacing="1" w:line="240" w:lineRule="auto"/>
        <w:outlineLvl w:val="1"/>
        <w:rPr>
          <w:rFonts w:ascii="Times New Roman" w:eastAsia="Times New Roman" w:hAnsi="Times New Roman" w:cs="Times New Roman"/>
          <w:b/>
          <w:bCs/>
          <w:sz w:val="36"/>
          <w:szCs w:val="36"/>
        </w:rPr>
      </w:pPr>
      <w:r w:rsidRPr="005F30AE">
        <w:rPr>
          <w:rFonts w:ascii="Times New Roman" w:eastAsia="Times New Roman" w:hAnsi="Times New Roman" w:cs="Times New Roman"/>
          <w:b/>
          <w:bCs/>
          <w:sz w:val="36"/>
          <w:szCs w:val="36"/>
        </w:rPr>
        <w:t>Abstract</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and 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 are acidic species of considerable geochemical importance, yet the microscopic nature of the acid dissociation reactions for these B and C species is not well understood. Quantum mechanical methods have recently been applied to the direct ab initio calculation of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for many organic and inorganic weak acids, but the B and C acids have not yet been considered in detail. In the present study,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are calculated quantum mechanically for the </w:t>
      </w:r>
      <w:proofErr w:type="spellStart"/>
      <w:r w:rsidRPr="005F30AE">
        <w:rPr>
          <w:rFonts w:ascii="Times New Roman" w:eastAsia="Times New Roman" w:hAnsi="Times New Roman" w:cs="Times New Roman"/>
          <w:sz w:val="24"/>
          <w:szCs w:val="24"/>
        </w:rPr>
        <w:t>oxyacids</w:t>
      </w:r>
      <w:proofErr w:type="spellEnd"/>
      <w:r w:rsidRPr="005F30AE">
        <w:rPr>
          <w:rFonts w:ascii="Times New Roman" w:eastAsia="Times New Roman" w:hAnsi="Times New Roman" w:cs="Times New Roman"/>
          <w:sz w:val="24"/>
          <w:szCs w:val="24"/>
        </w:rPr>
        <w:t xml:space="preserve">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and HNO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which have experimental first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of 9.2, 6.4 and −1.3, respectively. We calculate the gas-phase reaction free energies at the highly accurate CBS-QB3 ab initio quantum mechanical level and reaction free energies of hydration using a polarizable continuum method.</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 xml:space="preserve">Using a </w:t>
      </w:r>
      <w:hyperlink r:id="rId5" w:tooltip="Learn more about thermodynamic cycle from ScienceDirect's AI-generated Topic Pages" w:history="1">
        <w:r w:rsidRPr="005F30AE">
          <w:rPr>
            <w:rFonts w:ascii="Times New Roman" w:eastAsia="Times New Roman" w:hAnsi="Times New Roman" w:cs="Times New Roman"/>
            <w:color w:val="0000FF"/>
            <w:sz w:val="24"/>
            <w:szCs w:val="24"/>
            <w:u w:val="single"/>
          </w:rPr>
          <w:t>thermodynamic cycle</w:t>
        </w:r>
      </w:hyperlink>
      <w:r w:rsidRPr="005F30AE">
        <w:rPr>
          <w:rFonts w:ascii="Times New Roman" w:eastAsia="Times New Roman" w:hAnsi="Times New Roman" w:cs="Times New Roman"/>
          <w:sz w:val="24"/>
          <w:szCs w:val="24"/>
        </w:rPr>
        <w:t xml:space="preserve"> corresponding to the simple dissociation process HA A</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 xml:space="preserve"> + H</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 xml:space="preserve">, in aqueous solution, we calculate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of 21.6, 3.8 to 2.2 and −0.8 for the three </w:t>
      </w:r>
      <w:proofErr w:type="spellStart"/>
      <w:r w:rsidRPr="005F30AE">
        <w:rPr>
          <w:rFonts w:ascii="Times New Roman" w:eastAsia="Times New Roman" w:hAnsi="Times New Roman" w:cs="Times New Roman"/>
          <w:sz w:val="24"/>
          <w:szCs w:val="24"/>
        </w:rPr>
        <w:t>oxyacids</w:t>
      </w:r>
      <w:proofErr w:type="spellEnd"/>
      <w:r w:rsidRPr="005F30AE">
        <w:rPr>
          <w:rFonts w:ascii="Times New Roman" w:eastAsia="Times New Roman" w:hAnsi="Times New Roman" w:cs="Times New Roman"/>
          <w:sz w:val="24"/>
          <w:szCs w:val="24"/>
        </w:rPr>
        <w:t xml:space="preserve"> mentioned above, closely matching experiment only for HNO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The discrepancies with experiment arise from the more complex nature of the acid dissociation process for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which involves the addition of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O to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and formation of the B(OH)</w:t>
      </w:r>
      <w:r w:rsidRPr="005F30AE">
        <w:rPr>
          <w:rFonts w:ascii="Times New Roman" w:eastAsia="Times New Roman" w:hAnsi="Times New Roman" w:cs="Times New Roman"/>
          <w:sz w:val="24"/>
          <w:szCs w:val="24"/>
          <w:vertAlign w:val="subscript"/>
        </w:rPr>
        <w:t>4</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 xml:space="preserve"> anion, and from the instability of hypothetical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compared to the proper hydrated reactant complex 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 .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O. When the proper microscopic description of the reactants and products is used the calculated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for the three acids become 11.1, 7.2 and −0.8, in considerably better agreement with experiment for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and CO</w:t>
      </w:r>
      <w:r w:rsidRPr="005F30AE">
        <w:rPr>
          <w:rFonts w:ascii="Times New Roman" w:eastAsia="Times New Roman" w:hAnsi="Times New Roman" w:cs="Times New Roman"/>
          <w:sz w:val="24"/>
          <w:szCs w:val="24"/>
          <w:vertAlign w:val="subscript"/>
        </w:rPr>
        <w:t>2</w:t>
      </w:r>
      <w:proofErr w:type="gramStart"/>
      <w:r w:rsidRPr="005F30AE">
        <w:rPr>
          <w:rFonts w:ascii="Times New Roman" w:eastAsia="Times New Roman" w:hAnsi="Times New Roman" w:cs="Times New Roman"/>
          <w:sz w:val="24"/>
          <w:szCs w:val="24"/>
        </w:rPr>
        <w:t>. .</w:t>
      </w:r>
      <w:proofErr w:type="gramEnd"/>
      <w:r w:rsidRPr="005F30AE">
        <w:rPr>
          <w:rFonts w:ascii="Times New Roman" w:eastAsia="Times New Roman" w:hAnsi="Times New Roman" w:cs="Times New Roman"/>
          <w:sz w:val="24"/>
          <w:szCs w:val="24"/>
        </w:rPr>
        <w:t> .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O. </w:t>
      </w:r>
      <w:proofErr w:type="gramStart"/>
      <w:r w:rsidRPr="005F30AE">
        <w:rPr>
          <w:rFonts w:ascii="Times New Roman" w:eastAsia="Times New Roman" w:hAnsi="Times New Roman" w:cs="Times New Roman"/>
          <w:sz w:val="24"/>
          <w:szCs w:val="24"/>
        </w:rPr>
        <w:t>Thus</w:t>
      </w:r>
      <w:proofErr w:type="gramEnd"/>
      <w:r w:rsidRPr="005F30AE">
        <w:rPr>
          <w:rFonts w:ascii="Times New Roman" w:eastAsia="Times New Roman" w:hAnsi="Times New Roman" w:cs="Times New Roman"/>
          <w:sz w:val="24"/>
          <w:szCs w:val="24"/>
        </w:rPr>
        <w:t xml:space="preserve">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calculations using this approach are accurate enough to give information on the actual acid species present in solution and the details of their acid dissociation processes at the microscopic level.</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vertAlign w:val="superscript"/>
        </w:rPr>
        <w:t>11</w:t>
      </w:r>
      <w:r w:rsidRPr="005F30AE">
        <w:rPr>
          <w:rFonts w:ascii="Times New Roman" w:eastAsia="Times New Roman" w:hAnsi="Times New Roman" w:cs="Times New Roman"/>
          <w:sz w:val="24"/>
          <w:szCs w:val="24"/>
        </w:rPr>
        <w:t xml:space="preserve">B and </w:t>
      </w:r>
      <w:r w:rsidRPr="005F30AE">
        <w:rPr>
          <w:rFonts w:ascii="Times New Roman" w:eastAsia="Times New Roman" w:hAnsi="Times New Roman" w:cs="Times New Roman"/>
          <w:sz w:val="24"/>
          <w:szCs w:val="24"/>
          <w:vertAlign w:val="superscript"/>
        </w:rPr>
        <w:t>13</w:t>
      </w:r>
      <w:r w:rsidRPr="005F30AE">
        <w:rPr>
          <w:rFonts w:ascii="Times New Roman" w:eastAsia="Times New Roman" w:hAnsi="Times New Roman" w:cs="Times New Roman"/>
          <w:sz w:val="24"/>
          <w:szCs w:val="24"/>
        </w:rPr>
        <w:t xml:space="preserve">C-NMR chemical shifts are also calculated for the various species and compared to experiment. By comparison of our calculations with experiment it is apparent that the </w:t>
      </w:r>
      <w:r w:rsidRPr="005F30AE">
        <w:rPr>
          <w:rFonts w:ascii="Times New Roman" w:eastAsia="Times New Roman" w:hAnsi="Times New Roman" w:cs="Times New Roman"/>
          <w:sz w:val="24"/>
          <w:szCs w:val="24"/>
          <w:vertAlign w:val="superscript"/>
        </w:rPr>
        <w:t>13</w:t>
      </w:r>
      <w:r w:rsidRPr="005F30AE">
        <w:rPr>
          <w:rFonts w:ascii="Times New Roman" w:eastAsia="Times New Roman" w:hAnsi="Times New Roman" w:cs="Times New Roman"/>
          <w:sz w:val="24"/>
          <w:szCs w:val="24"/>
        </w:rPr>
        <w:t>C-NMR chemical shift has never been measured for an actual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molecule in solution, consistent with its thermodynamic and kinetic instability with respect to 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 +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O. By contrast, the good agreement of calculated and experimental NMR shifts for the species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and B(OH)</w:t>
      </w:r>
      <w:r w:rsidRPr="005F30AE">
        <w:rPr>
          <w:rFonts w:ascii="Times New Roman" w:eastAsia="Times New Roman" w:hAnsi="Times New Roman" w:cs="Times New Roman"/>
          <w:sz w:val="24"/>
          <w:szCs w:val="24"/>
          <w:vertAlign w:val="subscript"/>
        </w:rPr>
        <w:t>4</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 xml:space="preserve"> support their existence in solution. Calculations of the IR spectra of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and its H-bonded dimer support the idea that spectra previously assigned to condensed phase or surface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are better interpreted as arising from some type of H-bonded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oligomer, rather than the </w:t>
      </w:r>
      <w:hyperlink r:id="rId6" w:tooltip="Learn more about monomer from ScienceDirect's AI-generated Topic Pages" w:history="1">
        <w:r w:rsidRPr="005F30AE">
          <w:rPr>
            <w:rFonts w:ascii="Times New Roman" w:eastAsia="Times New Roman" w:hAnsi="Times New Roman" w:cs="Times New Roman"/>
            <w:color w:val="0000FF"/>
            <w:sz w:val="24"/>
            <w:szCs w:val="24"/>
            <w:u w:val="single"/>
          </w:rPr>
          <w:t>monomer</w:t>
        </w:r>
      </w:hyperlink>
      <w:r w:rsidRPr="005F30AE">
        <w:rPr>
          <w:rFonts w:ascii="Times New Roman" w:eastAsia="Times New Roman" w:hAnsi="Times New Roman" w:cs="Times New Roman"/>
          <w:sz w:val="24"/>
          <w:szCs w:val="24"/>
        </w:rPr>
        <w:t>.</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 xml:space="preserve">Calculations of the relative free energy for different </w:t>
      </w:r>
      <w:proofErr w:type="spellStart"/>
      <w:r w:rsidRPr="005F30AE">
        <w:rPr>
          <w:rFonts w:ascii="Times New Roman" w:eastAsia="Times New Roman" w:hAnsi="Times New Roman" w:cs="Times New Roman"/>
          <w:sz w:val="24"/>
          <w:szCs w:val="24"/>
        </w:rPr>
        <w:t>isotopomers</w:t>
      </w:r>
      <w:proofErr w:type="spellEnd"/>
      <w:r w:rsidRPr="005F30AE">
        <w:rPr>
          <w:rFonts w:ascii="Times New Roman" w:eastAsia="Times New Roman" w:hAnsi="Times New Roman" w:cs="Times New Roman"/>
          <w:sz w:val="24"/>
          <w:szCs w:val="24"/>
        </w:rPr>
        <w:t xml:space="preserve"> of the B and C </w:t>
      </w:r>
      <w:proofErr w:type="spellStart"/>
      <w:r w:rsidRPr="005F30AE">
        <w:rPr>
          <w:rFonts w:ascii="Times New Roman" w:eastAsia="Times New Roman" w:hAnsi="Times New Roman" w:cs="Times New Roman"/>
          <w:sz w:val="24"/>
          <w:szCs w:val="24"/>
        </w:rPr>
        <w:t>oxyacids</w:t>
      </w:r>
      <w:proofErr w:type="spellEnd"/>
      <w:r w:rsidRPr="005F30AE">
        <w:rPr>
          <w:rFonts w:ascii="Times New Roman" w:eastAsia="Times New Roman" w:hAnsi="Times New Roman" w:cs="Times New Roman"/>
          <w:sz w:val="24"/>
          <w:szCs w:val="24"/>
        </w:rPr>
        <w:t xml:space="preserve"> establish that the partitioning of </w:t>
      </w:r>
      <w:r w:rsidRPr="005F30AE">
        <w:rPr>
          <w:rFonts w:ascii="Times New Roman" w:eastAsia="Times New Roman" w:hAnsi="Times New Roman" w:cs="Times New Roman"/>
          <w:sz w:val="24"/>
          <w:szCs w:val="24"/>
          <w:vertAlign w:val="superscript"/>
        </w:rPr>
        <w:t>13</w:t>
      </w:r>
      <w:r w:rsidRPr="005F30AE">
        <w:rPr>
          <w:rFonts w:ascii="Times New Roman" w:eastAsia="Times New Roman" w:hAnsi="Times New Roman" w:cs="Times New Roman"/>
          <w:sz w:val="24"/>
          <w:szCs w:val="24"/>
        </w:rPr>
        <w:t xml:space="preserve">C and </w:t>
      </w:r>
      <w:r w:rsidRPr="005F30AE">
        <w:rPr>
          <w:rFonts w:ascii="Times New Roman" w:eastAsia="Times New Roman" w:hAnsi="Times New Roman" w:cs="Times New Roman"/>
          <w:sz w:val="24"/>
          <w:szCs w:val="24"/>
          <w:vertAlign w:val="superscript"/>
        </w:rPr>
        <w:t>12</w:t>
      </w:r>
      <w:r w:rsidRPr="005F30AE">
        <w:rPr>
          <w:rFonts w:ascii="Times New Roman" w:eastAsia="Times New Roman" w:hAnsi="Times New Roman" w:cs="Times New Roman"/>
          <w:sz w:val="24"/>
          <w:szCs w:val="24"/>
        </w:rPr>
        <w:t xml:space="preserve">C between </w:t>
      </w:r>
      <w:proofErr w:type="gramStart"/>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w:t>
      </w:r>
      <w:proofErr w:type="spellStart"/>
      <w:proofErr w:type="gramEnd"/>
      <w:r w:rsidRPr="005F30AE">
        <w:rPr>
          <w:rFonts w:ascii="Times New Roman" w:eastAsia="Times New Roman" w:hAnsi="Times New Roman" w:cs="Times New Roman"/>
          <w:sz w:val="24"/>
          <w:szCs w:val="24"/>
        </w:rPr>
        <w:t>aq</w:t>
      </w:r>
      <w:proofErr w:type="spellEnd"/>
      <w:r w:rsidRPr="005F30AE">
        <w:rPr>
          <w:rFonts w:ascii="Times New Roman" w:eastAsia="Times New Roman" w:hAnsi="Times New Roman" w:cs="Times New Roman"/>
          <w:sz w:val="24"/>
          <w:szCs w:val="24"/>
        </w:rPr>
        <w:t>) and HCO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 xml:space="preserve"> is considerably different from the fractionation between hypothetical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and HCO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 xml:space="preserve">. We find a much better match to the </w:t>
      </w:r>
      <w:r w:rsidRPr="005F30AE">
        <w:rPr>
          <w:rFonts w:ascii="Times New Roman" w:eastAsia="Times New Roman" w:hAnsi="Times New Roman" w:cs="Times New Roman"/>
          <w:sz w:val="24"/>
          <w:szCs w:val="24"/>
        </w:rPr>
        <w:lastRenderedPageBreak/>
        <w:t>experimental 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(g) vs. HCO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w:t>
      </w:r>
      <w:proofErr w:type="spellStart"/>
      <w:r w:rsidRPr="005F30AE">
        <w:rPr>
          <w:rFonts w:ascii="Times New Roman" w:eastAsia="Times New Roman" w:hAnsi="Times New Roman" w:cs="Times New Roman"/>
          <w:sz w:val="24"/>
          <w:szCs w:val="24"/>
        </w:rPr>
        <w:t>aq</w:t>
      </w:r>
      <w:proofErr w:type="spellEnd"/>
      <w:r w:rsidRPr="005F30AE">
        <w:rPr>
          <w:rFonts w:ascii="Times New Roman" w:eastAsia="Times New Roman" w:hAnsi="Times New Roman" w:cs="Times New Roman"/>
          <w:sz w:val="24"/>
          <w:szCs w:val="24"/>
        </w:rPr>
        <w:t xml:space="preserve">) </w:t>
      </w:r>
      <w:r w:rsidRPr="005F30AE">
        <w:rPr>
          <w:rFonts w:ascii="Times New Roman" w:eastAsia="Times New Roman" w:hAnsi="Times New Roman" w:cs="Times New Roman"/>
          <w:sz w:val="24"/>
          <w:szCs w:val="24"/>
          <w:vertAlign w:val="superscript"/>
        </w:rPr>
        <w:t>13,12</w:t>
      </w:r>
      <w:r w:rsidRPr="005F30AE">
        <w:rPr>
          <w:rFonts w:ascii="Times New Roman" w:eastAsia="Times New Roman" w:hAnsi="Times New Roman" w:cs="Times New Roman"/>
          <w:sz w:val="24"/>
          <w:szCs w:val="24"/>
        </w:rPr>
        <w:t>C fractionation if the bicarbonate cluster model includes a counter ion, such as Na</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 xml:space="preserve">. The </w:t>
      </w:r>
      <w:r w:rsidRPr="005F30AE">
        <w:rPr>
          <w:rFonts w:ascii="Times New Roman" w:eastAsia="Times New Roman" w:hAnsi="Times New Roman" w:cs="Times New Roman"/>
          <w:sz w:val="24"/>
          <w:szCs w:val="24"/>
          <w:vertAlign w:val="superscript"/>
        </w:rPr>
        <w:t>11,10</w:t>
      </w:r>
      <w:r w:rsidRPr="005F30AE">
        <w:rPr>
          <w:rFonts w:ascii="Times New Roman" w:eastAsia="Times New Roman" w:hAnsi="Times New Roman" w:cs="Times New Roman"/>
          <w:sz w:val="24"/>
          <w:szCs w:val="24"/>
        </w:rPr>
        <w:t>B fractionation between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and the van der Waals complex B(OH)</w:t>
      </w:r>
      <w:r w:rsidRPr="005F30AE">
        <w:rPr>
          <w:rFonts w:ascii="Times New Roman" w:eastAsia="Times New Roman" w:hAnsi="Times New Roman" w:cs="Times New Roman"/>
          <w:sz w:val="24"/>
          <w:szCs w:val="24"/>
          <w:vertAlign w:val="subscript"/>
        </w:rPr>
        <w:t>3</w:t>
      </w:r>
      <w:proofErr w:type="gramStart"/>
      <w:r w:rsidRPr="005F30AE">
        <w:rPr>
          <w:rFonts w:ascii="Times New Roman" w:eastAsia="Times New Roman" w:hAnsi="Times New Roman" w:cs="Times New Roman"/>
          <w:sz w:val="24"/>
          <w:szCs w:val="24"/>
        </w:rPr>
        <w:t>. .</w:t>
      </w:r>
      <w:proofErr w:type="gramEnd"/>
      <w:r w:rsidRPr="005F30AE">
        <w:rPr>
          <w:rFonts w:ascii="Times New Roman" w:eastAsia="Times New Roman" w:hAnsi="Times New Roman" w:cs="Times New Roman"/>
          <w:sz w:val="24"/>
          <w:szCs w:val="24"/>
        </w:rPr>
        <w:t> .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O is quite small, while that between gas-phase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and B(OH)</w:t>
      </w:r>
      <w:r w:rsidRPr="005F30AE">
        <w:rPr>
          <w:rFonts w:ascii="Times New Roman" w:eastAsia="Times New Roman" w:hAnsi="Times New Roman" w:cs="Times New Roman"/>
          <w:sz w:val="24"/>
          <w:szCs w:val="24"/>
          <w:vertAlign w:val="subscript"/>
        </w:rPr>
        <w:t>4</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 xml:space="preserve"> is on the order of 30‰, in qualitative agreement with more rigorous values recently obtained from </w:t>
      </w:r>
      <w:proofErr w:type="spellStart"/>
      <w:r w:rsidRPr="005F30AE">
        <w:rPr>
          <w:rFonts w:ascii="Times New Roman" w:eastAsia="Times New Roman" w:hAnsi="Times New Roman" w:cs="Times New Roman"/>
          <w:sz w:val="24"/>
          <w:szCs w:val="24"/>
        </w:rPr>
        <w:t>supermolecule</w:t>
      </w:r>
      <w:proofErr w:type="spellEnd"/>
      <w:r w:rsidRPr="005F30AE">
        <w:rPr>
          <w:rFonts w:ascii="Times New Roman" w:eastAsia="Times New Roman" w:hAnsi="Times New Roman" w:cs="Times New Roman"/>
          <w:sz w:val="24"/>
          <w:szCs w:val="24"/>
        </w:rPr>
        <w:t xml:space="preserve"> or “water-droplet” calculations.</w:t>
      </w:r>
    </w:p>
    <w:p w:rsidR="005F30AE" w:rsidRPr="005F30AE" w:rsidRDefault="005F30AE" w:rsidP="005F30AE">
      <w:pPr>
        <w:spacing w:before="100" w:beforeAutospacing="1" w:after="100" w:afterAutospacing="1" w:line="240" w:lineRule="auto"/>
        <w:outlineLvl w:val="1"/>
        <w:rPr>
          <w:rFonts w:ascii="Times New Roman" w:eastAsia="Times New Roman" w:hAnsi="Times New Roman" w:cs="Times New Roman"/>
          <w:b/>
          <w:bCs/>
          <w:sz w:val="36"/>
          <w:szCs w:val="36"/>
        </w:rPr>
      </w:pPr>
      <w:r w:rsidRPr="005F30AE">
        <w:rPr>
          <w:rFonts w:ascii="Times New Roman" w:eastAsia="Times New Roman" w:hAnsi="Times New Roman" w:cs="Times New Roman"/>
          <w:b/>
          <w:bCs/>
          <w:sz w:val="36"/>
          <w:szCs w:val="36"/>
        </w:rPr>
        <w:t>Introduction</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proofErr w:type="spellStart"/>
      <w:r w:rsidRPr="005F30AE">
        <w:rPr>
          <w:rFonts w:ascii="Times New Roman" w:eastAsia="Times New Roman" w:hAnsi="Times New Roman" w:cs="Times New Roman"/>
          <w:sz w:val="24"/>
          <w:szCs w:val="24"/>
        </w:rPr>
        <w:t>Oxyacids</w:t>
      </w:r>
      <w:proofErr w:type="spellEnd"/>
      <w:r w:rsidRPr="005F30AE">
        <w:rPr>
          <w:rFonts w:ascii="Times New Roman" w:eastAsia="Times New Roman" w:hAnsi="Times New Roman" w:cs="Times New Roman"/>
          <w:sz w:val="24"/>
          <w:szCs w:val="24"/>
        </w:rPr>
        <w:t xml:space="preserve"> and/or acid anhydrides containing B, C or N as the central atom have an important place within aqueous geochemistry (</w:t>
      </w:r>
      <w:proofErr w:type="spellStart"/>
      <w:r w:rsidRPr="005F30AE">
        <w:rPr>
          <w:rFonts w:ascii="Times New Roman" w:eastAsia="Times New Roman" w:hAnsi="Times New Roman" w:cs="Times New Roman"/>
          <w:sz w:val="24"/>
          <w:szCs w:val="24"/>
        </w:rPr>
        <w:t>Stumm</w:t>
      </w:r>
      <w:proofErr w:type="spellEnd"/>
      <w:r w:rsidRPr="005F30AE">
        <w:rPr>
          <w:rFonts w:ascii="Times New Roman" w:eastAsia="Times New Roman" w:hAnsi="Times New Roman" w:cs="Times New Roman"/>
          <w:sz w:val="24"/>
          <w:szCs w:val="24"/>
        </w:rPr>
        <w:t xml:space="preserve"> and Morgan 1981, Morel 1983). The most important of these is certainly 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which generally has a dominant influence on the pH of natural waters. There is presently enormous interest in determining paleo-pH values for the ocean, to assess paleo-CO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 levels (Hemming and Hanson 1992, </w:t>
      </w:r>
      <w:proofErr w:type="spellStart"/>
      <w:r w:rsidRPr="005F30AE">
        <w:rPr>
          <w:rFonts w:ascii="Times New Roman" w:eastAsia="Times New Roman" w:hAnsi="Times New Roman" w:cs="Times New Roman"/>
          <w:sz w:val="24"/>
          <w:szCs w:val="24"/>
        </w:rPr>
        <w:t>Sanyal</w:t>
      </w:r>
      <w:proofErr w:type="spellEnd"/>
      <w:r w:rsidRPr="005F30AE">
        <w:rPr>
          <w:rFonts w:ascii="Times New Roman" w:eastAsia="Times New Roman" w:hAnsi="Times New Roman" w:cs="Times New Roman"/>
          <w:sz w:val="24"/>
          <w:szCs w:val="24"/>
        </w:rPr>
        <w:t xml:space="preserve"> et al 2000). The reaction of 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 with water is unfavorable both from the point of view of thermodynamics and kinetics in the gas phase (Khanna et al 1994, Jonsson et al 1976, </w:t>
      </w:r>
      <w:proofErr w:type="spellStart"/>
      <w:r w:rsidRPr="005F30AE">
        <w:rPr>
          <w:rFonts w:ascii="Times New Roman" w:eastAsia="Times New Roman" w:hAnsi="Times New Roman" w:cs="Times New Roman"/>
          <w:sz w:val="24"/>
          <w:szCs w:val="24"/>
        </w:rPr>
        <w:t>Hage</w:t>
      </w:r>
      <w:proofErr w:type="spellEnd"/>
      <w:r w:rsidRPr="005F30AE">
        <w:rPr>
          <w:rFonts w:ascii="Times New Roman" w:eastAsia="Times New Roman" w:hAnsi="Times New Roman" w:cs="Times New Roman"/>
          <w:sz w:val="24"/>
          <w:szCs w:val="24"/>
        </w:rPr>
        <w:t xml:space="preserve"> et al 1998, Luther 2004), but a small fraction of 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 is hydrated in aqueous solution (</w:t>
      </w:r>
      <w:proofErr w:type="spellStart"/>
      <w:r w:rsidRPr="005F30AE">
        <w:rPr>
          <w:rFonts w:ascii="Times New Roman" w:eastAsia="Times New Roman" w:hAnsi="Times New Roman" w:cs="Times New Roman"/>
          <w:sz w:val="24"/>
          <w:szCs w:val="24"/>
        </w:rPr>
        <w:t>Magid</w:t>
      </w:r>
      <w:proofErr w:type="spellEnd"/>
      <w:r w:rsidRPr="005F30AE">
        <w:rPr>
          <w:rFonts w:ascii="Times New Roman" w:eastAsia="Times New Roman" w:hAnsi="Times New Roman" w:cs="Times New Roman"/>
          <w:sz w:val="24"/>
          <w:szCs w:val="24"/>
        </w:rPr>
        <w:t xml:space="preserve"> and </w:t>
      </w:r>
      <w:proofErr w:type="spellStart"/>
      <w:r w:rsidRPr="005F30AE">
        <w:rPr>
          <w:rFonts w:ascii="Times New Roman" w:eastAsia="Times New Roman" w:hAnsi="Times New Roman" w:cs="Times New Roman"/>
          <w:sz w:val="24"/>
          <w:szCs w:val="24"/>
        </w:rPr>
        <w:t>Turbeck</w:t>
      </w:r>
      <w:proofErr w:type="spellEnd"/>
      <w:r w:rsidRPr="005F30AE">
        <w:rPr>
          <w:rFonts w:ascii="Times New Roman" w:eastAsia="Times New Roman" w:hAnsi="Times New Roman" w:cs="Times New Roman"/>
          <w:sz w:val="24"/>
          <w:szCs w:val="24"/>
        </w:rPr>
        <w:t xml:space="preserve"> 1968, </w:t>
      </w:r>
      <w:proofErr w:type="spellStart"/>
      <w:r w:rsidRPr="005F30AE">
        <w:rPr>
          <w:rFonts w:ascii="Times New Roman" w:eastAsia="Times New Roman" w:hAnsi="Times New Roman" w:cs="Times New Roman"/>
          <w:sz w:val="24"/>
          <w:szCs w:val="24"/>
        </w:rPr>
        <w:t>Stumm</w:t>
      </w:r>
      <w:proofErr w:type="spellEnd"/>
      <w:r w:rsidRPr="005F30AE">
        <w:rPr>
          <w:rFonts w:ascii="Times New Roman" w:eastAsia="Times New Roman" w:hAnsi="Times New Roman" w:cs="Times New Roman"/>
          <w:sz w:val="24"/>
          <w:szCs w:val="24"/>
        </w:rPr>
        <w:t xml:space="preserve"> and Morgan 1981) and this hydrated species reacts to form bicarbonate ions which provide the material for the eventual formation of CaCO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in the shells of diatoms and other organisms. It is conceivable that understanding the kinetics of the hydration and acid dissociation processes could lead to a method for accelerating the equilibrium between atmospheric 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 and the carbonate species in solution. </w:t>
      </w:r>
      <w:proofErr w:type="gramStart"/>
      <w:r w:rsidRPr="005F30AE">
        <w:rPr>
          <w:rFonts w:ascii="Times New Roman" w:eastAsia="Times New Roman" w:hAnsi="Times New Roman" w:cs="Times New Roman"/>
          <w:sz w:val="24"/>
          <w:szCs w:val="24"/>
        </w:rPr>
        <w:t>Indeed</w:t>
      </w:r>
      <w:proofErr w:type="gramEnd"/>
      <w:r w:rsidRPr="005F30AE">
        <w:rPr>
          <w:rFonts w:ascii="Times New Roman" w:eastAsia="Times New Roman" w:hAnsi="Times New Roman" w:cs="Times New Roman"/>
          <w:sz w:val="24"/>
          <w:szCs w:val="24"/>
        </w:rPr>
        <w:t xml:space="preserve"> there have been several computational studies focusing on the influence of explicit water molecules on the activation energy and rate of hydrolysis of 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 (Merz 1990, Nguyen et al 1997, Lewis and Glaser 2003, Luther 2004). It is clear that transition state energies are reduced and hydrolysis rates accelerated by small numbers of waters. Some IR spectral evidence has also been presented suggesting that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may be an intermediate in the surface chemistry of acid-treated calcium carbonate (Al-</w:t>
      </w:r>
      <w:proofErr w:type="spellStart"/>
      <w:r w:rsidRPr="005F30AE">
        <w:rPr>
          <w:rFonts w:ascii="Times New Roman" w:eastAsia="Times New Roman" w:hAnsi="Times New Roman" w:cs="Times New Roman"/>
          <w:sz w:val="24"/>
          <w:szCs w:val="24"/>
        </w:rPr>
        <w:t>Hosney</w:t>
      </w:r>
      <w:proofErr w:type="spellEnd"/>
      <w:r w:rsidRPr="005F30AE">
        <w:rPr>
          <w:rFonts w:ascii="Times New Roman" w:eastAsia="Times New Roman" w:hAnsi="Times New Roman" w:cs="Times New Roman"/>
          <w:sz w:val="24"/>
          <w:szCs w:val="24"/>
        </w:rPr>
        <w:t xml:space="preserve"> and </w:t>
      </w:r>
      <w:proofErr w:type="spellStart"/>
      <w:r w:rsidRPr="005F30AE">
        <w:rPr>
          <w:rFonts w:ascii="Times New Roman" w:eastAsia="Times New Roman" w:hAnsi="Times New Roman" w:cs="Times New Roman"/>
          <w:sz w:val="24"/>
          <w:szCs w:val="24"/>
        </w:rPr>
        <w:t>Grassian</w:t>
      </w:r>
      <w:proofErr w:type="spellEnd"/>
      <w:r w:rsidRPr="005F30AE">
        <w:rPr>
          <w:rFonts w:ascii="Times New Roman" w:eastAsia="Times New Roman" w:hAnsi="Times New Roman" w:cs="Times New Roman"/>
          <w:sz w:val="24"/>
          <w:szCs w:val="24"/>
        </w:rPr>
        <w:t>, 2004).</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 xml:space="preserve">To model the properties of these </w:t>
      </w:r>
      <w:proofErr w:type="spellStart"/>
      <w:r w:rsidRPr="005F30AE">
        <w:rPr>
          <w:rFonts w:ascii="Times New Roman" w:eastAsia="Times New Roman" w:hAnsi="Times New Roman" w:cs="Times New Roman"/>
          <w:sz w:val="24"/>
          <w:szCs w:val="24"/>
        </w:rPr>
        <w:t>oxyacids</w:t>
      </w:r>
      <w:proofErr w:type="spellEnd"/>
      <w:r w:rsidRPr="005F30AE">
        <w:rPr>
          <w:rFonts w:ascii="Times New Roman" w:eastAsia="Times New Roman" w:hAnsi="Times New Roman" w:cs="Times New Roman"/>
          <w:sz w:val="24"/>
          <w:szCs w:val="24"/>
        </w:rPr>
        <w:t xml:space="preserve">, such as their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and their isotopic fractionation during the acid dissociation process, we must understand the microscopic nature of this process. As part of this understanding we must clarify the nature of the reactant and product species, which can be usefully studied using spectral techniques such as NMR.</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 xml:space="preserve">Boric acid has a much lower natural abundance than the carbonate species, but the isotopic equilibrium between </w:t>
      </w:r>
      <w:r w:rsidRPr="005F30AE">
        <w:rPr>
          <w:rFonts w:ascii="Times New Roman" w:eastAsia="Times New Roman" w:hAnsi="Times New Roman" w:cs="Times New Roman"/>
          <w:sz w:val="24"/>
          <w:szCs w:val="24"/>
          <w:vertAlign w:val="superscript"/>
        </w:rPr>
        <w:t>10</w:t>
      </w:r>
      <w:r w:rsidRPr="005F30AE">
        <w:rPr>
          <w:rFonts w:ascii="Times New Roman" w:eastAsia="Times New Roman" w:hAnsi="Times New Roman" w:cs="Times New Roman"/>
          <w:sz w:val="24"/>
          <w:szCs w:val="24"/>
        </w:rPr>
        <w:t xml:space="preserve">B and </w:t>
      </w:r>
      <w:r w:rsidRPr="005F30AE">
        <w:rPr>
          <w:rFonts w:ascii="Times New Roman" w:eastAsia="Times New Roman" w:hAnsi="Times New Roman" w:cs="Times New Roman"/>
          <w:sz w:val="24"/>
          <w:szCs w:val="24"/>
          <w:vertAlign w:val="superscript"/>
        </w:rPr>
        <w:t>11</w:t>
      </w:r>
      <w:r w:rsidRPr="005F30AE">
        <w:rPr>
          <w:rFonts w:ascii="Times New Roman" w:eastAsia="Times New Roman" w:hAnsi="Times New Roman" w:cs="Times New Roman"/>
          <w:sz w:val="24"/>
          <w:szCs w:val="24"/>
        </w:rPr>
        <w:t xml:space="preserve">B </w:t>
      </w:r>
      <w:proofErr w:type="spellStart"/>
      <w:r w:rsidRPr="005F30AE">
        <w:rPr>
          <w:rFonts w:ascii="Times New Roman" w:eastAsia="Times New Roman" w:hAnsi="Times New Roman" w:cs="Times New Roman"/>
          <w:sz w:val="24"/>
          <w:szCs w:val="24"/>
        </w:rPr>
        <w:t>isotopomers</w:t>
      </w:r>
      <w:proofErr w:type="spellEnd"/>
      <w:r w:rsidRPr="005F30AE">
        <w:rPr>
          <w:rFonts w:ascii="Times New Roman" w:eastAsia="Times New Roman" w:hAnsi="Times New Roman" w:cs="Times New Roman"/>
          <w:sz w:val="24"/>
          <w:szCs w:val="24"/>
        </w:rPr>
        <w:t xml:space="preserve"> of various B compounds adsorbed into calcite has recently been used to assess oceanic paleo-pH values (Hemming and Hanson 1992, </w:t>
      </w:r>
      <w:proofErr w:type="spellStart"/>
      <w:r w:rsidRPr="005F30AE">
        <w:rPr>
          <w:rFonts w:ascii="Times New Roman" w:eastAsia="Times New Roman" w:hAnsi="Times New Roman" w:cs="Times New Roman"/>
          <w:sz w:val="24"/>
          <w:szCs w:val="24"/>
        </w:rPr>
        <w:t>Sanyal</w:t>
      </w:r>
      <w:proofErr w:type="spellEnd"/>
      <w:r w:rsidRPr="005F30AE">
        <w:rPr>
          <w:rFonts w:ascii="Times New Roman" w:eastAsia="Times New Roman" w:hAnsi="Times New Roman" w:cs="Times New Roman"/>
          <w:sz w:val="24"/>
          <w:szCs w:val="24"/>
        </w:rPr>
        <w:t xml:space="preserve"> et al 2000). The microscopic mechanism by which boric acid or borate species adsorb onto mineral surfaces is also under study, primarily using IR spectroscopy. </w:t>
      </w:r>
      <w:proofErr w:type="spellStart"/>
      <w:r w:rsidRPr="005F30AE">
        <w:rPr>
          <w:rFonts w:ascii="Times New Roman" w:eastAsia="Times New Roman" w:hAnsi="Times New Roman" w:cs="Times New Roman"/>
          <w:sz w:val="24"/>
          <w:szCs w:val="24"/>
        </w:rPr>
        <w:t>Su</w:t>
      </w:r>
      <w:proofErr w:type="spellEnd"/>
      <w:r w:rsidRPr="005F30AE">
        <w:rPr>
          <w:rFonts w:ascii="Times New Roman" w:eastAsia="Times New Roman" w:hAnsi="Times New Roman" w:cs="Times New Roman"/>
          <w:sz w:val="24"/>
          <w:szCs w:val="24"/>
        </w:rPr>
        <w:t xml:space="preserve"> and Suarez (1995) studied the absorption of B-containing species on several mineral surfaces, but found no specific absorption for calcite. Peak et al. (2003) identified a number of different B-containing species adsorbed on hydrated ferric oxide surfaces. Of course, incorporation as a trace impurity into a growing mineral surface may well be quite different in energetics and mechanism from adsorption onto an already formed surface. Sen et al. (1994) identified both three- and four-coordinate B-containing impurities in calcite and aragonite using NMR.</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 xml:space="preserve">There are a number of different N-containing </w:t>
      </w:r>
      <w:proofErr w:type="spellStart"/>
      <w:r w:rsidRPr="005F30AE">
        <w:rPr>
          <w:rFonts w:ascii="Times New Roman" w:eastAsia="Times New Roman" w:hAnsi="Times New Roman" w:cs="Times New Roman"/>
          <w:sz w:val="24"/>
          <w:szCs w:val="24"/>
        </w:rPr>
        <w:t>oxyacids</w:t>
      </w:r>
      <w:proofErr w:type="spellEnd"/>
      <w:r w:rsidRPr="005F30AE">
        <w:rPr>
          <w:rFonts w:ascii="Times New Roman" w:eastAsia="Times New Roman" w:hAnsi="Times New Roman" w:cs="Times New Roman"/>
          <w:sz w:val="24"/>
          <w:szCs w:val="24"/>
        </w:rPr>
        <w:t xml:space="preserve">, with N in various oxidation states. None of them is of particular inorganic geochemical interest but they do provide a useful comparison with the B and C-centered species. There is strong evidence that the N-centered </w:t>
      </w:r>
      <w:proofErr w:type="spellStart"/>
      <w:r w:rsidRPr="005F30AE">
        <w:rPr>
          <w:rFonts w:ascii="Times New Roman" w:eastAsia="Times New Roman" w:hAnsi="Times New Roman" w:cs="Times New Roman"/>
          <w:sz w:val="24"/>
          <w:szCs w:val="24"/>
        </w:rPr>
        <w:t>oxyacids</w:t>
      </w:r>
      <w:proofErr w:type="spellEnd"/>
      <w:r w:rsidRPr="005F30AE">
        <w:rPr>
          <w:rFonts w:ascii="Times New Roman" w:eastAsia="Times New Roman" w:hAnsi="Times New Roman" w:cs="Times New Roman"/>
          <w:sz w:val="24"/>
          <w:szCs w:val="24"/>
        </w:rPr>
        <w:t xml:space="preserve"> dissociate in a simple way, with protons simply being lost to solution, leaving behind the acid anion. Thus, </w:t>
      </w:r>
      <w:r w:rsidRPr="005F30AE">
        <w:rPr>
          <w:rFonts w:ascii="Times New Roman" w:eastAsia="Times New Roman" w:hAnsi="Times New Roman" w:cs="Times New Roman"/>
          <w:sz w:val="24"/>
          <w:szCs w:val="24"/>
        </w:rPr>
        <w:lastRenderedPageBreak/>
        <w:t xml:space="preserve">evaluation of their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and other properties presents a simple test case for comparison with the results of the B and C oxyacid calculations.</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 xml:space="preserve">For B and C </w:t>
      </w:r>
      <w:proofErr w:type="spellStart"/>
      <w:r w:rsidRPr="005F30AE">
        <w:rPr>
          <w:rFonts w:ascii="Times New Roman" w:eastAsia="Times New Roman" w:hAnsi="Times New Roman" w:cs="Times New Roman"/>
          <w:sz w:val="24"/>
          <w:szCs w:val="24"/>
        </w:rPr>
        <w:t>oxyacids</w:t>
      </w:r>
      <w:proofErr w:type="spellEnd"/>
      <w:r w:rsidRPr="005F30AE">
        <w:rPr>
          <w:rFonts w:ascii="Times New Roman" w:eastAsia="Times New Roman" w:hAnsi="Times New Roman" w:cs="Times New Roman"/>
          <w:sz w:val="24"/>
          <w:szCs w:val="24"/>
        </w:rPr>
        <w:t xml:space="preserve"> the acid dissociation process is more complicated, with changes in coordination number taking place during the overall process. Acid dissociation equilibrium constants have been accurately measured for the B, C and most of the N </w:t>
      </w:r>
      <w:proofErr w:type="spellStart"/>
      <w:r w:rsidRPr="005F30AE">
        <w:rPr>
          <w:rFonts w:ascii="Times New Roman" w:eastAsia="Times New Roman" w:hAnsi="Times New Roman" w:cs="Times New Roman"/>
          <w:sz w:val="24"/>
          <w:szCs w:val="24"/>
        </w:rPr>
        <w:t>oxyacids</w:t>
      </w:r>
      <w:proofErr w:type="spellEnd"/>
      <w:r w:rsidRPr="005F30AE">
        <w:rPr>
          <w:rFonts w:ascii="Times New Roman" w:eastAsia="Times New Roman" w:hAnsi="Times New Roman" w:cs="Times New Roman"/>
          <w:sz w:val="24"/>
          <w:szCs w:val="24"/>
        </w:rPr>
        <w:t xml:space="preserve"> under accessible conditions of temperature, pressure and ionic strength (Morel 1983, Park et al 1998). However, there is still a need to establish the microscopic basis for the observed trends in acidity associated with these variables, which is only possible if accurate methods for predicting their acidities from first principles are available.</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 xml:space="preserve">It is well known that some acids in aqueous solution dissociate in the simple way suggested by the equation </w:t>
      </w:r>
    </w:p>
    <w:p w:rsidR="005F30AE" w:rsidRPr="005F30AE" w:rsidRDefault="005F30AE" w:rsidP="005F30AE">
      <w:pPr>
        <w:spacing w:after="0"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As noted by Liptak and Shields (2001), other apparently equivalent reactions involving water as a reactant and 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O</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 xml:space="preserve"> as a product do not seem to work as well in the calculation of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w:t>
      </w:r>
      <w:proofErr w:type="spellStart"/>
      <w:r w:rsidRPr="005F30AE">
        <w:rPr>
          <w:rFonts w:ascii="Times New Roman" w:eastAsia="Times New Roman" w:hAnsi="Times New Roman" w:cs="Times New Roman"/>
          <w:sz w:val="24"/>
          <w:szCs w:val="24"/>
        </w:rPr>
        <w:t>Pliego</w:t>
      </w:r>
      <w:proofErr w:type="spellEnd"/>
      <w:r w:rsidRPr="005F30AE">
        <w:rPr>
          <w:rFonts w:ascii="Times New Roman" w:eastAsia="Times New Roman" w:hAnsi="Times New Roman" w:cs="Times New Roman"/>
          <w:sz w:val="24"/>
          <w:szCs w:val="24"/>
        </w:rPr>
        <w:t xml:space="preserve"> (2003) has discussed the possible reasons for this failure, but controversy about the proper theoretical approach continues (da Silva et al., 2003). While accurate determination of the various contributions to the free energy can be difficult for Eqn. 1, particularly the hydration contributions to the free energy, the identities of the reactants and products are at least well defined. Can we extend this analysis to cases in which the identity of the acidic species is problematic? For example, we might reasonably write the acid dissociation reaction for nitric acid as since there is solid evidence for the existence in aqueous solution (in different pH ranges) for both HNO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and NO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 But for “carbonic acid,” it is well known from gas-phase calculations that the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species has very limited equilibrium stability (e.g., Wight and Boldyrev 1995, </w:t>
      </w:r>
      <w:proofErr w:type="spellStart"/>
      <w:r w:rsidRPr="005F30AE">
        <w:rPr>
          <w:rFonts w:ascii="Times New Roman" w:eastAsia="Times New Roman" w:hAnsi="Times New Roman" w:cs="Times New Roman"/>
          <w:sz w:val="24"/>
          <w:szCs w:val="24"/>
        </w:rPr>
        <w:t>Liedl</w:t>
      </w:r>
      <w:proofErr w:type="spellEnd"/>
      <w:r w:rsidRPr="005F30AE">
        <w:rPr>
          <w:rFonts w:ascii="Times New Roman" w:eastAsia="Times New Roman" w:hAnsi="Times New Roman" w:cs="Times New Roman"/>
          <w:sz w:val="24"/>
          <w:szCs w:val="24"/>
        </w:rPr>
        <w:t xml:space="preserve"> et al 1997). Thus “CO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 +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O” may well be a better description of the species present in aqueous solution (e.g., Morel 1983). Many sources quote the concentration of actual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in aqueous “carbonic acid” as a fraction of a percent of the </w:t>
      </w:r>
      <w:proofErr w:type="gramStart"/>
      <w:r w:rsidRPr="005F30AE">
        <w:rPr>
          <w:rFonts w:ascii="Times New Roman" w:eastAsia="Times New Roman" w:hAnsi="Times New Roman" w:cs="Times New Roman"/>
          <w:sz w:val="24"/>
          <w:szCs w:val="24"/>
        </w:rPr>
        <w:t>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w:t>
      </w:r>
      <w:proofErr w:type="spellStart"/>
      <w:proofErr w:type="gramEnd"/>
      <w:r w:rsidRPr="005F30AE">
        <w:rPr>
          <w:rFonts w:ascii="Times New Roman" w:eastAsia="Times New Roman" w:hAnsi="Times New Roman" w:cs="Times New Roman"/>
          <w:sz w:val="24"/>
          <w:szCs w:val="24"/>
        </w:rPr>
        <w:t>aq</w:t>
      </w:r>
      <w:proofErr w:type="spellEnd"/>
      <w:r w:rsidRPr="005F30AE">
        <w:rPr>
          <w:rFonts w:ascii="Times New Roman" w:eastAsia="Times New Roman" w:hAnsi="Times New Roman" w:cs="Times New Roman"/>
          <w:sz w:val="24"/>
          <w:szCs w:val="24"/>
        </w:rPr>
        <w:t xml:space="preserve">), e.g., Morel (1983). If we wish to calculate the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of carbonic acid, how should we then represent the reactant species? If we write its acid dissociation reaction as </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exactly what atomistic structure are we envisioning for the reactant?</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Similarly, NMR spectral evidence indicates that the borate species present in basic solutions is in fact four-coordinate B(OH)</w:t>
      </w:r>
      <w:r w:rsidRPr="005F30AE">
        <w:rPr>
          <w:rFonts w:ascii="Times New Roman" w:eastAsia="Times New Roman" w:hAnsi="Times New Roman" w:cs="Times New Roman"/>
          <w:sz w:val="24"/>
          <w:szCs w:val="24"/>
          <w:vertAlign w:val="subscript"/>
        </w:rPr>
        <w:t>4</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 which is formed by the reaction of the neutral boric acid species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with water (Smith and Wiersma, 1972). If the reaction for this process is written as </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exactly what is meant by our expression for the reactant species?</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 xml:space="preserve">Can we define structures and properties for each of these reactants and can we do so </w:t>
      </w:r>
      <w:proofErr w:type="gramStart"/>
      <w:r w:rsidRPr="005F30AE">
        <w:rPr>
          <w:rFonts w:ascii="Times New Roman" w:eastAsia="Times New Roman" w:hAnsi="Times New Roman" w:cs="Times New Roman"/>
          <w:sz w:val="24"/>
          <w:szCs w:val="24"/>
        </w:rPr>
        <w:t>using</w:t>
      </w:r>
      <w:proofErr w:type="gramEnd"/>
      <w:r w:rsidRPr="005F30AE">
        <w:rPr>
          <w:rFonts w:ascii="Times New Roman" w:eastAsia="Times New Roman" w:hAnsi="Times New Roman" w:cs="Times New Roman"/>
          <w:sz w:val="24"/>
          <w:szCs w:val="24"/>
        </w:rPr>
        <w:t xml:space="preserve"> relatively small numbers of atoms so that high-level quantum methods can be used to calculate their properties? Or do we need to explicitly consider many molecules of the solvent to define the real configurations of the system? This question is illustrated in Figure 1 by two different representations of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in aqueous solution: (a) B(OH)</w:t>
      </w:r>
      <w:r w:rsidRPr="005F30AE">
        <w:rPr>
          <w:rFonts w:ascii="Times New Roman" w:eastAsia="Times New Roman" w:hAnsi="Times New Roman" w:cs="Times New Roman"/>
          <w:sz w:val="24"/>
          <w:szCs w:val="24"/>
          <w:vertAlign w:val="subscript"/>
        </w:rPr>
        <w:t>3</w:t>
      </w:r>
      <w:proofErr w:type="gramStart"/>
      <w:r w:rsidRPr="005F30AE">
        <w:rPr>
          <w:rFonts w:ascii="Times New Roman" w:eastAsia="Times New Roman" w:hAnsi="Times New Roman" w:cs="Times New Roman"/>
          <w:sz w:val="24"/>
          <w:szCs w:val="24"/>
        </w:rPr>
        <w:t>. .</w:t>
      </w:r>
      <w:proofErr w:type="gramEnd"/>
      <w:r w:rsidRPr="005F30AE">
        <w:rPr>
          <w:rFonts w:ascii="Times New Roman" w:eastAsia="Times New Roman" w:hAnsi="Times New Roman" w:cs="Times New Roman"/>
          <w:sz w:val="24"/>
          <w:szCs w:val="24"/>
        </w:rPr>
        <w:t> .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O, a small cluster which can be studied at a very accurate quantum mechanical level and (b) B(OH)</w:t>
      </w:r>
      <w:r w:rsidRPr="005F30AE">
        <w:rPr>
          <w:rFonts w:ascii="Times New Roman" w:eastAsia="Times New Roman" w:hAnsi="Times New Roman" w:cs="Times New Roman"/>
          <w:sz w:val="24"/>
          <w:szCs w:val="24"/>
          <w:vertAlign w:val="subscript"/>
        </w:rPr>
        <w:t>3</w:t>
      </w:r>
      <w:proofErr w:type="gramStart"/>
      <w:r w:rsidRPr="005F30AE">
        <w:rPr>
          <w:rFonts w:ascii="Times New Roman" w:eastAsia="Times New Roman" w:hAnsi="Times New Roman" w:cs="Times New Roman"/>
          <w:sz w:val="24"/>
          <w:szCs w:val="24"/>
        </w:rPr>
        <w:t>. .</w:t>
      </w:r>
      <w:proofErr w:type="gramEnd"/>
      <w:r w:rsidRPr="005F30AE">
        <w:rPr>
          <w:rFonts w:ascii="Times New Roman" w:eastAsia="Times New Roman" w:hAnsi="Times New Roman" w:cs="Times New Roman"/>
          <w:sz w:val="24"/>
          <w:szCs w:val="24"/>
        </w:rPr>
        <w:t> . 30H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O, for which a highly accurate calculation is not presently feasible (since such calculations scale with the fifth or higher power of the number of orbitals). We can, however, examine the extent to which the small cluster, B(OH)</w:t>
      </w:r>
      <w:r w:rsidRPr="005F30AE">
        <w:rPr>
          <w:rFonts w:ascii="Times New Roman" w:eastAsia="Times New Roman" w:hAnsi="Times New Roman" w:cs="Times New Roman"/>
          <w:sz w:val="24"/>
          <w:szCs w:val="24"/>
          <w:vertAlign w:val="subscript"/>
        </w:rPr>
        <w:t>3</w:t>
      </w:r>
      <w:proofErr w:type="gramStart"/>
      <w:r w:rsidRPr="005F30AE">
        <w:rPr>
          <w:rFonts w:ascii="Times New Roman" w:eastAsia="Times New Roman" w:hAnsi="Times New Roman" w:cs="Times New Roman"/>
          <w:sz w:val="24"/>
          <w:szCs w:val="24"/>
        </w:rPr>
        <w:t>. .</w:t>
      </w:r>
      <w:proofErr w:type="gramEnd"/>
      <w:r w:rsidRPr="005F30AE">
        <w:rPr>
          <w:rFonts w:ascii="Times New Roman" w:eastAsia="Times New Roman" w:hAnsi="Times New Roman" w:cs="Times New Roman"/>
          <w:sz w:val="24"/>
          <w:szCs w:val="24"/>
        </w:rPr>
        <w:t> .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O, retains its structure within the larger B(OH)</w:t>
      </w:r>
      <w:r w:rsidRPr="005F30AE">
        <w:rPr>
          <w:rFonts w:ascii="Times New Roman" w:eastAsia="Times New Roman" w:hAnsi="Times New Roman" w:cs="Times New Roman"/>
          <w:sz w:val="24"/>
          <w:szCs w:val="24"/>
          <w:vertAlign w:val="subscript"/>
        </w:rPr>
        <w:t>3</w:t>
      </w:r>
      <w:proofErr w:type="gramStart"/>
      <w:r w:rsidRPr="005F30AE">
        <w:rPr>
          <w:rFonts w:ascii="Times New Roman" w:eastAsia="Times New Roman" w:hAnsi="Times New Roman" w:cs="Times New Roman"/>
          <w:sz w:val="24"/>
          <w:szCs w:val="24"/>
        </w:rPr>
        <w:t>. .</w:t>
      </w:r>
      <w:proofErr w:type="gramEnd"/>
      <w:r w:rsidRPr="005F30AE">
        <w:rPr>
          <w:rFonts w:ascii="Times New Roman" w:eastAsia="Times New Roman" w:hAnsi="Times New Roman" w:cs="Times New Roman"/>
          <w:sz w:val="24"/>
          <w:szCs w:val="24"/>
        </w:rPr>
        <w:t> . 30H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O cluster. For example, if the geometry of B(OH)</w:t>
      </w:r>
      <w:r w:rsidRPr="005F30AE">
        <w:rPr>
          <w:rFonts w:ascii="Times New Roman" w:eastAsia="Times New Roman" w:hAnsi="Times New Roman" w:cs="Times New Roman"/>
          <w:sz w:val="24"/>
          <w:szCs w:val="24"/>
          <w:vertAlign w:val="subscript"/>
        </w:rPr>
        <w:t>3</w:t>
      </w:r>
      <w:proofErr w:type="gramStart"/>
      <w:r w:rsidRPr="005F30AE">
        <w:rPr>
          <w:rFonts w:ascii="Times New Roman" w:eastAsia="Times New Roman" w:hAnsi="Times New Roman" w:cs="Times New Roman"/>
          <w:sz w:val="24"/>
          <w:szCs w:val="24"/>
        </w:rPr>
        <w:t>. .</w:t>
      </w:r>
      <w:proofErr w:type="gramEnd"/>
      <w:r w:rsidRPr="005F30AE">
        <w:rPr>
          <w:rFonts w:ascii="Times New Roman" w:eastAsia="Times New Roman" w:hAnsi="Times New Roman" w:cs="Times New Roman"/>
          <w:sz w:val="24"/>
          <w:szCs w:val="24"/>
        </w:rPr>
        <w:t> .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O is optimized using a doubly polarized triple zeta basis set and the B3LYP method (</w:t>
      </w:r>
      <w:proofErr w:type="spellStart"/>
      <w:r w:rsidRPr="005F30AE">
        <w:rPr>
          <w:rFonts w:ascii="Times New Roman" w:eastAsia="Times New Roman" w:hAnsi="Times New Roman" w:cs="Times New Roman"/>
          <w:sz w:val="24"/>
          <w:szCs w:val="24"/>
        </w:rPr>
        <w:t>Becke</w:t>
      </w:r>
      <w:proofErr w:type="spellEnd"/>
      <w:r w:rsidRPr="005F30AE">
        <w:rPr>
          <w:rFonts w:ascii="Times New Roman" w:eastAsia="Times New Roman" w:hAnsi="Times New Roman" w:cs="Times New Roman"/>
          <w:sz w:val="24"/>
          <w:szCs w:val="24"/>
        </w:rPr>
        <w:t xml:space="preserve">, 1993), as in the CBS-QB3 method (discussed below), the single water molecule has its H </w:t>
      </w:r>
      <w:r w:rsidRPr="005F30AE">
        <w:rPr>
          <w:rFonts w:ascii="Times New Roman" w:eastAsia="Times New Roman" w:hAnsi="Times New Roman" w:cs="Times New Roman"/>
          <w:sz w:val="24"/>
          <w:szCs w:val="24"/>
        </w:rPr>
        <w:lastRenderedPageBreak/>
        <w:t>atoms oriented toward the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with a B-</w:t>
      </w:r>
      <w:proofErr w:type="spellStart"/>
      <w:r w:rsidRPr="005F30AE">
        <w:rPr>
          <w:rFonts w:ascii="Times New Roman" w:eastAsia="Times New Roman" w:hAnsi="Times New Roman" w:cs="Times New Roman"/>
          <w:sz w:val="24"/>
          <w:szCs w:val="24"/>
        </w:rPr>
        <w:t>O</w:t>
      </w:r>
      <w:r w:rsidRPr="005F30AE">
        <w:rPr>
          <w:rFonts w:ascii="Times New Roman" w:eastAsia="Times New Roman" w:hAnsi="Times New Roman" w:cs="Times New Roman"/>
          <w:sz w:val="24"/>
          <w:szCs w:val="24"/>
          <w:vertAlign w:val="subscript"/>
        </w:rPr>
        <w:t>water</w:t>
      </w:r>
      <w:proofErr w:type="spellEnd"/>
      <w:r w:rsidRPr="005F30AE">
        <w:rPr>
          <w:rFonts w:ascii="Times New Roman" w:eastAsia="Times New Roman" w:hAnsi="Times New Roman" w:cs="Times New Roman"/>
          <w:sz w:val="24"/>
          <w:szCs w:val="24"/>
        </w:rPr>
        <w:t xml:space="preserve"> distance of </w:t>
      </w:r>
      <w:r w:rsidRPr="005F30AE">
        <w:rPr>
          <w:rFonts w:ascii="Cambria Math" w:eastAsia="Times New Roman" w:hAnsi="Cambria Math" w:cs="Cambria Math"/>
          <w:sz w:val="24"/>
          <w:szCs w:val="24"/>
        </w:rPr>
        <w:t>∼</w:t>
      </w:r>
      <w:r w:rsidRPr="005F30AE">
        <w:rPr>
          <w:rFonts w:ascii="Times New Roman" w:eastAsia="Times New Roman" w:hAnsi="Times New Roman" w:cs="Times New Roman"/>
          <w:sz w:val="24"/>
          <w:szCs w:val="24"/>
        </w:rPr>
        <w:t>3.0 Å (as shown in Fig. 1a). For B(OH)</w:t>
      </w:r>
      <w:r w:rsidRPr="005F30AE">
        <w:rPr>
          <w:rFonts w:ascii="Times New Roman" w:eastAsia="Times New Roman" w:hAnsi="Times New Roman" w:cs="Times New Roman"/>
          <w:sz w:val="24"/>
          <w:szCs w:val="24"/>
          <w:vertAlign w:val="subscript"/>
        </w:rPr>
        <w:t>3</w:t>
      </w:r>
      <w:proofErr w:type="gramStart"/>
      <w:r w:rsidRPr="005F30AE">
        <w:rPr>
          <w:rFonts w:ascii="Times New Roman" w:eastAsia="Times New Roman" w:hAnsi="Times New Roman" w:cs="Times New Roman"/>
          <w:sz w:val="24"/>
          <w:szCs w:val="24"/>
        </w:rPr>
        <w:t>. .</w:t>
      </w:r>
      <w:proofErr w:type="gramEnd"/>
      <w:r w:rsidRPr="005F30AE">
        <w:rPr>
          <w:rFonts w:ascii="Times New Roman" w:eastAsia="Times New Roman" w:hAnsi="Times New Roman" w:cs="Times New Roman"/>
          <w:sz w:val="24"/>
          <w:szCs w:val="24"/>
        </w:rPr>
        <w:t> . 30H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O geometry optimization with the same basis set and method (Fig. 1b) gives two water molecules lying with their H atoms toward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and close to it, with B-</w:t>
      </w:r>
      <w:proofErr w:type="spellStart"/>
      <w:r w:rsidRPr="005F30AE">
        <w:rPr>
          <w:rFonts w:ascii="Times New Roman" w:eastAsia="Times New Roman" w:hAnsi="Times New Roman" w:cs="Times New Roman"/>
          <w:sz w:val="24"/>
          <w:szCs w:val="24"/>
        </w:rPr>
        <w:t>O</w:t>
      </w:r>
      <w:r w:rsidRPr="005F30AE">
        <w:rPr>
          <w:rFonts w:ascii="Times New Roman" w:eastAsia="Times New Roman" w:hAnsi="Times New Roman" w:cs="Times New Roman"/>
          <w:sz w:val="24"/>
          <w:szCs w:val="24"/>
          <w:vertAlign w:val="subscript"/>
        </w:rPr>
        <w:t>water</w:t>
      </w:r>
      <w:proofErr w:type="spellEnd"/>
      <w:r w:rsidRPr="005F30AE">
        <w:rPr>
          <w:rFonts w:ascii="Times New Roman" w:eastAsia="Times New Roman" w:hAnsi="Times New Roman" w:cs="Times New Roman"/>
          <w:sz w:val="24"/>
          <w:szCs w:val="24"/>
        </w:rPr>
        <w:t xml:space="preserve"> distances of 3.3 Å. All the other water O atoms are considerably further away. </w:t>
      </w:r>
      <w:proofErr w:type="gramStart"/>
      <w:r w:rsidRPr="005F30AE">
        <w:rPr>
          <w:rFonts w:ascii="Times New Roman" w:eastAsia="Times New Roman" w:hAnsi="Times New Roman" w:cs="Times New Roman"/>
          <w:sz w:val="24"/>
          <w:szCs w:val="24"/>
        </w:rPr>
        <w:t>Thus</w:t>
      </w:r>
      <w:proofErr w:type="gramEnd"/>
      <w:r w:rsidRPr="005F30AE">
        <w:rPr>
          <w:rFonts w:ascii="Times New Roman" w:eastAsia="Times New Roman" w:hAnsi="Times New Roman" w:cs="Times New Roman"/>
          <w:sz w:val="24"/>
          <w:szCs w:val="24"/>
        </w:rPr>
        <w:t xml:space="preserve"> the local geometries about the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in the small and large clusters are similar but not identical.</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 xml:space="preserve">It is also useful to consider what accuracy we might expect in determining the energetic quantities required. Comparison of highly accurate composite quantum mechanical methods like CBS-QB3 with experimental gas-phase free energies for deprotonation gives an average absolute error of </w:t>
      </w:r>
      <w:r w:rsidRPr="005F30AE">
        <w:rPr>
          <w:rFonts w:ascii="Cambria Math" w:eastAsia="Times New Roman" w:hAnsi="Cambria Math" w:cs="Cambria Math"/>
          <w:sz w:val="24"/>
          <w:szCs w:val="24"/>
        </w:rPr>
        <w:t>∼</w:t>
      </w:r>
      <w:r w:rsidRPr="005F30AE">
        <w:rPr>
          <w:rFonts w:ascii="Times New Roman" w:eastAsia="Times New Roman" w:hAnsi="Times New Roman" w:cs="Times New Roman"/>
          <w:sz w:val="24"/>
          <w:szCs w:val="24"/>
        </w:rPr>
        <w:t>1.4 kcal/mol for a series of small molecules (</w:t>
      </w:r>
      <w:proofErr w:type="spellStart"/>
      <w:r w:rsidRPr="005F30AE">
        <w:rPr>
          <w:rFonts w:ascii="Times New Roman" w:eastAsia="Times New Roman" w:hAnsi="Times New Roman" w:cs="Times New Roman"/>
          <w:sz w:val="24"/>
          <w:szCs w:val="24"/>
        </w:rPr>
        <w:t>Pokon</w:t>
      </w:r>
      <w:proofErr w:type="spellEnd"/>
      <w:r w:rsidRPr="005F30AE">
        <w:rPr>
          <w:rFonts w:ascii="Times New Roman" w:eastAsia="Times New Roman" w:hAnsi="Times New Roman" w:cs="Times New Roman"/>
          <w:sz w:val="24"/>
          <w:szCs w:val="24"/>
        </w:rPr>
        <w:t xml:space="preserve"> et al., 2001), while even the best parameterized hydration free energies for small sets of monoanions show average absolute errors of </w:t>
      </w:r>
      <w:r w:rsidRPr="005F30AE">
        <w:rPr>
          <w:rFonts w:ascii="Cambria Math" w:eastAsia="Times New Roman" w:hAnsi="Cambria Math" w:cs="Cambria Math"/>
          <w:sz w:val="24"/>
          <w:szCs w:val="24"/>
        </w:rPr>
        <w:t>∼</w:t>
      </w:r>
      <w:r w:rsidRPr="005F30AE">
        <w:rPr>
          <w:rFonts w:ascii="Times New Roman" w:eastAsia="Times New Roman" w:hAnsi="Times New Roman" w:cs="Times New Roman"/>
          <w:sz w:val="24"/>
          <w:szCs w:val="24"/>
        </w:rPr>
        <w:t>0.8 kcal/mol (</w:t>
      </w:r>
      <w:proofErr w:type="spellStart"/>
      <w:r w:rsidRPr="005F30AE">
        <w:rPr>
          <w:rFonts w:ascii="Times New Roman" w:eastAsia="Times New Roman" w:hAnsi="Times New Roman" w:cs="Times New Roman"/>
          <w:sz w:val="24"/>
          <w:szCs w:val="24"/>
        </w:rPr>
        <w:t>Camaioni</w:t>
      </w:r>
      <w:proofErr w:type="spellEnd"/>
      <w:r w:rsidRPr="005F30AE">
        <w:rPr>
          <w:rFonts w:ascii="Times New Roman" w:eastAsia="Times New Roman" w:hAnsi="Times New Roman" w:cs="Times New Roman"/>
          <w:sz w:val="24"/>
          <w:szCs w:val="24"/>
        </w:rPr>
        <w:t xml:space="preserve"> et al., 2003). Since an error in free energy of 1.3644 kcal/mol produces an error in log </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rPr>
        <w:t xml:space="preserve"> of 1 unit at </w:t>
      </w:r>
      <w:r w:rsidRPr="005F30AE">
        <w:rPr>
          <w:rFonts w:ascii="Times New Roman" w:eastAsia="Times New Roman" w:hAnsi="Times New Roman" w:cs="Times New Roman"/>
          <w:i/>
          <w:iCs/>
          <w:sz w:val="24"/>
          <w:szCs w:val="24"/>
        </w:rPr>
        <w:t>T</w:t>
      </w:r>
      <w:r w:rsidRPr="005F30AE">
        <w:rPr>
          <w:rFonts w:ascii="Times New Roman" w:eastAsia="Times New Roman" w:hAnsi="Times New Roman" w:cs="Times New Roman"/>
          <w:sz w:val="24"/>
          <w:szCs w:val="24"/>
        </w:rPr>
        <w:t xml:space="preserve"> = 298 K, we can anticipate errors in calculated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between 1 and 2 units. A difference between calculated and experimental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substantially larger than this value might then indicate an error in the use or interpretation of the reaction equation or in choice of the reactant species (which are generally harder to characterize than the product anion).</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 xml:space="preserve">It is well known that the dissociation constants of such </w:t>
      </w:r>
      <w:proofErr w:type="spellStart"/>
      <w:r w:rsidRPr="005F30AE">
        <w:rPr>
          <w:rFonts w:ascii="Times New Roman" w:eastAsia="Times New Roman" w:hAnsi="Times New Roman" w:cs="Times New Roman"/>
          <w:sz w:val="24"/>
          <w:szCs w:val="24"/>
        </w:rPr>
        <w:t>oxyacids</w:t>
      </w:r>
      <w:proofErr w:type="spellEnd"/>
      <w:r w:rsidRPr="005F30AE">
        <w:rPr>
          <w:rFonts w:ascii="Times New Roman" w:eastAsia="Times New Roman" w:hAnsi="Times New Roman" w:cs="Times New Roman"/>
          <w:sz w:val="24"/>
          <w:szCs w:val="24"/>
        </w:rPr>
        <w:t xml:space="preserve"> vary with both temperature and ionic strength. While we can probably never expect to calculate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to the accuracy attainable experimentally in favorable cases (0.01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proofErr w:type="spellEnd"/>
      <w:r w:rsidRPr="005F30AE">
        <w:rPr>
          <w:rFonts w:ascii="Times New Roman" w:eastAsia="Times New Roman" w:hAnsi="Times New Roman" w:cs="Times New Roman"/>
          <w:sz w:val="24"/>
          <w:szCs w:val="24"/>
        </w:rPr>
        <w:t xml:space="preserve"> units, e.g., Park et al., 1998, for carbonic acid), we may be able to describe </w:t>
      </w:r>
      <w:proofErr w:type="spellStart"/>
      <w:r w:rsidRPr="005F30AE">
        <w:rPr>
          <w:rFonts w:ascii="Times New Roman" w:eastAsia="Times New Roman" w:hAnsi="Times New Roman" w:cs="Times New Roman"/>
          <w:sz w:val="24"/>
          <w:szCs w:val="24"/>
        </w:rPr>
        <w:t>semiquantitatively</w:t>
      </w:r>
      <w:proofErr w:type="spellEnd"/>
      <w:r w:rsidRPr="005F30AE">
        <w:rPr>
          <w:rFonts w:ascii="Times New Roman" w:eastAsia="Times New Roman" w:hAnsi="Times New Roman" w:cs="Times New Roman"/>
          <w:sz w:val="24"/>
          <w:szCs w:val="24"/>
        </w:rPr>
        <w:t xml:space="preserve"> the temperature, solvent and ionic strength dependence of the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w:t>
      </w:r>
      <w:proofErr w:type="spellStart"/>
      <w:r w:rsidRPr="005F30AE">
        <w:rPr>
          <w:rFonts w:ascii="Times New Roman" w:eastAsia="Times New Roman" w:hAnsi="Times New Roman" w:cs="Times New Roman"/>
          <w:sz w:val="24"/>
          <w:szCs w:val="24"/>
        </w:rPr>
        <w:t>Millero</w:t>
      </w:r>
      <w:proofErr w:type="spellEnd"/>
      <w:r w:rsidRPr="005F30AE">
        <w:rPr>
          <w:rFonts w:ascii="Times New Roman" w:eastAsia="Times New Roman" w:hAnsi="Times New Roman" w:cs="Times New Roman"/>
          <w:sz w:val="24"/>
          <w:szCs w:val="24"/>
        </w:rPr>
        <w:t>, 1995), but only if we have correctly identified the reactants and products at the molecular level.</w:t>
      </w:r>
    </w:p>
    <w:p w:rsidR="005F30AE" w:rsidRPr="005F30AE" w:rsidRDefault="005F30AE" w:rsidP="005F30AE">
      <w:pPr>
        <w:spacing w:before="100" w:beforeAutospacing="1" w:after="100" w:afterAutospacing="1" w:line="240" w:lineRule="auto"/>
        <w:outlineLvl w:val="1"/>
        <w:rPr>
          <w:rFonts w:ascii="Times New Roman" w:eastAsia="Times New Roman" w:hAnsi="Times New Roman" w:cs="Times New Roman"/>
          <w:b/>
          <w:bCs/>
          <w:sz w:val="36"/>
          <w:szCs w:val="36"/>
        </w:rPr>
      </w:pPr>
      <w:r w:rsidRPr="005F30AE">
        <w:rPr>
          <w:rFonts w:ascii="Times New Roman" w:eastAsia="Times New Roman" w:hAnsi="Times New Roman" w:cs="Times New Roman"/>
          <w:b/>
          <w:bCs/>
          <w:sz w:val="36"/>
          <w:szCs w:val="36"/>
        </w:rPr>
        <w:t>Section snippets</w:t>
      </w:r>
    </w:p>
    <w:p w:rsidR="005F30AE" w:rsidRPr="005F30AE" w:rsidRDefault="005F30AE" w:rsidP="005F30AE">
      <w:pPr>
        <w:spacing w:before="100" w:beforeAutospacing="1" w:after="100" w:afterAutospacing="1" w:line="240" w:lineRule="auto"/>
        <w:outlineLvl w:val="1"/>
        <w:rPr>
          <w:rFonts w:ascii="Times New Roman" w:eastAsia="Times New Roman" w:hAnsi="Times New Roman" w:cs="Times New Roman"/>
          <w:b/>
          <w:bCs/>
          <w:sz w:val="36"/>
          <w:szCs w:val="36"/>
        </w:rPr>
      </w:pPr>
      <w:r w:rsidRPr="005F30AE">
        <w:rPr>
          <w:rFonts w:ascii="Times New Roman" w:eastAsia="Times New Roman" w:hAnsi="Times New Roman" w:cs="Times New Roman"/>
          <w:b/>
          <w:bCs/>
          <w:sz w:val="36"/>
          <w:szCs w:val="36"/>
        </w:rPr>
        <w:t>Computational methods</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 xml:space="preserve">Recently there has been considerable interest within the quantum chemical community in the calculation of absolute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for weak acids in aqueous solution (da Silva et al 1999, Liptak and Shields 2001, Chipman 2002, Dixon et al 2003, </w:t>
      </w:r>
      <w:proofErr w:type="spellStart"/>
      <w:r w:rsidRPr="005F30AE">
        <w:rPr>
          <w:rFonts w:ascii="Times New Roman" w:eastAsia="Times New Roman" w:hAnsi="Times New Roman" w:cs="Times New Roman"/>
          <w:sz w:val="24"/>
          <w:szCs w:val="24"/>
        </w:rPr>
        <w:t>Saracino</w:t>
      </w:r>
      <w:proofErr w:type="spellEnd"/>
      <w:r w:rsidRPr="005F30AE">
        <w:rPr>
          <w:rFonts w:ascii="Times New Roman" w:eastAsia="Times New Roman" w:hAnsi="Times New Roman" w:cs="Times New Roman"/>
          <w:sz w:val="24"/>
          <w:szCs w:val="24"/>
        </w:rPr>
        <w:t xml:space="preserve"> et al 2003, Magill and Yates 2004, Schmidt am Busch and Knapp 2004). There have also been a number of studies in which relative free energies for acid dissociation in aqueous solution are calculated and then correlated with known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to</w:t>
      </w:r>
    </w:p>
    <w:p w:rsidR="005F30AE" w:rsidRPr="005F30AE" w:rsidRDefault="005F30AE" w:rsidP="005F30AE">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5F30AE">
        <w:rPr>
          <w:rFonts w:ascii="Times New Roman" w:eastAsia="Times New Roman" w:hAnsi="Times New Roman" w:cs="Times New Roman"/>
          <w:b/>
          <w:bCs/>
          <w:sz w:val="36"/>
          <w:szCs w:val="36"/>
        </w:rPr>
        <w:t>pK</w:t>
      </w:r>
      <w:r w:rsidRPr="005F30AE">
        <w:rPr>
          <w:rFonts w:ascii="Times New Roman" w:eastAsia="Times New Roman" w:hAnsi="Times New Roman" w:cs="Times New Roman"/>
          <w:b/>
          <w:bCs/>
          <w:sz w:val="36"/>
          <w:szCs w:val="36"/>
          <w:vertAlign w:val="subscript"/>
        </w:rPr>
        <w:t>a</w:t>
      </w:r>
      <w:proofErr w:type="spellEnd"/>
      <w:r w:rsidRPr="005F30AE">
        <w:rPr>
          <w:rFonts w:ascii="Times New Roman" w:eastAsia="Times New Roman" w:hAnsi="Times New Roman" w:cs="Times New Roman"/>
          <w:b/>
          <w:bCs/>
          <w:sz w:val="36"/>
          <w:szCs w:val="36"/>
        </w:rPr>
        <w:t xml:space="preserve"> Values and Other Energetic Properties</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In Table 1 we give calculated gas-phase deprotonation free energies, differences of acid and anion hydration free energies, their sum minus 269.0 kcal/mol (the free energy of H</w:t>
      </w:r>
      <w:r w:rsidRPr="005F30AE">
        <w:rPr>
          <w:rFonts w:ascii="Times New Roman" w:eastAsia="Times New Roman" w:hAnsi="Times New Roman" w:cs="Times New Roman"/>
          <w:sz w:val="24"/>
          <w:szCs w:val="24"/>
          <w:vertAlign w:val="superscript"/>
        </w:rPr>
        <w:t>+</w:t>
      </w:r>
      <w:r w:rsidRPr="005F30AE">
        <w:rPr>
          <w:rFonts w:ascii="Times New Roman" w:eastAsia="Times New Roman" w:hAnsi="Times New Roman" w:cs="Times New Roman"/>
          <w:sz w:val="24"/>
          <w:szCs w:val="24"/>
        </w:rPr>
        <w:t>[</w:t>
      </w:r>
      <w:proofErr w:type="spellStart"/>
      <w:r w:rsidRPr="005F30AE">
        <w:rPr>
          <w:rFonts w:ascii="Times New Roman" w:eastAsia="Times New Roman" w:hAnsi="Times New Roman" w:cs="Times New Roman"/>
          <w:sz w:val="24"/>
          <w:szCs w:val="24"/>
        </w:rPr>
        <w:t>aq</w:t>
      </w:r>
      <w:proofErr w:type="spellEnd"/>
      <w:r w:rsidRPr="005F30AE">
        <w:rPr>
          <w:rFonts w:ascii="Times New Roman" w:eastAsia="Times New Roman" w:hAnsi="Times New Roman" w:cs="Times New Roman"/>
          <w:sz w:val="24"/>
          <w:szCs w:val="24"/>
        </w:rPr>
        <w:t xml:space="preserve">]) which is equal to the free energy change in aqueous solution and the calculated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from Eqn. 5 for several different reactions of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CO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 (and related molecules) and for HNO</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HNO</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 and HNO.</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We find for the boric acid case that the B(OH)</w:t>
      </w:r>
      <w:r w:rsidRPr="005F30AE">
        <w:rPr>
          <w:rFonts w:ascii="Times New Roman" w:eastAsia="Times New Roman" w:hAnsi="Times New Roman" w:cs="Times New Roman"/>
          <w:sz w:val="24"/>
          <w:szCs w:val="24"/>
          <w:vertAlign w:val="subscript"/>
        </w:rPr>
        <w:t>3</w:t>
      </w:r>
      <w:proofErr w:type="gramStart"/>
      <w:r w:rsidRPr="005F30AE">
        <w:rPr>
          <w:rFonts w:ascii="Times New Roman" w:eastAsia="Times New Roman" w:hAnsi="Times New Roman" w:cs="Times New Roman"/>
          <w:sz w:val="24"/>
          <w:szCs w:val="24"/>
        </w:rPr>
        <w:t>. .</w:t>
      </w:r>
      <w:proofErr w:type="gramEnd"/>
      <w:r w:rsidRPr="005F30AE">
        <w:rPr>
          <w:rFonts w:ascii="Times New Roman" w:eastAsia="Times New Roman" w:hAnsi="Times New Roman" w:cs="Times New Roman"/>
          <w:sz w:val="24"/>
          <w:szCs w:val="24"/>
        </w:rPr>
        <w:t> .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O complex and B(OH)</w:t>
      </w:r>
      <w:r w:rsidRPr="005F30AE">
        <w:rPr>
          <w:rFonts w:ascii="Times New Roman" w:eastAsia="Times New Roman" w:hAnsi="Times New Roman" w:cs="Times New Roman"/>
          <w:sz w:val="24"/>
          <w:szCs w:val="24"/>
          <w:vertAlign w:val="subscript"/>
        </w:rPr>
        <w:t>3</w:t>
      </w:r>
      <w:r w:rsidRPr="005F30AE">
        <w:rPr>
          <w:rFonts w:ascii="Times New Roman" w:eastAsia="Times New Roman" w:hAnsi="Times New Roman" w:cs="Times New Roman"/>
          <w:sz w:val="24"/>
          <w:szCs w:val="24"/>
        </w:rPr>
        <w:t xml:space="preserve"> + H</w:t>
      </w:r>
      <w:r w:rsidRPr="005F30AE">
        <w:rPr>
          <w:rFonts w:ascii="Times New Roman" w:eastAsia="Times New Roman" w:hAnsi="Times New Roman" w:cs="Times New Roman"/>
          <w:sz w:val="24"/>
          <w:szCs w:val="24"/>
          <w:vertAlign w:val="subscript"/>
        </w:rPr>
        <w:t>2</w:t>
      </w:r>
      <w:r w:rsidRPr="005F30AE">
        <w:rPr>
          <w:rFonts w:ascii="Times New Roman" w:eastAsia="Times New Roman" w:hAnsi="Times New Roman" w:cs="Times New Roman"/>
          <w:sz w:val="24"/>
          <w:szCs w:val="24"/>
        </w:rPr>
        <w:t xml:space="preserve">O both give a calculated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p>
    <w:p w:rsidR="005F30AE" w:rsidRPr="005F30AE" w:rsidRDefault="005F30AE" w:rsidP="005F30AE">
      <w:pPr>
        <w:spacing w:before="100" w:beforeAutospacing="1" w:after="100" w:afterAutospacing="1" w:line="240" w:lineRule="auto"/>
        <w:outlineLvl w:val="1"/>
        <w:rPr>
          <w:rFonts w:ascii="Times New Roman" w:eastAsia="Times New Roman" w:hAnsi="Times New Roman" w:cs="Times New Roman"/>
          <w:b/>
          <w:bCs/>
          <w:sz w:val="36"/>
          <w:szCs w:val="36"/>
        </w:rPr>
      </w:pPr>
      <w:r w:rsidRPr="005F30AE">
        <w:rPr>
          <w:rFonts w:ascii="Times New Roman" w:eastAsia="Times New Roman" w:hAnsi="Times New Roman" w:cs="Times New Roman"/>
          <w:b/>
          <w:bCs/>
          <w:sz w:val="36"/>
          <w:szCs w:val="36"/>
        </w:rPr>
        <w:t>Summary and conclusion</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lastRenderedPageBreak/>
        <w:t xml:space="preserve">Others have recently calculated the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for homologous series of highly similar acidic molecules. In this work we have studied the </w:t>
      </w:r>
      <w:proofErr w:type="spellStart"/>
      <w:r w:rsidRPr="005F30AE">
        <w:rPr>
          <w:rFonts w:ascii="Times New Roman" w:eastAsia="Times New Roman" w:hAnsi="Times New Roman" w:cs="Times New Roman"/>
          <w:sz w:val="24"/>
          <w:szCs w:val="24"/>
        </w:rPr>
        <w:t>oxyacids</w:t>
      </w:r>
      <w:proofErr w:type="spellEnd"/>
      <w:r w:rsidRPr="005F30AE">
        <w:rPr>
          <w:rFonts w:ascii="Times New Roman" w:eastAsia="Times New Roman" w:hAnsi="Times New Roman" w:cs="Times New Roman"/>
          <w:sz w:val="24"/>
          <w:szCs w:val="24"/>
        </w:rPr>
        <w:t xml:space="preserve"> of B, C and N, which show major changes both in their acid strength and in the nature of their acid dissociation reactions. Our goal is to establish by comparison of calculated and experimental </w:t>
      </w:r>
      <w:proofErr w:type="spellStart"/>
      <w:r w:rsidRPr="005F30AE">
        <w:rPr>
          <w:rFonts w:ascii="Times New Roman" w:eastAsia="Times New Roman" w:hAnsi="Times New Roman" w:cs="Times New Roman"/>
          <w:sz w:val="24"/>
          <w:szCs w:val="24"/>
        </w:rPr>
        <w:t>p</w:t>
      </w:r>
      <w:r w:rsidRPr="005F30AE">
        <w:rPr>
          <w:rFonts w:ascii="Times New Roman" w:eastAsia="Times New Roman" w:hAnsi="Times New Roman" w:cs="Times New Roman"/>
          <w:i/>
          <w:iCs/>
          <w:sz w:val="24"/>
          <w:szCs w:val="24"/>
        </w:rPr>
        <w:t>K</w:t>
      </w:r>
      <w:r w:rsidRPr="005F30AE">
        <w:rPr>
          <w:rFonts w:ascii="Times New Roman" w:eastAsia="Times New Roman" w:hAnsi="Times New Roman" w:cs="Times New Roman"/>
          <w:sz w:val="24"/>
          <w:szCs w:val="24"/>
          <w:vertAlign w:val="subscript"/>
        </w:rPr>
        <w:t>a</w:t>
      </w:r>
      <w:proofErr w:type="spellEnd"/>
      <w:r w:rsidRPr="005F30AE">
        <w:rPr>
          <w:rFonts w:ascii="Times New Roman" w:eastAsia="Times New Roman" w:hAnsi="Times New Roman" w:cs="Times New Roman"/>
          <w:sz w:val="24"/>
          <w:szCs w:val="24"/>
        </w:rPr>
        <w:t xml:space="preserve"> values exactly what the reactants and products are, on a microscopic level. We have established that using the correct microscopic description of</w:t>
      </w:r>
    </w:p>
    <w:p w:rsidR="005F30AE" w:rsidRPr="005F30AE" w:rsidRDefault="005F30AE" w:rsidP="005F30AE">
      <w:pPr>
        <w:spacing w:before="100" w:beforeAutospacing="1" w:after="100" w:afterAutospacing="1" w:line="240" w:lineRule="auto"/>
        <w:outlineLvl w:val="1"/>
        <w:rPr>
          <w:rFonts w:ascii="Times New Roman" w:eastAsia="Times New Roman" w:hAnsi="Times New Roman" w:cs="Times New Roman"/>
          <w:b/>
          <w:bCs/>
          <w:sz w:val="36"/>
          <w:szCs w:val="36"/>
        </w:rPr>
      </w:pPr>
      <w:r w:rsidRPr="005F30AE">
        <w:rPr>
          <w:rFonts w:ascii="Times New Roman" w:eastAsia="Times New Roman" w:hAnsi="Times New Roman" w:cs="Times New Roman"/>
          <w:b/>
          <w:bCs/>
          <w:sz w:val="36"/>
          <w:szCs w:val="36"/>
        </w:rPr>
        <w:t>Acknowledgments</w:t>
      </w:r>
    </w:p>
    <w:p w:rsidR="005F30AE" w:rsidRPr="005F30AE" w:rsidRDefault="005F30AE" w:rsidP="005F30AE">
      <w:pPr>
        <w:spacing w:before="100" w:beforeAutospacing="1" w:after="100" w:afterAutospacing="1" w:line="240" w:lineRule="auto"/>
        <w:rPr>
          <w:rFonts w:ascii="Times New Roman" w:eastAsia="Times New Roman" w:hAnsi="Times New Roman" w:cs="Times New Roman"/>
          <w:sz w:val="24"/>
          <w:szCs w:val="24"/>
        </w:rPr>
      </w:pPr>
      <w:r w:rsidRPr="005F30AE">
        <w:rPr>
          <w:rFonts w:ascii="Times New Roman" w:eastAsia="Times New Roman" w:hAnsi="Times New Roman" w:cs="Times New Roman"/>
          <w:sz w:val="24"/>
          <w:szCs w:val="24"/>
        </w:rPr>
        <w:t>This work was supported by NSF Grant EAR-0001031 and DOE Grant DE-FG02-94ER14467. Some of the calculations were performed using GAUSSIAN98 on the XENIA cluster at the Geophysical Laboratory of the Carnegie Institution of Washington, which is supported in part by NSF MRI Grant AST-9976645. We thank Dr. Yun Liu for initiating the calculations of gas-phase deprotonation energies at the CBS-QB3 level.</w:t>
      </w:r>
    </w:p>
    <w:p w:rsidR="006A1A4F" w:rsidRDefault="006A1A4F"/>
    <w:sectPr w:rsidR="006A1A4F">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30AE"/>
    <w:rsid w:val="005F30AE"/>
    <w:rsid w:val="006A1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C67BA"/>
  <w15:chartTrackingRefBased/>
  <w15:docId w15:val="{994545B2-AECA-4B92-8FB6-65C282694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1230268">
      <w:bodyDiv w:val="1"/>
      <w:marLeft w:val="0"/>
      <w:marRight w:val="0"/>
      <w:marTop w:val="0"/>
      <w:marBottom w:val="0"/>
      <w:divBdr>
        <w:top w:val="none" w:sz="0" w:space="0" w:color="auto"/>
        <w:left w:val="none" w:sz="0" w:space="0" w:color="auto"/>
        <w:bottom w:val="none" w:sz="0" w:space="0" w:color="auto"/>
        <w:right w:val="none" w:sz="0" w:space="0" w:color="auto"/>
      </w:divBdr>
      <w:divsChild>
        <w:div w:id="181669698">
          <w:marLeft w:val="0"/>
          <w:marRight w:val="0"/>
          <w:marTop w:val="0"/>
          <w:marBottom w:val="0"/>
          <w:divBdr>
            <w:top w:val="none" w:sz="0" w:space="0" w:color="auto"/>
            <w:left w:val="none" w:sz="0" w:space="0" w:color="auto"/>
            <w:bottom w:val="none" w:sz="0" w:space="0" w:color="auto"/>
            <w:right w:val="none" w:sz="0" w:space="0" w:color="auto"/>
          </w:divBdr>
          <w:divsChild>
            <w:div w:id="1958101761">
              <w:marLeft w:val="0"/>
              <w:marRight w:val="0"/>
              <w:marTop w:val="0"/>
              <w:marBottom w:val="0"/>
              <w:divBdr>
                <w:top w:val="none" w:sz="0" w:space="0" w:color="auto"/>
                <w:left w:val="none" w:sz="0" w:space="0" w:color="auto"/>
                <w:bottom w:val="none" w:sz="0" w:space="0" w:color="auto"/>
                <w:right w:val="none" w:sz="0" w:space="0" w:color="auto"/>
              </w:divBdr>
              <w:divsChild>
                <w:div w:id="329915353">
                  <w:marLeft w:val="0"/>
                  <w:marRight w:val="0"/>
                  <w:marTop w:val="0"/>
                  <w:marBottom w:val="0"/>
                  <w:divBdr>
                    <w:top w:val="none" w:sz="0" w:space="0" w:color="auto"/>
                    <w:left w:val="none" w:sz="0" w:space="0" w:color="auto"/>
                    <w:bottom w:val="none" w:sz="0" w:space="0" w:color="auto"/>
                    <w:right w:val="none" w:sz="0" w:space="0" w:color="auto"/>
                  </w:divBdr>
                  <w:divsChild>
                    <w:div w:id="1355424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062982">
          <w:marLeft w:val="0"/>
          <w:marRight w:val="0"/>
          <w:marTop w:val="0"/>
          <w:marBottom w:val="0"/>
          <w:divBdr>
            <w:top w:val="none" w:sz="0" w:space="0" w:color="auto"/>
            <w:left w:val="none" w:sz="0" w:space="0" w:color="auto"/>
            <w:bottom w:val="none" w:sz="0" w:space="0" w:color="auto"/>
            <w:right w:val="none" w:sz="0" w:space="0" w:color="auto"/>
          </w:divBdr>
          <w:divsChild>
            <w:div w:id="1353610854">
              <w:marLeft w:val="0"/>
              <w:marRight w:val="0"/>
              <w:marTop w:val="0"/>
              <w:marBottom w:val="0"/>
              <w:divBdr>
                <w:top w:val="none" w:sz="0" w:space="0" w:color="auto"/>
                <w:left w:val="none" w:sz="0" w:space="0" w:color="auto"/>
                <w:bottom w:val="none" w:sz="0" w:space="0" w:color="auto"/>
                <w:right w:val="none" w:sz="0" w:space="0" w:color="auto"/>
              </w:divBdr>
              <w:divsChild>
                <w:div w:id="541288554">
                  <w:marLeft w:val="0"/>
                  <w:marRight w:val="0"/>
                  <w:marTop w:val="0"/>
                  <w:marBottom w:val="0"/>
                  <w:divBdr>
                    <w:top w:val="none" w:sz="0" w:space="0" w:color="auto"/>
                    <w:left w:val="none" w:sz="0" w:space="0" w:color="auto"/>
                    <w:bottom w:val="none" w:sz="0" w:space="0" w:color="auto"/>
                    <w:right w:val="none" w:sz="0" w:space="0" w:color="auto"/>
                  </w:divBdr>
                  <w:divsChild>
                    <w:div w:id="161127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105117">
          <w:marLeft w:val="0"/>
          <w:marRight w:val="0"/>
          <w:marTop w:val="0"/>
          <w:marBottom w:val="0"/>
          <w:divBdr>
            <w:top w:val="none" w:sz="0" w:space="0" w:color="auto"/>
            <w:left w:val="none" w:sz="0" w:space="0" w:color="auto"/>
            <w:bottom w:val="none" w:sz="0" w:space="0" w:color="auto"/>
            <w:right w:val="none" w:sz="0" w:space="0" w:color="auto"/>
          </w:divBdr>
          <w:divsChild>
            <w:div w:id="1712725233">
              <w:marLeft w:val="0"/>
              <w:marRight w:val="0"/>
              <w:marTop w:val="0"/>
              <w:marBottom w:val="0"/>
              <w:divBdr>
                <w:top w:val="none" w:sz="0" w:space="0" w:color="auto"/>
                <w:left w:val="none" w:sz="0" w:space="0" w:color="auto"/>
                <w:bottom w:val="none" w:sz="0" w:space="0" w:color="auto"/>
                <w:right w:val="none" w:sz="0" w:space="0" w:color="auto"/>
              </w:divBdr>
            </w:div>
          </w:divsChild>
        </w:div>
        <w:div w:id="120926565">
          <w:marLeft w:val="0"/>
          <w:marRight w:val="0"/>
          <w:marTop w:val="0"/>
          <w:marBottom w:val="0"/>
          <w:divBdr>
            <w:top w:val="none" w:sz="0" w:space="0" w:color="auto"/>
            <w:left w:val="none" w:sz="0" w:space="0" w:color="auto"/>
            <w:bottom w:val="none" w:sz="0" w:space="0" w:color="auto"/>
            <w:right w:val="none" w:sz="0" w:space="0" w:color="auto"/>
          </w:divBdr>
          <w:divsChild>
            <w:div w:id="718212954">
              <w:marLeft w:val="0"/>
              <w:marRight w:val="0"/>
              <w:marTop w:val="0"/>
              <w:marBottom w:val="0"/>
              <w:divBdr>
                <w:top w:val="none" w:sz="0" w:space="0" w:color="auto"/>
                <w:left w:val="none" w:sz="0" w:space="0" w:color="auto"/>
                <w:bottom w:val="none" w:sz="0" w:space="0" w:color="auto"/>
                <w:right w:val="none" w:sz="0" w:space="0" w:color="auto"/>
              </w:divBdr>
            </w:div>
          </w:divsChild>
        </w:div>
        <w:div w:id="27606855">
          <w:marLeft w:val="0"/>
          <w:marRight w:val="0"/>
          <w:marTop w:val="0"/>
          <w:marBottom w:val="0"/>
          <w:divBdr>
            <w:top w:val="none" w:sz="0" w:space="0" w:color="auto"/>
            <w:left w:val="none" w:sz="0" w:space="0" w:color="auto"/>
            <w:bottom w:val="none" w:sz="0" w:space="0" w:color="auto"/>
            <w:right w:val="none" w:sz="0" w:space="0" w:color="auto"/>
          </w:divBdr>
          <w:divsChild>
            <w:div w:id="222567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monomer" TargetMode="External"/><Relationship Id="rId5" Type="http://schemas.openxmlformats.org/officeDocument/2006/relationships/hyperlink" Target="https://www.sciencedirect.com/topics/earth-and-planetary-sciences/thermodynamic-cycle" TargetMode="External"/><Relationship Id="rId4" Type="http://schemas.openxmlformats.org/officeDocument/2006/relationships/hyperlink" Target="https://doi.org/10.1016/j.gca.2005.08.0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2258</Words>
  <Characters>12877</Characters>
  <Application>Microsoft Office Word</Application>
  <DocSecurity>0</DocSecurity>
  <Lines>107</Lines>
  <Paragraphs>30</Paragraphs>
  <ScaleCrop>false</ScaleCrop>
  <Company/>
  <LinksUpToDate>false</LinksUpToDate>
  <CharactersWithSpaces>15105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2023-11-11T02:52:00Z</dcterms:created>
  <dcterms:modified xsi:type="dcterms:W3CDTF">2023-11-11T02:52:00Z</dcterms:modified>
</cp:coreProperties>
</file>