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FF23E9" w:rsidRPr="00FF23E9" w:rsidRDefault="00FF23E9" w:rsidP="00FF23E9">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FF23E9">
        <w:rPr>
          <w:rFonts w:ascii="Times New Roman" w:eastAsia="Times New Roman" w:hAnsi="Times New Roman" w:cs="Times New Roman"/>
          <w:b/>
          <w:bCs/>
          <w:kern w:val="36"/>
          <w:sz w:val="48"/>
          <w:szCs w:val="48"/>
        </w:rPr>
        <w:t>Correlated trace element “vital effects” in tropical corals: A new geochemical tool for probing biomineralization</w:t>
      </w:r>
    </w:p>
    <w:p w:rsidR="00FF23E9" w:rsidRPr="00FF23E9" w:rsidRDefault="00FF23E9" w:rsidP="00FF23E9">
      <w:pPr>
        <w:spacing w:after="0"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Author links open overlay panel</w:t>
      </w:r>
    </w:p>
    <w:p w:rsidR="00FF23E9" w:rsidRPr="00FF23E9" w:rsidRDefault="00FF23E9" w:rsidP="00FF23E9">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FF23E9">
          <w:rPr>
            <w:rFonts w:ascii="Times New Roman" w:eastAsia="Times New Roman" w:hAnsi="Times New Roman" w:cs="Times New Roman"/>
            <w:color w:val="0000FF"/>
            <w:sz w:val="24"/>
            <w:szCs w:val="24"/>
            <w:u w:val="single"/>
          </w:rPr>
          <w:t>https://doi.org/10.1016/j.gca.2005.02.030</w:t>
        </w:r>
      </w:hyperlink>
      <w:bookmarkStart w:id="0" w:name="_GoBack"/>
      <w:bookmarkEnd w:id="0"/>
      <w:r w:rsidRPr="00FF23E9">
        <w:rPr>
          <w:rFonts w:ascii="Times New Roman" w:eastAsia="Times New Roman" w:hAnsi="Times New Roman" w:cs="Times New Roman"/>
          <w:sz w:val="24"/>
          <w:szCs w:val="24"/>
        </w:rPr>
        <w:t xml:space="preserve"> </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Abstract</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Micron-scale variations in the trace-element (TE) composition of tropical coral skeletons were measured using laser-ablation ICP-MS (LA-ICP-MS) as part of an investigation into the chemical processes underlying </w:t>
      </w:r>
      <w:proofErr w:type="spellStart"/>
      <w:r w:rsidRPr="00FF23E9">
        <w:rPr>
          <w:rFonts w:ascii="Times New Roman" w:eastAsia="Times New Roman" w:hAnsi="Times New Roman" w:cs="Times New Roman"/>
          <w:sz w:val="24"/>
          <w:szCs w:val="24"/>
        </w:rPr>
        <w:t>paleoenvrionmental</w:t>
      </w:r>
      <w:proofErr w:type="spellEnd"/>
      <w:r w:rsidRPr="00FF23E9">
        <w:rPr>
          <w:rFonts w:ascii="Times New Roman" w:eastAsia="Times New Roman" w:hAnsi="Times New Roman" w:cs="Times New Roman"/>
          <w:sz w:val="24"/>
          <w:szCs w:val="24"/>
        </w:rPr>
        <w:t xml:space="preserve"> proxy reconstructions. Fluctuations in B, Mg, Sr, Ba and U were measured at </w:t>
      </w:r>
      <w:hyperlink r:id="rId5" w:tooltip="Learn more about high spatial resolution from ScienceDirect's AI-generated Topic Pages" w:history="1">
        <w:r w:rsidRPr="00FF23E9">
          <w:rPr>
            <w:rFonts w:ascii="Times New Roman" w:eastAsia="Times New Roman" w:hAnsi="Times New Roman" w:cs="Times New Roman"/>
            <w:color w:val="0000FF"/>
            <w:sz w:val="24"/>
            <w:szCs w:val="24"/>
            <w:u w:val="single"/>
          </w:rPr>
          <w:t>high spatial resolution</w:t>
        </w:r>
      </w:hyperlink>
      <w:r w:rsidRPr="00FF23E9">
        <w:rPr>
          <w:rFonts w:ascii="Times New Roman" w:eastAsia="Times New Roman" w:hAnsi="Times New Roman" w:cs="Times New Roman"/>
          <w:sz w:val="24"/>
          <w:szCs w:val="24"/>
        </w:rPr>
        <w:t xml:space="preserve"> in two </w:t>
      </w:r>
      <w:r w:rsidRPr="00FF23E9">
        <w:rPr>
          <w:rFonts w:ascii="Times New Roman" w:eastAsia="Times New Roman" w:hAnsi="Times New Roman" w:cs="Times New Roman"/>
          <w:i/>
          <w:iCs/>
          <w:sz w:val="24"/>
          <w:szCs w:val="24"/>
        </w:rPr>
        <w:t>Porites</w:t>
      </w:r>
      <w:r w:rsidRPr="00FF23E9">
        <w:rPr>
          <w:rFonts w:ascii="Times New Roman" w:eastAsia="Times New Roman" w:hAnsi="Times New Roman" w:cs="Times New Roman"/>
          <w:sz w:val="24"/>
          <w:szCs w:val="24"/>
        </w:rPr>
        <w:t xml:space="preserve"> corals from the Great </w:t>
      </w:r>
      <w:hyperlink r:id="rId6" w:tooltip="Learn more about Barrier Reef from ScienceDirect's AI-generated Topic Pages" w:history="1">
        <w:r w:rsidRPr="00FF23E9">
          <w:rPr>
            <w:rFonts w:ascii="Times New Roman" w:eastAsia="Times New Roman" w:hAnsi="Times New Roman" w:cs="Times New Roman"/>
            <w:color w:val="0000FF"/>
            <w:sz w:val="24"/>
            <w:szCs w:val="24"/>
            <w:u w:val="single"/>
          </w:rPr>
          <w:t>Barrier Reef</w:t>
        </w:r>
      </w:hyperlink>
      <w:r w:rsidRPr="00FF23E9">
        <w:rPr>
          <w:rFonts w:ascii="Times New Roman" w:eastAsia="Times New Roman" w:hAnsi="Times New Roman" w:cs="Times New Roman"/>
          <w:sz w:val="24"/>
          <w:szCs w:val="24"/>
        </w:rPr>
        <w:t xml:space="preserve"> (Australia), and the fine-scale fluctuations (&lt; </w:t>
      </w:r>
      <w:r w:rsidRPr="00FF23E9">
        <w:rPr>
          <w:rFonts w:ascii="Cambria Math" w:eastAsia="Times New Roman" w:hAnsi="Cambria Math" w:cs="Cambria Math"/>
          <w:sz w:val="24"/>
          <w:szCs w:val="24"/>
        </w:rPr>
        <w:t>∼</w:t>
      </w:r>
      <w:r w:rsidRPr="00FF23E9">
        <w:rPr>
          <w:rFonts w:ascii="Times New Roman" w:eastAsia="Times New Roman" w:hAnsi="Times New Roman" w:cs="Times New Roman"/>
          <w:sz w:val="24"/>
          <w:szCs w:val="24"/>
        </w:rPr>
        <w:t xml:space="preserve">1.0 mm) were compared with seasonal TE cycles in a third coral. Fine-scale TE variations were found to have a large amplitude over distances corresponding to less than </w:t>
      </w:r>
      <w:proofErr w:type="gramStart"/>
      <w:r w:rsidRPr="00FF23E9">
        <w:rPr>
          <w:rFonts w:ascii="Times New Roman" w:eastAsia="Times New Roman" w:hAnsi="Times New Roman" w:cs="Times New Roman"/>
          <w:sz w:val="24"/>
          <w:szCs w:val="24"/>
        </w:rPr>
        <w:t>1 month</w:t>
      </w:r>
      <w:proofErr w:type="gramEnd"/>
      <w:r w:rsidRPr="00FF23E9">
        <w:rPr>
          <w:rFonts w:ascii="Times New Roman" w:eastAsia="Times New Roman" w:hAnsi="Times New Roman" w:cs="Times New Roman"/>
          <w:sz w:val="24"/>
          <w:szCs w:val="24"/>
        </w:rPr>
        <w:t xml:space="preserve"> growth. Variations were quasi-periodic and appeared to have characteristic wavelengths on weekly (6–7 d) and monthly (28 d) scales, although periodicity was not continuous and variations could not be matched either within or between individual </w:t>
      </w:r>
      <w:proofErr w:type="spellStart"/>
      <w:r w:rsidRPr="00FF23E9">
        <w:rPr>
          <w:rFonts w:ascii="Times New Roman" w:eastAsia="Times New Roman" w:hAnsi="Times New Roman" w:cs="Times New Roman"/>
          <w:sz w:val="24"/>
          <w:szCs w:val="24"/>
        </w:rPr>
        <w:t>corallites</w:t>
      </w:r>
      <w:proofErr w:type="spellEnd"/>
      <w:r w:rsidRPr="00FF23E9">
        <w:rPr>
          <w:rFonts w:ascii="Times New Roman" w:eastAsia="Times New Roman" w:hAnsi="Times New Roman" w:cs="Times New Roman"/>
          <w:sz w:val="24"/>
          <w:szCs w:val="24"/>
        </w:rPr>
        <w:t xml:space="preserve">. Fine-scale variations between Mg, Sr and U were significantly correlated with each other (Sr and U are positively correlated, but negatively correlated with Mg). This 3D correlation “vector” has the same slope as the seasonal-scale Mg, Sr and U correlations, suggesting that the same chemical/biologic </w:t>
      </w:r>
      <w:hyperlink r:id="rId7" w:tooltip="Learn more about biomineralization from ScienceDirect's AI-generated Topic Pages" w:history="1">
        <w:r w:rsidRPr="00FF23E9">
          <w:rPr>
            <w:rFonts w:ascii="Times New Roman" w:eastAsia="Times New Roman" w:hAnsi="Times New Roman" w:cs="Times New Roman"/>
            <w:color w:val="0000FF"/>
            <w:sz w:val="24"/>
            <w:szCs w:val="24"/>
            <w:u w:val="single"/>
          </w:rPr>
          <w:t>biomineralization</w:t>
        </w:r>
      </w:hyperlink>
      <w:r w:rsidRPr="00FF23E9">
        <w:rPr>
          <w:rFonts w:ascii="Times New Roman" w:eastAsia="Times New Roman" w:hAnsi="Times New Roman" w:cs="Times New Roman"/>
          <w:sz w:val="24"/>
          <w:szCs w:val="24"/>
        </w:rPr>
        <w:t xml:space="preserve"> process mediates trace element variations at both timescales. Importantly, the fine-scale variations are too large to be caused directly by daily to monthly fluctuations in sea-surface temperature. This means that seasonal variations in these elements cannot reflect purely inorganic temperature-dependent coprecipitation. Models of physicochemical calcification were developed to test whether changes in calcification rate could explain the trace-element correlations. The calculations show that increases in calcification rate will result in correlated decreases in all TE/Ca ratios. The models reproduce the Sr </w:t>
      </w:r>
      <w:hyperlink r:id="rId8" w:tooltip="Learn more about partition coefficient from ScienceDirect's AI-generated Topic Pages" w:history="1">
        <w:r w:rsidRPr="00FF23E9">
          <w:rPr>
            <w:rFonts w:ascii="Times New Roman" w:eastAsia="Times New Roman" w:hAnsi="Times New Roman" w:cs="Times New Roman"/>
            <w:color w:val="0000FF"/>
            <w:sz w:val="24"/>
            <w:szCs w:val="24"/>
            <w:u w:val="single"/>
          </w:rPr>
          <w:t>partition coefficient</w:t>
        </w:r>
      </w:hyperlink>
      <w:r w:rsidRPr="00FF23E9">
        <w:rPr>
          <w:rFonts w:ascii="Times New Roman" w:eastAsia="Times New Roman" w:hAnsi="Times New Roman" w:cs="Times New Roman"/>
          <w:sz w:val="24"/>
          <w:szCs w:val="24"/>
        </w:rPr>
        <w:t>, trace-element correlation slopes, and amplitude of fine-scale variations for an average calcifying pH of 8.5, varying by ±0.2 pH units. The models, however, predict U partition coefficients which are too low, and cannot reproduce the negative correlation between Mg and the other trace elements, which may be caused by crystallographic factors.</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Introduction</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Trace elements (TEs) in the skeletons of tropical corals are now widely used as proxies for physical and chemical processes in the world’s oceans. Underlying the use of these chemical proxies is the assumption that a coral’s physiology does not have a significant influence over its skeletal chemistry. Nonetheless, it has been recognized for several decades that coral skeletons contain large, unexplained trace-element variations over small distance-scales (e.g., Schroeder et al., 1970). Only recently, with the advent of micro-beam analytical techniques like ion microprobe and laser-ablation ICP-MS, have these variations been given any serious consideration (Allison and Tudhope, 1992).</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Fine-scale trace element variations are defined here as fluctuations occurring on distance scales corresponding to less than </w:t>
      </w:r>
      <w:proofErr w:type="gramStart"/>
      <w:r w:rsidRPr="00FF23E9">
        <w:rPr>
          <w:rFonts w:ascii="Times New Roman" w:eastAsia="Times New Roman" w:hAnsi="Times New Roman" w:cs="Times New Roman"/>
          <w:sz w:val="24"/>
          <w:szCs w:val="24"/>
        </w:rPr>
        <w:t>one month</w:t>
      </w:r>
      <w:proofErr w:type="gramEnd"/>
      <w:r w:rsidRPr="00FF23E9">
        <w:rPr>
          <w:rFonts w:ascii="Times New Roman" w:eastAsia="Times New Roman" w:hAnsi="Times New Roman" w:cs="Times New Roman"/>
          <w:sz w:val="24"/>
          <w:szCs w:val="24"/>
        </w:rPr>
        <w:t xml:space="preserve"> growth (&lt;</w:t>
      </w:r>
      <w:r w:rsidRPr="00FF23E9">
        <w:rPr>
          <w:rFonts w:ascii="Cambria Math" w:eastAsia="Times New Roman" w:hAnsi="Cambria Math" w:cs="Cambria Math"/>
          <w:sz w:val="24"/>
          <w:szCs w:val="24"/>
        </w:rPr>
        <w:t>∼</w:t>
      </w:r>
      <w:r w:rsidRPr="00FF23E9">
        <w:rPr>
          <w:rFonts w:ascii="Times New Roman" w:eastAsia="Times New Roman" w:hAnsi="Times New Roman" w:cs="Times New Roman"/>
          <w:sz w:val="24"/>
          <w:szCs w:val="24"/>
        </w:rPr>
        <w:t xml:space="preserve">1.0 mm in the case of </w:t>
      </w:r>
      <w:r w:rsidRPr="00FF23E9">
        <w:rPr>
          <w:rFonts w:ascii="Times New Roman" w:eastAsia="Times New Roman" w:hAnsi="Times New Roman" w:cs="Times New Roman"/>
          <w:i/>
          <w:iCs/>
          <w:sz w:val="24"/>
          <w:szCs w:val="24"/>
        </w:rPr>
        <w:t>Porites</w:t>
      </w:r>
      <w:r w:rsidRPr="00FF23E9">
        <w:rPr>
          <w:rFonts w:ascii="Times New Roman" w:eastAsia="Times New Roman" w:hAnsi="Times New Roman" w:cs="Times New Roman"/>
          <w:sz w:val="24"/>
          <w:szCs w:val="24"/>
        </w:rPr>
        <w:t xml:space="preserve"> sp. corals). These </w:t>
      </w:r>
      <w:r w:rsidRPr="00FF23E9">
        <w:rPr>
          <w:rFonts w:ascii="Times New Roman" w:eastAsia="Times New Roman" w:hAnsi="Times New Roman" w:cs="Times New Roman"/>
          <w:sz w:val="24"/>
          <w:szCs w:val="24"/>
        </w:rPr>
        <w:lastRenderedPageBreak/>
        <w:t xml:space="preserve">features tend not to be reproducible in adjacent profiles (&gt;1.0 mm, Sinclair, 1999). The lack of reproducibility means that these fluctuations do not carry useful information about the environment; however, they are ubiquitous in corals, can be very large in magnitude, are resistant to cleaning, and are reproducible in analytical traverses over the same track (Sinclair et al., 1998; Sinclair, 1999). This implies that fine-scale variations are inherent to the aragonite, and represent </w:t>
      </w:r>
      <w:proofErr w:type="gramStart"/>
      <w:r w:rsidRPr="00FF23E9">
        <w:rPr>
          <w:rFonts w:ascii="Times New Roman" w:eastAsia="Times New Roman" w:hAnsi="Times New Roman" w:cs="Times New Roman"/>
          <w:sz w:val="24"/>
          <w:szCs w:val="24"/>
        </w:rPr>
        <w:t>real</w:t>
      </w:r>
      <w:proofErr w:type="gramEnd"/>
      <w:r w:rsidRPr="00FF23E9">
        <w:rPr>
          <w:rFonts w:ascii="Times New Roman" w:eastAsia="Times New Roman" w:hAnsi="Times New Roman" w:cs="Times New Roman"/>
          <w:sz w:val="24"/>
          <w:szCs w:val="24"/>
        </w:rPr>
        <w:t xml:space="preserve"> compositional or physical heterogeneities in the coral skeleton.</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Several factors may contribute to fine-scale variations. The first investigations identified small discrete phases (e.g., clay particles, organic material, </w:t>
      </w:r>
      <w:proofErr w:type="spellStart"/>
      <w:r w:rsidRPr="00FF23E9">
        <w:rPr>
          <w:rFonts w:ascii="Times New Roman" w:eastAsia="Times New Roman" w:hAnsi="Times New Roman" w:cs="Times New Roman"/>
          <w:sz w:val="24"/>
          <w:szCs w:val="24"/>
        </w:rPr>
        <w:t>microborings</w:t>
      </w:r>
      <w:proofErr w:type="spellEnd"/>
      <w:r w:rsidRPr="00FF23E9">
        <w:rPr>
          <w:rFonts w:ascii="Times New Roman" w:eastAsia="Times New Roman" w:hAnsi="Times New Roman" w:cs="Times New Roman"/>
          <w:sz w:val="24"/>
          <w:szCs w:val="24"/>
        </w:rPr>
        <w:t xml:space="preserve">, and </w:t>
      </w:r>
      <w:proofErr w:type="spellStart"/>
      <w:r w:rsidRPr="00FF23E9">
        <w:rPr>
          <w:rFonts w:ascii="Times New Roman" w:eastAsia="Times New Roman" w:hAnsi="Times New Roman" w:cs="Times New Roman"/>
          <w:sz w:val="24"/>
          <w:szCs w:val="24"/>
        </w:rPr>
        <w:t>centres</w:t>
      </w:r>
      <w:proofErr w:type="spellEnd"/>
      <w:r w:rsidRPr="00FF23E9">
        <w:rPr>
          <w:rFonts w:ascii="Times New Roman" w:eastAsia="Times New Roman" w:hAnsi="Times New Roman" w:cs="Times New Roman"/>
          <w:sz w:val="24"/>
          <w:szCs w:val="24"/>
        </w:rPr>
        <w:t xml:space="preserve"> of calcification) as significant contributors to the variations. It has been observed, however, that some fine-scale fluctuations are associated with particular skeletal structures (Cohen et al., 2001; Cohen and Sohn, 2004) and are reproducible in different structural elements within a </w:t>
      </w:r>
      <w:proofErr w:type="spellStart"/>
      <w:r w:rsidRPr="00FF23E9">
        <w:rPr>
          <w:rFonts w:ascii="Times New Roman" w:eastAsia="Times New Roman" w:hAnsi="Times New Roman" w:cs="Times New Roman"/>
          <w:sz w:val="24"/>
          <w:szCs w:val="24"/>
        </w:rPr>
        <w:t>corallite</w:t>
      </w:r>
      <w:proofErr w:type="spellEnd"/>
      <w:r w:rsidRPr="00FF23E9">
        <w:rPr>
          <w:rFonts w:ascii="Times New Roman" w:eastAsia="Times New Roman" w:hAnsi="Times New Roman" w:cs="Times New Roman"/>
          <w:sz w:val="24"/>
          <w:szCs w:val="24"/>
        </w:rPr>
        <w:t xml:space="preserve"> (</w:t>
      </w:r>
      <w:proofErr w:type="spellStart"/>
      <w:r w:rsidRPr="00FF23E9">
        <w:rPr>
          <w:rFonts w:ascii="Times New Roman" w:eastAsia="Times New Roman" w:hAnsi="Times New Roman" w:cs="Times New Roman"/>
          <w:sz w:val="24"/>
          <w:szCs w:val="24"/>
        </w:rPr>
        <w:t>Meibom</w:t>
      </w:r>
      <w:proofErr w:type="spellEnd"/>
      <w:r w:rsidRPr="00FF23E9">
        <w:rPr>
          <w:rFonts w:ascii="Times New Roman" w:eastAsia="Times New Roman" w:hAnsi="Times New Roman" w:cs="Times New Roman"/>
          <w:sz w:val="24"/>
          <w:szCs w:val="24"/>
        </w:rPr>
        <w:t xml:space="preserve"> et al., 2003), suggesting a mechanistic link between trace-element variations and the coral biomineralization processes. These results imply that “vital effects” have the potential to limit the interpretation of environmental signals.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The first insights linking vital effects in coral skeletons to biomineralization processes came when two or more independent chemical inclusions were studied simultaneously. The strongly correlated fluctuations between stable isotopes of carbon, oxygen, (and recently) boron, provide clues to the chemical processes occurring within the calcifying environment (e.g., </w:t>
      </w:r>
      <w:proofErr w:type="spellStart"/>
      <w:r w:rsidRPr="00FF23E9">
        <w:rPr>
          <w:rFonts w:ascii="Times New Roman" w:eastAsia="Times New Roman" w:hAnsi="Times New Roman" w:cs="Times New Roman"/>
          <w:sz w:val="24"/>
          <w:szCs w:val="24"/>
        </w:rPr>
        <w:t>McConnaughey</w:t>
      </w:r>
      <w:proofErr w:type="spellEnd"/>
      <w:r w:rsidRPr="00FF23E9">
        <w:rPr>
          <w:rFonts w:ascii="Times New Roman" w:eastAsia="Times New Roman" w:hAnsi="Times New Roman" w:cs="Times New Roman"/>
          <w:sz w:val="24"/>
          <w:szCs w:val="24"/>
        </w:rPr>
        <w:t xml:space="preserve">, 1989a; </w:t>
      </w:r>
      <w:proofErr w:type="spellStart"/>
      <w:r w:rsidRPr="00FF23E9">
        <w:rPr>
          <w:rFonts w:ascii="Times New Roman" w:eastAsia="Times New Roman" w:hAnsi="Times New Roman" w:cs="Times New Roman"/>
          <w:sz w:val="24"/>
          <w:szCs w:val="24"/>
        </w:rPr>
        <w:t>Rollion</w:t>
      </w:r>
      <w:proofErr w:type="spellEnd"/>
      <w:r w:rsidRPr="00FF23E9">
        <w:rPr>
          <w:rFonts w:ascii="Times New Roman" w:eastAsia="Times New Roman" w:hAnsi="Times New Roman" w:cs="Times New Roman"/>
          <w:sz w:val="24"/>
          <w:szCs w:val="24"/>
        </w:rPr>
        <w:t>-Bard et al., 2003). This has allowed researchers to begin building numerical models of calcification chemistry (</w:t>
      </w:r>
      <w:proofErr w:type="spellStart"/>
      <w:r w:rsidRPr="00FF23E9">
        <w:rPr>
          <w:rFonts w:ascii="Times New Roman" w:eastAsia="Times New Roman" w:hAnsi="Times New Roman" w:cs="Times New Roman"/>
          <w:sz w:val="24"/>
          <w:szCs w:val="24"/>
        </w:rPr>
        <w:t>McConnaughey</w:t>
      </w:r>
      <w:proofErr w:type="spellEnd"/>
      <w:r w:rsidRPr="00FF23E9">
        <w:rPr>
          <w:rFonts w:ascii="Times New Roman" w:eastAsia="Times New Roman" w:hAnsi="Times New Roman" w:cs="Times New Roman"/>
          <w:sz w:val="24"/>
          <w:szCs w:val="24"/>
        </w:rPr>
        <w:t xml:space="preserve">, 1989a; Adkins et al., 2003), although the lack of information about the physiology and chemistry of biomineralization, still leaves uncertainties and points of contention (e.g., </w:t>
      </w:r>
      <w:proofErr w:type="spellStart"/>
      <w:r w:rsidRPr="00FF23E9">
        <w:rPr>
          <w:rFonts w:ascii="Times New Roman" w:eastAsia="Times New Roman" w:hAnsi="Times New Roman" w:cs="Times New Roman"/>
          <w:sz w:val="24"/>
          <w:szCs w:val="24"/>
        </w:rPr>
        <w:t>McConnaughey</w:t>
      </w:r>
      <w:proofErr w:type="spellEnd"/>
      <w:r w:rsidRPr="00FF23E9">
        <w:rPr>
          <w:rFonts w:ascii="Times New Roman" w:eastAsia="Times New Roman" w:hAnsi="Times New Roman" w:cs="Times New Roman"/>
          <w:sz w:val="24"/>
          <w:szCs w:val="24"/>
        </w:rPr>
        <w:t>, 2003).</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Recent observations of highly correlated fine-scale variations between different trace elements in corals (Sinclair, 1999; </w:t>
      </w:r>
      <w:proofErr w:type="spellStart"/>
      <w:r w:rsidRPr="00FF23E9">
        <w:rPr>
          <w:rFonts w:ascii="Times New Roman" w:eastAsia="Times New Roman" w:hAnsi="Times New Roman" w:cs="Times New Roman"/>
          <w:sz w:val="24"/>
          <w:szCs w:val="24"/>
        </w:rPr>
        <w:t>Montagna</w:t>
      </w:r>
      <w:proofErr w:type="spellEnd"/>
      <w:r w:rsidRPr="00FF23E9">
        <w:rPr>
          <w:rFonts w:ascii="Times New Roman" w:eastAsia="Times New Roman" w:hAnsi="Times New Roman" w:cs="Times New Roman"/>
          <w:sz w:val="24"/>
          <w:szCs w:val="24"/>
        </w:rPr>
        <w:t xml:space="preserve"> et al., 2003) suggest that trace element vital effects may offer the potential as probes of biomineralization chemistry in the same way that simultaneous analysis of stable isotopes have. Fine-scale trace element variations therefore represent an important independent set of observations which can be used to test the calcification models.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In this study I present high spatial resolution analyses of multiple trace elements in coral skeleton using LA-ICP-MS. Analysis focuses on spatial patterns of trace-element variation and interelement correlations. A quantitative numerical model of coral biomineralization is developed which allows trace-element correlations to be examined/predicted as a function of calcification rate.</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Section snippets</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Samples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Data from three </w:t>
      </w:r>
      <w:r w:rsidRPr="00FF23E9">
        <w:rPr>
          <w:rFonts w:ascii="Times New Roman" w:eastAsia="Times New Roman" w:hAnsi="Times New Roman" w:cs="Times New Roman"/>
          <w:i/>
          <w:iCs/>
          <w:sz w:val="24"/>
          <w:szCs w:val="24"/>
        </w:rPr>
        <w:t>Porites</w:t>
      </w:r>
      <w:r w:rsidRPr="00FF23E9">
        <w:rPr>
          <w:rFonts w:ascii="Times New Roman" w:eastAsia="Times New Roman" w:hAnsi="Times New Roman" w:cs="Times New Roman"/>
          <w:sz w:val="24"/>
          <w:szCs w:val="24"/>
        </w:rPr>
        <w:t xml:space="preserve"> sp. corals are presented here. The first coral sample (Davies 2) came from the central Great Barrier Reef. A 5 cm slab of coral was </w:t>
      </w:r>
      <w:proofErr w:type="spellStart"/>
      <w:r w:rsidRPr="00FF23E9">
        <w:rPr>
          <w:rFonts w:ascii="Times New Roman" w:eastAsia="Times New Roman" w:hAnsi="Times New Roman" w:cs="Times New Roman"/>
          <w:sz w:val="24"/>
          <w:szCs w:val="24"/>
        </w:rPr>
        <w:t>analysed</w:t>
      </w:r>
      <w:proofErr w:type="spellEnd"/>
      <w:r w:rsidRPr="00FF23E9">
        <w:rPr>
          <w:rFonts w:ascii="Times New Roman" w:eastAsia="Times New Roman" w:hAnsi="Times New Roman" w:cs="Times New Roman"/>
          <w:sz w:val="24"/>
          <w:szCs w:val="24"/>
        </w:rPr>
        <w:t xml:space="preserve"> with a rectangular laser spot (20 × 600 </w:t>
      </w:r>
      <w:proofErr w:type="spellStart"/>
      <w:r w:rsidRPr="00FF23E9">
        <w:rPr>
          <w:rFonts w:ascii="Times New Roman" w:eastAsia="Times New Roman" w:hAnsi="Times New Roman" w:cs="Times New Roman"/>
          <w:sz w:val="24"/>
          <w:szCs w:val="24"/>
        </w:rPr>
        <w:t>μm</w:t>
      </w:r>
      <w:proofErr w:type="spellEnd"/>
      <w:r w:rsidRPr="00FF23E9">
        <w:rPr>
          <w:rFonts w:ascii="Times New Roman" w:eastAsia="Times New Roman" w:hAnsi="Times New Roman" w:cs="Times New Roman"/>
          <w:sz w:val="24"/>
          <w:szCs w:val="24"/>
        </w:rPr>
        <w:t xml:space="preserve">). Sample details for this coral are presented in Sinclair et al. (1998) and </w:t>
      </w:r>
      <w:proofErr w:type="spellStart"/>
      <w:r w:rsidRPr="00FF23E9">
        <w:rPr>
          <w:rFonts w:ascii="Times New Roman" w:eastAsia="Times New Roman" w:hAnsi="Times New Roman" w:cs="Times New Roman"/>
          <w:sz w:val="24"/>
          <w:szCs w:val="24"/>
        </w:rPr>
        <w:t>Alibert</w:t>
      </w:r>
      <w:proofErr w:type="spellEnd"/>
      <w:r w:rsidRPr="00FF23E9">
        <w:rPr>
          <w:rFonts w:ascii="Times New Roman" w:eastAsia="Times New Roman" w:hAnsi="Times New Roman" w:cs="Times New Roman"/>
          <w:sz w:val="24"/>
          <w:szCs w:val="24"/>
        </w:rPr>
        <w:t xml:space="preserve"> and McCulloch (1997).</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The second coral (Davies 1B) came from the same location as the Davies 2 coral. A section was cut close to the top of the coral, </w:t>
      </w:r>
      <w:r w:rsidRPr="00FF23E9">
        <w:rPr>
          <w:rFonts w:ascii="Cambria Math" w:eastAsia="Times New Roman" w:hAnsi="Cambria Math" w:cs="Cambria Math"/>
          <w:sz w:val="24"/>
          <w:szCs w:val="24"/>
        </w:rPr>
        <w:t>∼</w:t>
      </w:r>
      <w:r w:rsidRPr="00FF23E9">
        <w:rPr>
          <w:rFonts w:ascii="Times New Roman" w:eastAsia="Times New Roman" w:hAnsi="Times New Roman" w:cs="Times New Roman"/>
          <w:sz w:val="24"/>
          <w:szCs w:val="24"/>
        </w:rPr>
        <w:t>3–4 cm below the tissue layer, and carefully sectioned</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lastRenderedPageBreak/>
        <w:t>Skeletal Patterns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Variations in the fine-scale data set are distributed over several widths. By far the most common are variations averaging </w:t>
      </w:r>
      <w:r w:rsidRPr="00FF23E9">
        <w:rPr>
          <w:rFonts w:ascii="Cambria Math" w:eastAsia="Times New Roman" w:hAnsi="Cambria Math" w:cs="Cambria Math"/>
          <w:sz w:val="24"/>
          <w:szCs w:val="24"/>
        </w:rPr>
        <w:t>∼</w:t>
      </w:r>
      <w:r w:rsidRPr="00FF23E9">
        <w:rPr>
          <w:rFonts w:ascii="Times New Roman" w:eastAsia="Times New Roman" w:hAnsi="Times New Roman" w:cs="Times New Roman"/>
          <w:sz w:val="24"/>
          <w:szCs w:val="24"/>
        </w:rPr>
        <w:t xml:space="preserve">260 </w:t>
      </w:r>
      <w:proofErr w:type="spellStart"/>
      <w:r w:rsidRPr="00FF23E9">
        <w:rPr>
          <w:rFonts w:ascii="Times New Roman" w:eastAsia="Times New Roman" w:hAnsi="Times New Roman" w:cs="Times New Roman"/>
          <w:sz w:val="24"/>
          <w:szCs w:val="24"/>
        </w:rPr>
        <w:t>μm</w:t>
      </w:r>
      <w:proofErr w:type="spellEnd"/>
      <w:r w:rsidRPr="00FF23E9">
        <w:rPr>
          <w:rFonts w:ascii="Times New Roman" w:eastAsia="Times New Roman" w:hAnsi="Times New Roman" w:cs="Times New Roman"/>
          <w:sz w:val="24"/>
          <w:szCs w:val="24"/>
        </w:rPr>
        <w:t xml:space="preserve"> (6–7 d growth), although there are variations on scales of 450 </w:t>
      </w:r>
      <w:proofErr w:type="spellStart"/>
      <w:r w:rsidRPr="00FF23E9">
        <w:rPr>
          <w:rFonts w:ascii="Times New Roman" w:eastAsia="Times New Roman" w:hAnsi="Times New Roman" w:cs="Times New Roman"/>
          <w:sz w:val="24"/>
          <w:szCs w:val="24"/>
        </w:rPr>
        <w:t>μm</w:t>
      </w:r>
      <w:proofErr w:type="spellEnd"/>
      <w:r w:rsidRPr="00FF23E9">
        <w:rPr>
          <w:rFonts w:ascii="Times New Roman" w:eastAsia="Times New Roman" w:hAnsi="Times New Roman" w:cs="Times New Roman"/>
          <w:sz w:val="24"/>
          <w:szCs w:val="24"/>
        </w:rPr>
        <w:t xml:space="preserve"> (11 d growth) up to 1.1 mm (28 d growth) (Fig. 3).</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The higher-frequency variations appeared to match the spacing between </w:t>
      </w:r>
      <w:proofErr w:type="spellStart"/>
      <w:r w:rsidRPr="00FF23E9">
        <w:rPr>
          <w:rFonts w:ascii="Times New Roman" w:eastAsia="Times New Roman" w:hAnsi="Times New Roman" w:cs="Times New Roman"/>
          <w:sz w:val="24"/>
          <w:szCs w:val="24"/>
        </w:rPr>
        <w:t>synapticulae</w:t>
      </w:r>
      <w:proofErr w:type="spellEnd"/>
      <w:r w:rsidRPr="00FF23E9">
        <w:rPr>
          <w:rFonts w:ascii="Times New Roman" w:eastAsia="Times New Roman" w:hAnsi="Times New Roman" w:cs="Times New Roman"/>
          <w:sz w:val="24"/>
          <w:szCs w:val="24"/>
        </w:rPr>
        <w:t xml:space="preserve"> (Fig. 4). Attempts were made to correlate features in the trace element profiles with structures visible on the images. No consistent relationships could be found,</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Trace Element Variations, Periodicity, and Coral Structure</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proofErr w:type="spellStart"/>
      <w:r w:rsidRPr="00FF23E9">
        <w:rPr>
          <w:rFonts w:ascii="Times New Roman" w:eastAsia="Times New Roman" w:hAnsi="Times New Roman" w:cs="Times New Roman"/>
          <w:sz w:val="24"/>
          <w:szCs w:val="24"/>
        </w:rPr>
        <w:t>Meibom</w:t>
      </w:r>
      <w:proofErr w:type="spellEnd"/>
      <w:r w:rsidRPr="00FF23E9">
        <w:rPr>
          <w:rFonts w:ascii="Times New Roman" w:eastAsia="Times New Roman" w:hAnsi="Times New Roman" w:cs="Times New Roman"/>
          <w:sz w:val="24"/>
          <w:szCs w:val="24"/>
        </w:rPr>
        <w:t xml:space="preserve"> et al. (2003) concluded that the driving force behind fine-scale Sr/Ca variations in </w:t>
      </w:r>
      <w:r w:rsidRPr="00FF23E9">
        <w:rPr>
          <w:rFonts w:ascii="Times New Roman" w:eastAsia="Times New Roman" w:hAnsi="Times New Roman" w:cs="Times New Roman"/>
          <w:i/>
          <w:iCs/>
          <w:sz w:val="24"/>
          <w:szCs w:val="24"/>
        </w:rPr>
        <w:t>Porites</w:t>
      </w:r>
      <w:r w:rsidRPr="00FF23E9">
        <w:rPr>
          <w:rFonts w:ascii="Times New Roman" w:eastAsia="Times New Roman" w:hAnsi="Times New Roman" w:cs="Times New Roman"/>
          <w:sz w:val="24"/>
          <w:szCs w:val="24"/>
        </w:rPr>
        <w:t xml:space="preserve"> affected multiple </w:t>
      </w:r>
      <w:proofErr w:type="spellStart"/>
      <w:r w:rsidRPr="00FF23E9">
        <w:rPr>
          <w:rFonts w:ascii="Times New Roman" w:eastAsia="Times New Roman" w:hAnsi="Times New Roman" w:cs="Times New Roman"/>
          <w:sz w:val="24"/>
          <w:szCs w:val="24"/>
        </w:rPr>
        <w:t>corallites</w:t>
      </w:r>
      <w:proofErr w:type="spellEnd"/>
      <w:r w:rsidRPr="00FF23E9">
        <w:rPr>
          <w:rFonts w:ascii="Times New Roman" w:eastAsia="Times New Roman" w:hAnsi="Times New Roman" w:cs="Times New Roman"/>
          <w:sz w:val="24"/>
          <w:szCs w:val="24"/>
        </w:rPr>
        <w:t xml:space="preserve"> simultaneously. Cohen and Sohn (2004) found periodic fine-scale fluctuations which matched </w:t>
      </w:r>
      <w:proofErr w:type="spellStart"/>
      <w:r w:rsidRPr="00FF23E9">
        <w:rPr>
          <w:rFonts w:ascii="Times New Roman" w:eastAsia="Times New Roman" w:hAnsi="Times New Roman" w:cs="Times New Roman"/>
          <w:sz w:val="24"/>
          <w:szCs w:val="24"/>
        </w:rPr>
        <w:t>synapticulae</w:t>
      </w:r>
      <w:proofErr w:type="spellEnd"/>
      <w:r w:rsidRPr="00FF23E9">
        <w:rPr>
          <w:rFonts w:ascii="Times New Roman" w:eastAsia="Times New Roman" w:hAnsi="Times New Roman" w:cs="Times New Roman"/>
          <w:sz w:val="24"/>
          <w:szCs w:val="24"/>
        </w:rPr>
        <w:t xml:space="preserve"> spacing (approximately a </w:t>
      </w:r>
      <w:proofErr w:type="gramStart"/>
      <w:r w:rsidRPr="00FF23E9">
        <w:rPr>
          <w:rFonts w:ascii="Times New Roman" w:eastAsia="Times New Roman" w:hAnsi="Times New Roman" w:cs="Times New Roman"/>
          <w:sz w:val="24"/>
          <w:szCs w:val="24"/>
        </w:rPr>
        <w:t>12 d</w:t>
      </w:r>
      <w:proofErr w:type="gramEnd"/>
      <w:r w:rsidRPr="00FF23E9">
        <w:rPr>
          <w:rFonts w:ascii="Times New Roman" w:eastAsia="Times New Roman" w:hAnsi="Times New Roman" w:cs="Times New Roman"/>
          <w:sz w:val="24"/>
          <w:szCs w:val="24"/>
        </w:rPr>
        <w:t xml:space="preserve"> periodicity) and SST/tidal fluctuations (6 and 25 d periods).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The data presented here, on their own, would not support these conclusions. Although the data contained variations on several characteristic length-scales (6, 11 and 28 d),</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Modeling the calcifying system</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The effect of changing the pH of the calcifying fluid on the composition of the coral has been modeled by assuming that calcification is a kinetic process with minor ions competing with major ions for inclusion into the CaCO</w:t>
      </w:r>
      <w:r w:rsidRPr="00FF23E9">
        <w:rPr>
          <w:rFonts w:ascii="Times New Roman" w:eastAsia="Times New Roman" w:hAnsi="Times New Roman" w:cs="Times New Roman"/>
          <w:sz w:val="24"/>
          <w:szCs w:val="24"/>
          <w:vertAlign w:val="subscript"/>
        </w:rPr>
        <w:t>3</w:t>
      </w:r>
      <w:r w:rsidRPr="00FF23E9">
        <w:rPr>
          <w:rFonts w:ascii="Times New Roman" w:eastAsia="Times New Roman" w:hAnsi="Times New Roman" w:cs="Times New Roman"/>
          <w:sz w:val="24"/>
          <w:szCs w:val="24"/>
        </w:rPr>
        <w:t>. Surface (but not bulk crystal) equilibrium is assumed, and selected aqueous trace element species incorporate with a constant partition coefficient relative to Ca</w:t>
      </w:r>
      <w:r w:rsidRPr="00FF23E9">
        <w:rPr>
          <w:rFonts w:ascii="Times New Roman" w:eastAsia="Times New Roman" w:hAnsi="Times New Roman" w:cs="Times New Roman"/>
          <w:sz w:val="24"/>
          <w:szCs w:val="24"/>
          <w:vertAlign w:val="superscript"/>
        </w:rPr>
        <w:t>2+</w:t>
      </w:r>
      <w:r w:rsidRPr="00FF23E9">
        <w:rPr>
          <w:rFonts w:ascii="Times New Roman" w:eastAsia="Times New Roman" w:hAnsi="Times New Roman" w:cs="Times New Roman"/>
          <w:sz w:val="24"/>
          <w:szCs w:val="24"/>
        </w:rPr>
        <w:t xml:space="preserve"> (for cation substituents) or CO</w:t>
      </w:r>
      <w:r w:rsidRPr="00FF23E9">
        <w:rPr>
          <w:rFonts w:ascii="Times New Roman" w:eastAsia="Times New Roman" w:hAnsi="Times New Roman" w:cs="Times New Roman"/>
          <w:sz w:val="24"/>
          <w:szCs w:val="24"/>
          <w:vertAlign w:val="subscript"/>
        </w:rPr>
        <w:t>3</w:t>
      </w:r>
      <w:r w:rsidRPr="00FF23E9">
        <w:rPr>
          <w:rFonts w:ascii="Times New Roman" w:eastAsia="Times New Roman" w:hAnsi="Times New Roman" w:cs="Times New Roman"/>
          <w:sz w:val="24"/>
          <w:szCs w:val="24"/>
          <w:vertAlign w:val="superscript"/>
        </w:rPr>
        <w:t>2−</w:t>
      </w:r>
      <w:r w:rsidRPr="00FF23E9">
        <w:rPr>
          <w:rFonts w:ascii="Times New Roman" w:eastAsia="Times New Roman" w:hAnsi="Times New Roman" w:cs="Times New Roman"/>
          <w:sz w:val="24"/>
          <w:szCs w:val="24"/>
        </w:rPr>
        <w:t>/HCO</w:t>
      </w:r>
      <w:r w:rsidRPr="00FF23E9">
        <w:rPr>
          <w:rFonts w:ascii="Times New Roman" w:eastAsia="Times New Roman" w:hAnsi="Times New Roman" w:cs="Times New Roman"/>
          <w:sz w:val="24"/>
          <w:szCs w:val="24"/>
          <w:vertAlign w:val="subscript"/>
        </w:rPr>
        <w:t>3</w:t>
      </w:r>
      <w:r w:rsidRPr="00FF23E9">
        <w:rPr>
          <w:rFonts w:ascii="Times New Roman" w:eastAsia="Times New Roman" w:hAnsi="Times New Roman" w:cs="Times New Roman"/>
          <w:sz w:val="24"/>
          <w:szCs w:val="24"/>
          <w:vertAlign w:val="superscript"/>
        </w:rPr>
        <w:t>−</w:t>
      </w:r>
      <w:r w:rsidRPr="00FF23E9">
        <w:rPr>
          <w:rFonts w:ascii="Times New Roman" w:eastAsia="Times New Roman" w:hAnsi="Times New Roman" w:cs="Times New Roman"/>
          <w:sz w:val="24"/>
          <w:szCs w:val="24"/>
        </w:rPr>
        <w:t xml:space="preserve"> (for anion substituents). These assumptions are essentially those</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Conclusions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On micron scales, tropical coral skeletons are </w:t>
      </w:r>
      <w:proofErr w:type="spellStart"/>
      <w:r w:rsidRPr="00FF23E9">
        <w:rPr>
          <w:rFonts w:ascii="Times New Roman" w:eastAsia="Times New Roman" w:hAnsi="Times New Roman" w:cs="Times New Roman"/>
          <w:sz w:val="24"/>
          <w:szCs w:val="24"/>
        </w:rPr>
        <w:t>characterised</w:t>
      </w:r>
      <w:proofErr w:type="spellEnd"/>
      <w:r w:rsidRPr="00FF23E9">
        <w:rPr>
          <w:rFonts w:ascii="Times New Roman" w:eastAsia="Times New Roman" w:hAnsi="Times New Roman" w:cs="Times New Roman"/>
          <w:sz w:val="24"/>
          <w:szCs w:val="24"/>
        </w:rPr>
        <w:t xml:space="preserve"> by large variations in B, Mg, Sr, Ba and U. The variations observed here appeared to have characteristic spatial scales (approximately equivalent to 7, 11, and 28 d growth), but unlike similar observations (</w:t>
      </w:r>
      <w:proofErr w:type="spellStart"/>
      <w:r w:rsidRPr="00FF23E9">
        <w:rPr>
          <w:rFonts w:ascii="Times New Roman" w:eastAsia="Times New Roman" w:hAnsi="Times New Roman" w:cs="Times New Roman"/>
          <w:sz w:val="24"/>
          <w:szCs w:val="24"/>
        </w:rPr>
        <w:t>Meibom</w:t>
      </w:r>
      <w:proofErr w:type="spellEnd"/>
      <w:r w:rsidRPr="00FF23E9">
        <w:rPr>
          <w:rFonts w:ascii="Times New Roman" w:eastAsia="Times New Roman" w:hAnsi="Times New Roman" w:cs="Times New Roman"/>
          <w:sz w:val="24"/>
          <w:szCs w:val="24"/>
        </w:rPr>
        <w:t xml:space="preserve"> et al., 2003; Cohen and Sohn, 2004) these were not periodic and could not be correlated on either side of a coral calyx.</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Some of the fine-scale variations (in particular those for B or Ba) can be attributed to contaminant</w:t>
      </w:r>
    </w:p>
    <w:p w:rsidR="00FF23E9" w:rsidRPr="00FF23E9" w:rsidRDefault="00FF23E9" w:rsidP="00FF23E9">
      <w:pPr>
        <w:spacing w:before="100" w:beforeAutospacing="1" w:after="100" w:afterAutospacing="1" w:line="240" w:lineRule="auto"/>
        <w:outlineLvl w:val="1"/>
        <w:rPr>
          <w:rFonts w:ascii="Times New Roman" w:eastAsia="Times New Roman" w:hAnsi="Times New Roman" w:cs="Times New Roman"/>
          <w:b/>
          <w:bCs/>
          <w:sz w:val="36"/>
          <w:szCs w:val="36"/>
        </w:rPr>
      </w:pPr>
      <w:r w:rsidRPr="00FF23E9">
        <w:rPr>
          <w:rFonts w:ascii="Times New Roman" w:eastAsia="Times New Roman" w:hAnsi="Times New Roman" w:cs="Times New Roman"/>
          <w:b/>
          <w:bCs/>
          <w:sz w:val="36"/>
          <w:szCs w:val="36"/>
        </w:rPr>
        <w:t>Acknowledgments</w:t>
      </w:r>
    </w:p>
    <w:p w:rsidR="00FF23E9" w:rsidRPr="00FF23E9" w:rsidRDefault="00FF23E9" w:rsidP="00FF23E9">
      <w:pPr>
        <w:spacing w:before="100" w:beforeAutospacing="1" w:after="100" w:afterAutospacing="1" w:line="240" w:lineRule="auto"/>
        <w:rPr>
          <w:rFonts w:ascii="Times New Roman" w:eastAsia="Times New Roman" w:hAnsi="Times New Roman" w:cs="Times New Roman"/>
          <w:sz w:val="24"/>
          <w:szCs w:val="24"/>
        </w:rPr>
      </w:pPr>
      <w:r w:rsidRPr="00FF23E9">
        <w:rPr>
          <w:rFonts w:ascii="Times New Roman" w:eastAsia="Times New Roman" w:hAnsi="Times New Roman" w:cs="Times New Roman"/>
          <w:sz w:val="24"/>
          <w:szCs w:val="24"/>
        </w:rPr>
        <w:t xml:space="preserve">The author wishes to thank the Research School of Earth Sciences and the Australian National University for resources and financial support during this research, which was undertaken as part of a doctoral thesis. Special thanks are directed towards M. T. McCulloch for supervision and laboratory facilities, and L. Kinsley, M. Shelley, and S. </w:t>
      </w:r>
      <w:proofErr w:type="spellStart"/>
      <w:r w:rsidRPr="00FF23E9">
        <w:rPr>
          <w:rFonts w:ascii="Times New Roman" w:eastAsia="Times New Roman" w:hAnsi="Times New Roman" w:cs="Times New Roman"/>
          <w:sz w:val="24"/>
          <w:szCs w:val="24"/>
        </w:rPr>
        <w:t>Eggins</w:t>
      </w:r>
      <w:proofErr w:type="spellEnd"/>
      <w:r w:rsidRPr="00FF23E9">
        <w:rPr>
          <w:rFonts w:ascii="Times New Roman" w:eastAsia="Times New Roman" w:hAnsi="Times New Roman" w:cs="Times New Roman"/>
          <w:sz w:val="24"/>
          <w:szCs w:val="24"/>
        </w:rPr>
        <w:t xml:space="preserve"> for technical support. Coral samples were kindly provided by C. </w:t>
      </w:r>
      <w:proofErr w:type="spellStart"/>
      <w:r w:rsidRPr="00FF23E9">
        <w:rPr>
          <w:rFonts w:ascii="Times New Roman" w:eastAsia="Times New Roman" w:hAnsi="Times New Roman" w:cs="Times New Roman"/>
          <w:sz w:val="24"/>
          <w:szCs w:val="24"/>
        </w:rPr>
        <w:t>Alibert</w:t>
      </w:r>
      <w:proofErr w:type="spellEnd"/>
      <w:r w:rsidRPr="00FF23E9">
        <w:rPr>
          <w:rFonts w:ascii="Times New Roman" w:eastAsia="Times New Roman" w:hAnsi="Times New Roman" w:cs="Times New Roman"/>
          <w:sz w:val="24"/>
          <w:szCs w:val="24"/>
        </w:rPr>
        <w:t xml:space="preserve"> and the Australian Institute of Marine Sciences. Photography was undertaken</w:t>
      </w:r>
    </w:p>
    <w:p w:rsidR="00845E1C" w:rsidRDefault="00845E1C"/>
    <w:sectPr w:rsidR="00845E1C">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23E9"/>
    <w:rsid w:val="00845E1C"/>
    <w:rsid w:val="00FF23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56127D"/>
  <w15:chartTrackingRefBased/>
  <w15:docId w15:val="{EB82FE02-1423-480E-8CF0-55244C2E97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40569984">
      <w:bodyDiv w:val="1"/>
      <w:marLeft w:val="0"/>
      <w:marRight w:val="0"/>
      <w:marTop w:val="0"/>
      <w:marBottom w:val="0"/>
      <w:divBdr>
        <w:top w:val="none" w:sz="0" w:space="0" w:color="auto"/>
        <w:left w:val="none" w:sz="0" w:space="0" w:color="auto"/>
        <w:bottom w:val="none" w:sz="0" w:space="0" w:color="auto"/>
        <w:right w:val="none" w:sz="0" w:space="0" w:color="auto"/>
      </w:divBdr>
      <w:divsChild>
        <w:div w:id="1554998387">
          <w:marLeft w:val="0"/>
          <w:marRight w:val="0"/>
          <w:marTop w:val="0"/>
          <w:marBottom w:val="0"/>
          <w:divBdr>
            <w:top w:val="none" w:sz="0" w:space="0" w:color="auto"/>
            <w:left w:val="none" w:sz="0" w:space="0" w:color="auto"/>
            <w:bottom w:val="none" w:sz="0" w:space="0" w:color="auto"/>
            <w:right w:val="none" w:sz="0" w:space="0" w:color="auto"/>
          </w:divBdr>
          <w:divsChild>
            <w:div w:id="2061245057">
              <w:marLeft w:val="0"/>
              <w:marRight w:val="0"/>
              <w:marTop w:val="0"/>
              <w:marBottom w:val="0"/>
              <w:divBdr>
                <w:top w:val="none" w:sz="0" w:space="0" w:color="auto"/>
                <w:left w:val="none" w:sz="0" w:space="0" w:color="auto"/>
                <w:bottom w:val="none" w:sz="0" w:space="0" w:color="auto"/>
                <w:right w:val="none" w:sz="0" w:space="0" w:color="auto"/>
              </w:divBdr>
              <w:divsChild>
                <w:div w:id="1478298761">
                  <w:marLeft w:val="0"/>
                  <w:marRight w:val="0"/>
                  <w:marTop w:val="0"/>
                  <w:marBottom w:val="0"/>
                  <w:divBdr>
                    <w:top w:val="none" w:sz="0" w:space="0" w:color="auto"/>
                    <w:left w:val="none" w:sz="0" w:space="0" w:color="auto"/>
                    <w:bottom w:val="none" w:sz="0" w:space="0" w:color="auto"/>
                    <w:right w:val="none" w:sz="0" w:space="0" w:color="auto"/>
                  </w:divBdr>
                  <w:divsChild>
                    <w:div w:id="108730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558839">
          <w:marLeft w:val="0"/>
          <w:marRight w:val="0"/>
          <w:marTop w:val="0"/>
          <w:marBottom w:val="0"/>
          <w:divBdr>
            <w:top w:val="none" w:sz="0" w:space="0" w:color="auto"/>
            <w:left w:val="none" w:sz="0" w:space="0" w:color="auto"/>
            <w:bottom w:val="none" w:sz="0" w:space="0" w:color="auto"/>
            <w:right w:val="none" w:sz="0" w:space="0" w:color="auto"/>
          </w:divBdr>
          <w:divsChild>
            <w:div w:id="993681912">
              <w:marLeft w:val="0"/>
              <w:marRight w:val="0"/>
              <w:marTop w:val="0"/>
              <w:marBottom w:val="0"/>
              <w:divBdr>
                <w:top w:val="none" w:sz="0" w:space="0" w:color="auto"/>
                <w:left w:val="none" w:sz="0" w:space="0" w:color="auto"/>
                <w:bottom w:val="none" w:sz="0" w:space="0" w:color="auto"/>
                <w:right w:val="none" w:sz="0" w:space="0" w:color="auto"/>
              </w:divBdr>
              <w:divsChild>
                <w:div w:id="2085449327">
                  <w:marLeft w:val="0"/>
                  <w:marRight w:val="0"/>
                  <w:marTop w:val="0"/>
                  <w:marBottom w:val="0"/>
                  <w:divBdr>
                    <w:top w:val="none" w:sz="0" w:space="0" w:color="auto"/>
                    <w:left w:val="none" w:sz="0" w:space="0" w:color="auto"/>
                    <w:bottom w:val="none" w:sz="0" w:space="0" w:color="auto"/>
                    <w:right w:val="none" w:sz="0" w:space="0" w:color="auto"/>
                  </w:divBdr>
                  <w:divsChild>
                    <w:div w:id="78855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4382243">
          <w:marLeft w:val="0"/>
          <w:marRight w:val="0"/>
          <w:marTop w:val="0"/>
          <w:marBottom w:val="0"/>
          <w:divBdr>
            <w:top w:val="none" w:sz="0" w:space="0" w:color="auto"/>
            <w:left w:val="none" w:sz="0" w:space="0" w:color="auto"/>
            <w:bottom w:val="none" w:sz="0" w:space="0" w:color="auto"/>
            <w:right w:val="none" w:sz="0" w:space="0" w:color="auto"/>
          </w:divBdr>
          <w:divsChild>
            <w:div w:id="1375153100">
              <w:marLeft w:val="0"/>
              <w:marRight w:val="0"/>
              <w:marTop w:val="0"/>
              <w:marBottom w:val="0"/>
              <w:divBdr>
                <w:top w:val="none" w:sz="0" w:space="0" w:color="auto"/>
                <w:left w:val="none" w:sz="0" w:space="0" w:color="auto"/>
                <w:bottom w:val="none" w:sz="0" w:space="0" w:color="auto"/>
                <w:right w:val="none" w:sz="0" w:space="0" w:color="auto"/>
              </w:divBdr>
            </w:div>
          </w:divsChild>
        </w:div>
        <w:div w:id="1717121120">
          <w:marLeft w:val="0"/>
          <w:marRight w:val="0"/>
          <w:marTop w:val="0"/>
          <w:marBottom w:val="0"/>
          <w:divBdr>
            <w:top w:val="none" w:sz="0" w:space="0" w:color="auto"/>
            <w:left w:val="none" w:sz="0" w:space="0" w:color="auto"/>
            <w:bottom w:val="none" w:sz="0" w:space="0" w:color="auto"/>
            <w:right w:val="none" w:sz="0" w:space="0" w:color="auto"/>
          </w:divBdr>
          <w:divsChild>
            <w:div w:id="35588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artition-coefficient" TargetMode="External"/><Relationship Id="rId3" Type="http://schemas.openxmlformats.org/officeDocument/2006/relationships/webSettings" Target="webSettings.xml"/><Relationship Id="rId7" Type="http://schemas.openxmlformats.org/officeDocument/2006/relationships/hyperlink" Target="https://www.sciencedirect.com/topics/earth-and-planetary-sciences/biomineraliz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barrier-reef" TargetMode="External"/><Relationship Id="rId5" Type="http://schemas.openxmlformats.org/officeDocument/2006/relationships/hyperlink" Target="https://www.sciencedirect.com/topics/earth-and-planetary-sciences/high-spatial-resolution" TargetMode="External"/><Relationship Id="rId10" Type="http://schemas.openxmlformats.org/officeDocument/2006/relationships/theme" Target="theme/theme1.xml"/><Relationship Id="rId4" Type="http://schemas.openxmlformats.org/officeDocument/2006/relationships/hyperlink" Target="https://doi.org/10.1016/j.gca.2005.02.030"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1514</Words>
  <Characters>8633</Characters>
  <Application>Microsoft Office Word</Application>
  <DocSecurity>0</DocSecurity>
  <Lines>71</Lines>
  <Paragraphs>20</Paragraphs>
  <ScaleCrop>false</ScaleCrop>
  <Company/>
  <LinksUpToDate>false</LinksUpToDate>
  <CharactersWithSpaces>10127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2023-11-18T08:20:00Z</dcterms:created>
  <dcterms:modified xsi:type="dcterms:W3CDTF">2023-11-18T08:20:00Z</dcterms:modified>
</cp:coreProperties>
</file>