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C6ACE" w:rsidRPr="006C6ACE" w:rsidRDefault="006C6ACE" w:rsidP="006C6ACE">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6C6ACE">
        <w:rPr>
          <w:rFonts w:ascii="Times New Roman" w:eastAsia="Times New Roman" w:hAnsi="Times New Roman" w:cs="Times New Roman"/>
          <w:b/>
          <w:bCs/>
          <w:kern w:val="36"/>
          <w:sz w:val="48"/>
          <w:szCs w:val="48"/>
        </w:rPr>
        <w:t xml:space="preserve">Activities of </w:t>
      </w:r>
      <w:proofErr w:type="spellStart"/>
      <w:r w:rsidRPr="006C6ACE">
        <w:rPr>
          <w:rFonts w:ascii="Times New Roman" w:eastAsia="Times New Roman" w:hAnsi="Times New Roman" w:cs="Times New Roman"/>
          <w:b/>
          <w:bCs/>
          <w:kern w:val="36"/>
          <w:sz w:val="48"/>
          <w:szCs w:val="48"/>
        </w:rPr>
        <w:t>NiO</w:t>
      </w:r>
      <w:proofErr w:type="spellEnd"/>
      <w:r w:rsidRPr="006C6ACE">
        <w:rPr>
          <w:rFonts w:ascii="Times New Roman" w:eastAsia="Times New Roman" w:hAnsi="Times New Roman" w:cs="Times New Roman"/>
          <w:b/>
          <w:bCs/>
          <w:kern w:val="36"/>
          <w:sz w:val="48"/>
          <w:szCs w:val="48"/>
        </w:rPr>
        <w:t xml:space="preserve">, </w:t>
      </w:r>
      <w:proofErr w:type="spellStart"/>
      <w:r w:rsidRPr="006C6ACE">
        <w:rPr>
          <w:rFonts w:ascii="Times New Roman" w:eastAsia="Times New Roman" w:hAnsi="Times New Roman" w:cs="Times New Roman"/>
          <w:b/>
          <w:bCs/>
          <w:kern w:val="36"/>
          <w:sz w:val="48"/>
          <w:szCs w:val="48"/>
        </w:rPr>
        <w:t>FeO</w:t>
      </w:r>
      <w:proofErr w:type="spellEnd"/>
      <w:r w:rsidRPr="006C6ACE">
        <w:rPr>
          <w:rFonts w:ascii="Times New Roman" w:eastAsia="Times New Roman" w:hAnsi="Times New Roman" w:cs="Times New Roman"/>
          <w:b/>
          <w:bCs/>
          <w:kern w:val="36"/>
          <w:sz w:val="48"/>
          <w:szCs w:val="48"/>
        </w:rPr>
        <w:t>, and O</w:t>
      </w:r>
      <w:r w:rsidRPr="006C6ACE">
        <w:rPr>
          <w:rFonts w:ascii="Times New Roman" w:eastAsia="Times New Roman" w:hAnsi="Times New Roman" w:cs="Times New Roman"/>
          <w:b/>
          <w:bCs/>
          <w:kern w:val="36"/>
          <w:sz w:val="48"/>
          <w:szCs w:val="48"/>
          <w:vertAlign w:val="superscript"/>
        </w:rPr>
        <w:t>2−</w:t>
      </w:r>
      <w:r w:rsidRPr="006C6ACE">
        <w:rPr>
          <w:rFonts w:ascii="Times New Roman" w:eastAsia="Times New Roman" w:hAnsi="Times New Roman" w:cs="Times New Roman"/>
          <w:b/>
          <w:bCs/>
          <w:kern w:val="36"/>
          <w:sz w:val="48"/>
          <w:szCs w:val="48"/>
        </w:rPr>
        <w:t xml:space="preserve"> in silicate melts</w:t>
      </w:r>
    </w:p>
    <w:p w:rsidR="006C6ACE" w:rsidRPr="006C6ACE" w:rsidRDefault="006C6ACE" w:rsidP="006C6ACE">
      <w:pPr>
        <w:spacing w:after="0"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Author links open overlay panel</w:t>
      </w:r>
    </w:p>
    <w:p w:rsidR="006C6ACE" w:rsidRPr="006C6ACE" w:rsidRDefault="006C6ACE" w:rsidP="006C6ACE">
      <w:pPr>
        <w:spacing w:after="0"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 xml:space="preserve">, , , , , , , </w:t>
      </w:r>
    </w:p>
    <w:p w:rsidR="006C6ACE" w:rsidRPr="006C6ACE" w:rsidRDefault="006C6ACE" w:rsidP="006C6ACE">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6C6ACE">
          <w:rPr>
            <w:rFonts w:ascii="Times New Roman" w:eastAsia="Times New Roman" w:hAnsi="Times New Roman" w:cs="Times New Roman"/>
            <w:color w:val="0000FF"/>
            <w:sz w:val="24"/>
            <w:szCs w:val="24"/>
            <w:u w:val="single"/>
          </w:rPr>
          <w:t>https://doi.org/10.1016/j.gca.2005.02.005</w:t>
        </w:r>
      </w:hyperlink>
      <w:bookmarkStart w:id="0" w:name="_GoBack"/>
      <w:bookmarkEnd w:id="0"/>
      <w:r w:rsidRPr="006C6ACE">
        <w:rPr>
          <w:rFonts w:ascii="Times New Roman" w:eastAsia="Times New Roman" w:hAnsi="Times New Roman" w:cs="Times New Roman"/>
          <w:sz w:val="24"/>
          <w:szCs w:val="24"/>
        </w:rPr>
        <w:t xml:space="preserve"> </w:t>
      </w:r>
    </w:p>
    <w:p w:rsidR="006C6ACE" w:rsidRPr="006C6ACE" w:rsidRDefault="006C6ACE" w:rsidP="006C6ACE">
      <w:pPr>
        <w:spacing w:before="100" w:beforeAutospacing="1" w:after="100" w:afterAutospacing="1" w:line="240" w:lineRule="auto"/>
        <w:outlineLvl w:val="1"/>
        <w:rPr>
          <w:rFonts w:ascii="Times New Roman" w:eastAsia="Times New Roman" w:hAnsi="Times New Roman" w:cs="Times New Roman"/>
          <w:b/>
          <w:bCs/>
          <w:sz w:val="36"/>
          <w:szCs w:val="36"/>
        </w:rPr>
      </w:pPr>
      <w:r w:rsidRPr="006C6ACE">
        <w:rPr>
          <w:rFonts w:ascii="Times New Roman" w:eastAsia="Times New Roman" w:hAnsi="Times New Roman" w:cs="Times New Roman"/>
          <w:b/>
          <w:bCs/>
          <w:sz w:val="36"/>
          <w:szCs w:val="36"/>
        </w:rPr>
        <w:t>Abstract</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 xml:space="preserve">We have measured </w:t>
      </w:r>
      <w:hyperlink r:id="rId5" w:tooltip="Learn more about activity coefficients from ScienceDirect's AI-generated Topic Pages" w:history="1">
        <w:r w:rsidRPr="006C6ACE">
          <w:rPr>
            <w:rFonts w:ascii="Times New Roman" w:eastAsia="Times New Roman" w:hAnsi="Times New Roman" w:cs="Times New Roman"/>
            <w:color w:val="0000FF"/>
            <w:sz w:val="24"/>
            <w:szCs w:val="24"/>
            <w:u w:val="single"/>
          </w:rPr>
          <w:t>activity coefficients</w:t>
        </w:r>
      </w:hyperlink>
      <w:r w:rsidRPr="006C6ACE">
        <w:rPr>
          <w:rFonts w:ascii="Times New Roman" w:eastAsia="Times New Roman" w:hAnsi="Times New Roman" w:cs="Times New Roman"/>
          <w:sz w:val="24"/>
          <w:szCs w:val="24"/>
        </w:rPr>
        <w:t xml:space="preserve"> for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and </w:t>
      </w:r>
      <w:proofErr w:type="spellStart"/>
      <w:r w:rsidRPr="006C6ACE">
        <w:rPr>
          <w:rFonts w:ascii="Times New Roman" w:eastAsia="Times New Roman" w:hAnsi="Times New Roman" w:cs="Times New Roman"/>
          <w:sz w:val="24"/>
          <w:szCs w:val="24"/>
        </w:rPr>
        <w:t>FeO</w:t>
      </w:r>
      <w:proofErr w:type="spellEnd"/>
      <w:r w:rsidRPr="006C6ACE">
        <w:rPr>
          <w:rFonts w:ascii="Times New Roman" w:eastAsia="Times New Roman" w:hAnsi="Times New Roman" w:cs="Times New Roman"/>
          <w:sz w:val="24"/>
          <w:szCs w:val="24"/>
        </w:rPr>
        <w:t xml:space="preserve"> in a variety of </w:t>
      </w:r>
      <w:hyperlink r:id="rId6" w:tooltip="Learn more about silicate melts from ScienceDirect's AI-generated Topic Pages" w:history="1">
        <w:r w:rsidRPr="006C6ACE">
          <w:rPr>
            <w:rFonts w:ascii="Times New Roman" w:eastAsia="Times New Roman" w:hAnsi="Times New Roman" w:cs="Times New Roman"/>
            <w:color w:val="0000FF"/>
            <w:sz w:val="24"/>
            <w:szCs w:val="24"/>
            <w:u w:val="single"/>
          </w:rPr>
          <w:t>silicate melts</w:t>
        </w:r>
      </w:hyperlink>
      <w:r w:rsidRPr="006C6ACE">
        <w:rPr>
          <w:rFonts w:ascii="Times New Roman" w:eastAsia="Times New Roman" w:hAnsi="Times New Roman" w:cs="Times New Roman"/>
          <w:sz w:val="24"/>
          <w:szCs w:val="24"/>
        </w:rPr>
        <w:t xml:space="preserve"> (SiO</w:t>
      </w:r>
      <w:r w:rsidRPr="006C6ACE">
        <w:rPr>
          <w:rFonts w:ascii="Times New Roman" w:eastAsia="Times New Roman" w:hAnsi="Times New Roman" w:cs="Times New Roman"/>
          <w:sz w:val="24"/>
          <w:szCs w:val="24"/>
          <w:vertAlign w:val="subscript"/>
        </w:rPr>
        <w:t>2</w:t>
      </w:r>
      <w:r w:rsidRPr="006C6ACE">
        <w:rPr>
          <w:rFonts w:ascii="Times New Roman" w:eastAsia="Times New Roman" w:hAnsi="Times New Roman" w:cs="Times New Roman"/>
          <w:sz w:val="24"/>
          <w:szCs w:val="24"/>
        </w:rPr>
        <w:t>-CaO-MgO-Al</w:t>
      </w:r>
      <w:r w:rsidRPr="006C6ACE">
        <w:rPr>
          <w:rFonts w:ascii="Times New Roman" w:eastAsia="Times New Roman" w:hAnsi="Times New Roman" w:cs="Times New Roman"/>
          <w:sz w:val="24"/>
          <w:szCs w:val="24"/>
          <w:vertAlign w:val="subscript"/>
        </w:rPr>
        <w:t>2</w:t>
      </w:r>
      <w:r w:rsidRPr="006C6ACE">
        <w:rPr>
          <w:rFonts w:ascii="Times New Roman" w:eastAsia="Times New Roman" w:hAnsi="Times New Roman" w:cs="Times New Roman"/>
          <w:sz w:val="24"/>
          <w:szCs w:val="24"/>
        </w:rPr>
        <w:t>O</w:t>
      </w:r>
      <w:r w:rsidRPr="006C6ACE">
        <w:rPr>
          <w:rFonts w:ascii="Times New Roman" w:eastAsia="Times New Roman" w:hAnsi="Times New Roman" w:cs="Times New Roman"/>
          <w:sz w:val="24"/>
          <w:szCs w:val="24"/>
          <w:vertAlign w:val="subscript"/>
        </w:rPr>
        <w:t>3</w:t>
      </w:r>
      <w:r w:rsidRPr="006C6ACE">
        <w:rPr>
          <w:rFonts w:ascii="Times New Roman" w:eastAsia="Times New Roman" w:hAnsi="Times New Roman" w:cs="Times New Roman"/>
          <w:sz w:val="24"/>
          <w:szCs w:val="24"/>
        </w:rPr>
        <w:t xml:space="preserve">) using </w:t>
      </w:r>
      <w:hyperlink r:id="rId7" w:tooltip="Learn more about electrochemical methods from ScienceDirect's AI-generated Topic Pages" w:history="1">
        <w:r w:rsidRPr="006C6ACE">
          <w:rPr>
            <w:rFonts w:ascii="Times New Roman" w:eastAsia="Times New Roman" w:hAnsi="Times New Roman" w:cs="Times New Roman"/>
            <w:color w:val="0000FF"/>
            <w:sz w:val="24"/>
            <w:szCs w:val="24"/>
            <w:u w:val="single"/>
          </w:rPr>
          <w:t>electrochemical methods</w:t>
        </w:r>
      </w:hyperlink>
      <w:r w:rsidRPr="006C6ACE">
        <w:rPr>
          <w:rFonts w:ascii="Times New Roman" w:eastAsia="Times New Roman" w:hAnsi="Times New Roman" w:cs="Times New Roman"/>
          <w:sz w:val="24"/>
          <w:szCs w:val="24"/>
        </w:rPr>
        <w:t xml:space="preserve"> similar to square wave </w:t>
      </w:r>
      <w:proofErr w:type="spellStart"/>
      <w:r w:rsidRPr="006C6ACE">
        <w:rPr>
          <w:rFonts w:ascii="Times New Roman" w:eastAsia="Times New Roman" w:hAnsi="Times New Roman" w:cs="Times New Roman"/>
          <w:sz w:val="24"/>
          <w:szCs w:val="24"/>
        </w:rPr>
        <w:t>voltametry</w:t>
      </w:r>
      <w:proofErr w:type="spellEnd"/>
      <w:r w:rsidRPr="006C6ACE">
        <w:rPr>
          <w:rFonts w:ascii="Times New Roman" w:eastAsia="Times New Roman" w:hAnsi="Times New Roman" w:cs="Times New Roman"/>
          <w:sz w:val="24"/>
          <w:szCs w:val="24"/>
        </w:rPr>
        <w:t>. We report the activity of the oxide ion (a</w:t>
      </w:r>
      <w:r w:rsidRPr="006C6ACE">
        <w:rPr>
          <w:rFonts w:ascii="Times New Roman" w:eastAsia="Times New Roman" w:hAnsi="Times New Roman" w:cs="Times New Roman"/>
          <w:sz w:val="24"/>
          <w:szCs w:val="24"/>
          <w:vertAlign w:val="subscript"/>
        </w:rPr>
        <w:t>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in one composition. Based on these measurements, we have constructed a model that predicts the variations in activity we observe, and also variations in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activity reported in the literature. Activity of metal-oxide components such as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and </w:t>
      </w:r>
      <w:proofErr w:type="spellStart"/>
      <w:r w:rsidRPr="006C6ACE">
        <w:rPr>
          <w:rFonts w:ascii="Times New Roman" w:eastAsia="Times New Roman" w:hAnsi="Times New Roman" w:cs="Times New Roman"/>
          <w:sz w:val="24"/>
          <w:szCs w:val="24"/>
        </w:rPr>
        <w:t>FeO</w:t>
      </w:r>
      <w:proofErr w:type="spellEnd"/>
      <w:r w:rsidRPr="006C6ACE">
        <w:rPr>
          <w:rFonts w:ascii="Times New Roman" w:eastAsia="Times New Roman" w:hAnsi="Times New Roman" w:cs="Times New Roman"/>
          <w:sz w:val="24"/>
          <w:szCs w:val="24"/>
        </w:rPr>
        <w:t xml:space="preserve"> in silicate melts can be understood by considering contributions from both the activity of the oxide ion and the activity of the cation through expressions of the type: </w:t>
      </w:r>
    </w:p>
    <w:p w:rsidR="006C6ACE" w:rsidRPr="006C6ACE" w:rsidRDefault="006C6ACE" w:rsidP="006C6ACE">
      <w:pPr>
        <w:spacing w:after="0"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 xml:space="preserve">and </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Based on measurements of a</w:t>
      </w:r>
      <w:r w:rsidRPr="006C6ACE">
        <w:rPr>
          <w:rFonts w:ascii="Times New Roman" w:eastAsia="Times New Roman" w:hAnsi="Times New Roman" w:cs="Times New Roman"/>
          <w:sz w:val="24"/>
          <w:szCs w:val="24"/>
          <w:vertAlign w:val="subscript"/>
        </w:rPr>
        <w:t>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we find that a</w:t>
      </w:r>
      <w:r w:rsidRPr="006C6ACE">
        <w:rPr>
          <w:rFonts w:ascii="Times New Roman" w:eastAsia="Times New Roman" w:hAnsi="Times New Roman" w:cs="Times New Roman"/>
          <w:sz w:val="24"/>
          <w:szCs w:val="24"/>
          <w:vertAlign w:val="subscript"/>
        </w:rPr>
        <w:t>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is effectively modeled by the expression a</w:t>
      </w:r>
      <w:r w:rsidRPr="006C6ACE">
        <w:rPr>
          <w:rFonts w:ascii="Times New Roman" w:eastAsia="Times New Roman" w:hAnsi="Times New Roman" w:cs="Times New Roman"/>
          <w:sz w:val="24"/>
          <w:szCs w:val="24"/>
          <w:vertAlign w:val="subscript"/>
        </w:rPr>
        <w:t>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 0.75 · NBO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/BO (relative to a standard state of melt with the composition of diopside). Once the effects of variations in a</w:t>
      </w:r>
      <w:r w:rsidRPr="006C6ACE">
        <w:rPr>
          <w:rFonts w:ascii="Times New Roman" w:eastAsia="Times New Roman" w:hAnsi="Times New Roman" w:cs="Times New Roman"/>
          <w:sz w:val="24"/>
          <w:szCs w:val="24"/>
          <w:vertAlign w:val="subscript"/>
        </w:rPr>
        <w:t>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on the metal-oxide activity coefficient are accounted for, cation activities (a</w:t>
      </w:r>
      <w:r w:rsidRPr="006C6ACE">
        <w:rPr>
          <w:rFonts w:ascii="Times New Roman" w:eastAsia="Times New Roman" w:hAnsi="Times New Roman" w:cs="Times New Roman"/>
          <w:sz w:val="24"/>
          <w:szCs w:val="24"/>
          <w:vertAlign w:val="subscript"/>
        </w:rPr>
        <w:t>Ni</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a</w:t>
      </w:r>
      <w:r w:rsidRPr="006C6ACE">
        <w:rPr>
          <w:rFonts w:ascii="Times New Roman" w:eastAsia="Times New Roman" w:hAnsi="Times New Roman" w:cs="Times New Roman"/>
          <w:sz w:val="24"/>
          <w:szCs w:val="24"/>
          <w:vertAlign w:val="subscript"/>
        </w:rPr>
        <w:t>Fe</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can be modeled by an ideal-solution-like model in which the activity of Ni</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or Fe</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is related to its concentration among a subset of other cations with which it mixes (primarily other divalent cations). This model is successful in predicting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activities over the range of compositions 0.3&lt;</w:t>
      </w:r>
      <w:proofErr w:type="spellStart"/>
      <w:r w:rsidRPr="006C6ACE">
        <w:rPr>
          <w:rFonts w:ascii="Times New Roman" w:eastAsia="Times New Roman" w:hAnsi="Times New Roman" w:cs="Times New Roman"/>
          <w:sz w:val="24"/>
          <w:szCs w:val="24"/>
        </w:rPr>
        <w:t>X</w:t>
      </w:r>
      <w:r w:rsidRPr="006C6ACE">
        <w:rPr>
          <w:rFonts w:ascii="Times New Roman" w:eastAsia="Times New Roman" w:hAnsi="Times New Roman" w:cs="Times New Roman"/>
          <w:sz w:val="24"/>
          <w:szCs w:val="24"/>
          <w:vertAlign w:val="subscript"/>
        </w:rPr>
        <w:t>MgO</w:t>
      </w:r>
      <w:proofErr w:type="spellEnd"/>
      <w:r w:rsidRPr="006C6ACE">
        <w:rPr>
          <w:rFonts w:ascii="Times New Roman" w:eastAsia="Times New Roman" w:hAnsi="Times New Roman" w:cs="Times New Roman"/>
          <w:sz w:val="24"/>
          <w:szCs w:val="24"/>
        </w:rPr>
        <w:t xml:space="preserve"> + </w:t>
      </w:r>
      <w:proofErr w:type="spellStart"/>
      <w:r w:rsidRPr="006C6ACE">
        <w:rPr>
          <w:rFonts w:ascii="Times New Roman" w:eastAsia="Times New Roman" w:hAnsi="Times New Roman" w:cs="Times New Roman"/>
          <w:sz w:val="24"/>
          <w:szCs w:val="24"/>
        </w:rPr>
        <w:t>X</w:t>
      </w:r>
      <w:r w:rsidRPr="006C6ACE">
        <w:rPr>
          <w:rFonts w:ascii="Times New Roman" w:eastAsia="Times New Roman" w:hAnsi="Times New Roman" w:cs="Times New Roman"/>
          <w:sz w:val="24"/>
          <w:szCs w:val="24"/>
          <w:vertAlign w:val="subscript"/>
        </w:rPr>
        <w:t>CaO</w:t>
      </w:r>
      <w:proofErr w:type="spellEnd"/>
      <w:r w:rsidRPr="006C6ACE">
        <w:rPr>
          <w:rFonts w:ascii="Times New Roman" w:eastAsia="Times New Roman" w:hAnsi="Times New Roman" w:cs="Times New Roman"/>
          <w:sz w:val="24"/>
          <w:szCs w:val="24"/>
        </w:rPr>
        <w:t xml:space="preserve">&lt;0.55. Modeling contributions to the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activity from both a</w:t>
      </w:r>
      <w:r w:rsidRPr="006C6ACE">
        <w:rPr>
          <w:rFonts w:ascii="Times New Roman" w:eastAsia="Times New Roman" w:hAnsi="Times New Roman" w:cs="Times New Roman"/>
          <w:sz w:val="24"/>
          <w:szCs w:val="24"/>
          <w:vertAlign w:val="subscript"/>
        </w:rPr>
        <w:t>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and a</w:t>
      </w:r>
      <w:r w:rsidRPr="006C6ACE">
        <w:rPr>
          <w:rFonts w:ascii="Times New Roman" w:eastAsia="Times New Roman" w:hAnsi="Times New Roman" w:cs="Times New Roman"/>
          <w:sz w:val="24"/>
          <w:szCs w:val="24"/>
          <w:vertAlign w:val="subscript"/>
        </w:rPr>
        <w:t>Ni</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accounts for virtually all of the variation in measured activity coefficients not arising from experimental uncertainty.</w:t>
      </w:r>
    </w:p>
    <w:p w:rsidR="006C6ACE" w:rsidRPr="006C6ACE" w:rsidRDefault="006C6ACE" w:rsidP="006C6ACE">
      <w:pPr>
        <w:spacing w:before="100" w:beforeAutospacing="1" w:after="100" w:afterAutospacing="1" w:line="240" w:lineRule="auto"/>
        <w:outlineLvl w:val="1"/>
        <w:rPr>
          <w:rFonts w:ascii="Times New Roman" w:eastAsia="Times New Roman" w:hAnsi="Times New Roman" w:cs="Times New Roman"/>
          <w:b/>
          <w:bCs/>
          <w:sz w:val="36"/>
          <w:szCs w:val="36"/>
        </w:rPr>
      </w:pPr>
      <w:r w:rsidRPr="006C6ACE">
        <w:rPr>
          <w:rFonts w:ascii="Times New Roman" w:eastAsia="Times New Roman" w:hAnsi="Times New Roman" w:cs="Times New Roman"/>
          <w:b/>
          <w:bCs/>
          <w:sz w:val="36"/>
          <w:szCs w:val="36"/>
        </w:rPr>
        <w:t>Introduction</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 xml:space="preserve">Colson et al. (1995) presented a simple model describing variations in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activity in silicate melts as a function of composition, which, based on only four compositional points, accurately predicted qualitative variations in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activity as a function of Ca, Mg, Al, and Si over a wide range of compositions (mostly along the joins anorthite-diopside and cordierite-diopside). In this paper, we examine this model further with a larger data set, and extend it to activities for </w:t>
      </w:r>
      <w:proofErr w:type="spellStart"/>
      <w:r w:rsidRPr="006C6ACE">
        <w:rPr>
          <w:rFonts w:ascii="Times New Roman" w:eastAsia="Times New Roman" w:hAnsi="Times New Roman" w:cs="Times New Roman"/>
          <w:sz w:val="24"/>
          <w:szCs w:val="24"/>
        </w:rPr>
        <w:t>FeO</w:t>
      </w:r>
      <w:proofErr w:type="spellEnd"/>
      <w:r w:rsidRPr="006C6ACE">
        <w:rPr>
          <w:rFonts w:ascii="Times New Roman" w:eastAsia="Times New Roman" w:hAnsi="Times New Roman" w:cs="Times New Roman"/>
          <w:sz w:val="24"/>
          <w:szCs w:val="24"/>
        </w:rPr>
        <w:t xml:space="preserve"> as well as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 xml:space="preserve">There is a particularly large body of data available for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activity in silicate melts. This large data set should be sufficient to identify the variables that control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activity. Yet, a model that consistently predicts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activity variations measured by different researchers has not been demonstrated. Various workers have found correlations between activities and melt parameters to be erratic, with correlations observed in some studies not being reproduced in others (Pretorius and </w:t>
      </w:r>
      <w:proofErr w:type="spellStart"/>
      <w:r w:rsidRPr="006C6ACE">
        <w:rPr>
          <w:rFonts w:ascii="Times New Roman" w:eastAsia="Times New Roman" w:hAnsi="Times New Roman" w:cs="Times New Roman"/>
          <w:sz w:val="24"/>
          <w:szCs w:val="24"/>
        </w:rPr>
        <w:t>Muan</w:t>
      </w:r>
      <w:proofErr w:type="spellEnd"/>
      <w:r w:rsidRPr="006C6ACE">
        <w:rPr>
          <w:rFonts w:ascii="Times New Roman" w:eastAsia="Times New Roman" w:hAnsi="Times New Roman" w:cs="Times New Roman"/>
          <w:sz w:val="24"/>
          <w:szCs w:val="24"/>
        </w:rPr>
        <w:t xml:space="preserve"> 1992, Snyder and Carmichael 1992, Doyle and </w:t>
      </w:r>
      <w:proofErr w:type="spellStart"/>
      <w:r w:rsidRPr="006C6ACE">
        <w:rPr>
          <w:rFonts w:ascii="Times New Roman" w:eastAsia="Times New Roman" w:hAnsi="Times New Roman" w:cs="Times New Roman"/>
          <w:sz w:val="24"/>
          <w:szCs w:val="24"/>
        </w:rPr>
        <w:t>Naldrett</w:t>
      </w:r>
      <w:proofErr w:type="spellEnd"/>
      <w:r w:rsidRPr="006C6ACE">
        <w:rPr>
          <w:rFonts w:ascii="Times New Roman" w:eastAsia="Times New Roman" w:hAnsi="Times New Roman" w:cs="Times New Roman"/>
          <w:sz w:val="24"/>
          <w:szCs w:val="24"/>
        </w:rPr>
        <w:t xml:space="preserve"> 1987, </w:t>
      </w:r>
      <w:proofErr w:type="spellStart"/>
      <w:r w:rsidRPr="006C6ACE">
        <w:rPr>
          <w:rFonts w:ascii="Times New Roman" w:eastAsia="Times New Roman" w:hAnsi="Times New Roman" w:cs="Times New Roman"/>
          <w:sz w:val="24"/>
          <w:szCs w:val="24"/>
        </w:rPr>
        <w:t>Ertel</w:t>
      </w:r>
      <w:proofErr w:type="spellEnd"/>
      <w:r w:rsidRPr="006C6ACE">
        <w:rPr>
          <w:rFonts w:ascii="Times New Roman" w:eastAsia="Times New Roman" w:hAnsi="Times New Roman" w:cs="Times New Roman"/>
          <w:sz w:val="24"/>
          <w:szCs w:val="24"/>
        </w:rPr>
        <w:t xml:space="preserve"> et al 1997, </w:t>
      </w:r>
      <w:proofErr w:type="spellStart"/>
      <w:r w:rsidRPr="006C6ACE">
        <w:rPr>
          <w:rFonts w:ascii="Times New Roman" w:eastAsia="Times New Roman" w:hAnsi="Times New Roman" w:cs="Times New Roman"/>
          <w:sz w:val="24"/>
          <w:szCs w:val="24"/>
        </w:rPr>
        <w:t>Holzheid</w:t>
      </w:r>
      <w:proofErr w:type="spellEnd"/>
      <w:r w:rsidRPr="006C6ACE">
        <w:rPr>
          <w:rFonts w:ascii="Times New Roman" w:eastAsia="Times New Roman" w:hAnsi="Times New Roman" w:cs="Times New Roman"/>
          <w:sz w:val="24"/>
          <w:szCs w:val="24"/>
        </w:rPr>
        <w:t xml:space="preserve"> et al 1997, O’Neill and </w:t>
      </w:r>
      <w:proofErr w:type="spellStart"/>
      <w:r w:rsidRPr="006C6ACE">
        <w:rPr>
          <w:rFonts w:ascii="Times New Roman" w:eastAsia="Times New Roman" w:hAnsi="Times New Roman" w:cs="Times New Roman"/>
          <w:sz w:val="24"/>
          <w:szCs w:val="24"/>
        </w:rPr>
        <w:t>Eggins</w:t>
      </w:r>
      <w:proofErr w:type="spellEnd"/>
      <w:r w:rsidRPr="006C6ACE">
        <w:rPr>
          <w:rFonts w:ascii="Times New Roman" w:eastAsia="Times New Roman" w:hAnsi="Times New Roman" w:cs="Times New Roman"/>
          <w:sz w:val="24"/>
          <w:szCs w:val="24"/>
        </w:rPr>
        <w:t xml:space="preserve"> 2002). Correlations, when observed, are often complex, such as the U-shaped dependence on NBO/T reported by Pretorius and </w:t>
      </w:r>
      <w:proofErr w:type="spellStart"/>
      <w:r w:rsidRPr="006C6ACE">
        <w:rPr>
          <w:rFonts w:ascii="Times New Roman" w:eastAsia="Times New Roman" w:hAnsi="Times New Roman" w:cs="Times New Roman"/>
          <w:sz w:val="24"/>
          <w:szCs w:val="24"/>
        </w:rPr>
        <w:t>Muan</w:t>
      </w:r>
      <w:proofErr w:type="spellEnd"/>
      <w:r w:rsidRPr="006C6ACE">
        <w:rPr>
          <w:rFonts w:ascii="Times New Roman" w:eastAsia="Times New Roman" w:hAnsi="Times New Roman" w:cs="Times New Roman"/>
          <w:sz w:val="24"/>
          <w:szCs w:val="24"/>
        </w:rPr>
        <w:t xml:space="preserve"> (1992) and Colson et al. (1995). O’Neill and </w:t>
      </w:r>
      <w:proofErr w:type="spellStart"/>
      <w:r w:rsidRPr="006C6ACE">
        <w:rPr>
          <w:rFonts w:ascii="Times New Roman" w:eastAsia="Times New Roman" w:hAnsi="Times New Roman" w:cs="Times New Roman"/>
          <w:sz w:val="24"/>
          <w:szCs w:val="24"/>
        </w:rPr>
        <w:t>Eggins</w:t>
      </w:r>
      <w:proofErr w:type="spellEnd"/>
      <w:r w:rsidRPr="006C6ACE">
        <w:rPr>
          <w:rFonts w:ascii="Times New Roman" w:eastAsia="Times New Roman" w:hAnsi="Times New Roman" w:cs="Times New Roman"/>
          <w:sz w:val="24"/>
          <w:szCs w:val="24"/>
        </w:rPr>
        <w:t xml:space="preserve"> (2002) note that for their data there are no correlations between the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activity coefficient and either NBO/T or network-modifying cations such as MgO. O’Neill and </w:t>
      </w:r>
      <w:proofErr w:type="spellStart"/>
      <w:r w:rsidRPr="006C6ACE">
        <w:rPr>
          <w:rFonts w:ascii="Times New Roman" w:eastAsia="Times New Roman" w:hAnsi="Times New Roman" w:cs="Times New Roman"/>
          <w:sz w:val="24"/>
          <w:szCs w:val="24"/>
        </w:rPr>
        <w:t>Eggins</w:t>
      </w:r>
      <w:proofErr w:type="spellEnd"/>
      <w:r w:rsidRPr="006C6ACE">
        <w:rPr>
          <w:rFonts w:ascii="Times New Roman" w:eastAsia="Times New Roman" w:hAnsi="Times New Roman" w:cs="Times New Roman"/>
          <w:sz w:val="24"/>
          <w:szCs w:val="24"/>
        </w:rPr>
        <w:t xml:space="preserve"> (2002) correlate variations in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activity to a matrix of ten melt variables (a full subregular </w:t>
      </w:r>
      <w:r w:rsidRPr="006C6ACE">
        <w:rPr>
          <w:rFonts w:ascii="Times New Roman" w:eastAsia="Times New Roman" w:hAnsi="Times New Roman" w:cs="Times New Roman"/>
          <w:sz w:val="24"/>
          <w:szCs w:val="24"/>
        </w:rPr>
        <w:lastRenderedPageBreak/>
        <w:t xml:space="preserve">solution model), presuming that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activity varies not simply according to the concentration of individual melt components but according to the interactions among those different components. However, they still have only limited success in predicting the relative variations in activity measurements from other workers.</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 xml:space="preserve">Similar to the results of O’Neill and </w:t>
      </w:r>
      <w:proofErr w:type="spellStart"/>
      <w:r w:rsidRPr="006C6ACE">
        <w:rPr>
          <w:rFonts w:ascii="Times New Roman" w:eastAsia="Times New Roman" w:hAnsi="Times New Roman" w:cs="Times New Roman"/>
          <w:sz w:val="24"/>
          <w:szCs w:val="24"/>
        </w:rPr>
        <w:t>Eggins</w:t>
      </w:r>
      <w:proofErr w:type="spellEnd"/>
      <w:r w:rsidRPr="006C6ACE">
        <w:rPr>
          <w:rFonts w:ascii="Times New Roman" w:eastAsia="Times New Roman" w:hAnsi="Times New Roman" w:cs="Times New Roman"/>
          <w:sz w:val="24"/>
          <w:szCs w:val="24"/>
        </w:rPr>
        <w:t xml:space="preserve"> (2002), the results we report below show no significant correlation either to NBO/T or to the sum of the concentrations of MgO and </w:t>
      </w:r>
      <w:proofErr w:type="spellStart"/>
      <w:r w:rsidRPr="006C6ACE">
        <w:rPr>
          <w:rFonts w:ascii="Times New Roman" w:eastAsia="Times New Roman" w:hAnsi="Times New Roman" w:cs="Times New Roman"/>
          <w:sz w:val="24"/>
          <w:szCs w:val="24"/>
        </w:rPr>
        <w:t>CaO</w:t>
      </w:r>
      <w:proofErr w:type="spellEnd"/>
      <w:r w:rsidRPr="006C6ACE">
        <w:rPr>
          <w:rFonts w:ascii="Times New Roman" w:eastAsia="Times New Roman" w:hAnsi="Times New Roman" w:cs="Times New Roman"/>
          <w:sz w:val="24"/>
          <w:szCs w:val="24"/>
        </w:rPr>
        <w:t xml:space="preserve"> when these parameters are considered separately. However, we find a significant correlation when both of NBO/T and (MgO + </w:t>
      </w:r>
      <w:proofErr w:type="spellStart"/>
      <w:r w:rsidRPr="006C6ACE">
        <w:rPr>
          <w:rFonts w:ascii="Times New Roman" w:eastAsia="Times New Roman" w:hAnsi="Times New Roman" w:cs="Times New Roman"/>
          <w:sz w:val="24"/>
          <w:szCs w:val="24"/>
        </w:rPr>
        <w:t>CaO</w:t>
      </w:r>
      <w:proofErr w:type="spellEnd"/>
      <w:r w:rsidRPr="006C6ACE">
        <w:rPr>
          <w:rFonts w:ascii="Times New Roman" w:eastAsia="Times New Roman" w:hAnsi="Times New Roman" w:cs="Times New Roman"/>
          <w:sz w:val="24"/>
          <w:szCs w:val="24"/>
        </w:rPr>
        <w:t xml:space="preserve">) are considered together. We propose that the reason for the complexity in the variation in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activity with composition is that most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exists in the melt not as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but as ions such as Ni</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and 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The activity of Ni</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varies with the concentration of network-modifying cations such as Mg</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and Ca</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while the activity of 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varies with network-forming cations and thus with parameters such as NBO/T. Because the values of these two parameters are partially anticorrelated, the dependence of </w:t>
      </w:r>
      <w:proofErr w:type="spellStart"/>
      <w:r w:rsidRPr="006C6ACE">
        <w:rPr>
          <w:rFonts w:ascii="Times New Roman" w:eastAsia="Times New Roman" w:hAnsi="Times New Roman" w:cs="Times New Roman"/>
          <w:sz w:val="24"/>
          <w:szCs w:val="24"/>
        </w:rPr>
        <w:t>a</w:t>
      </w:r>
      <w:r w:rsidRPr="006C6ACE">
        <w:rPr>
          <w:rFonts w:ascii="Times New Roman" w:eastAsia="Times New Roman" w:hAnsi="Times New Roman" w:cs="Times New Roman"/>
          <w:sz w:val="24"/>
          <w:szCs w:val="24"/>
          <w:vertAlign w:val="subscript"/>
        </w:rPr>
        <w:t>NiO</w:t>
      </w:r>
      <w:proofErr w:type="spellEnd"/>
      <w:r w:rsidRPr="006C6ACE">
        <w:rPr>
          <w:rFonts w:ascii="Times New Roman" w:eastAsia="Times New Roman" w:hAnsi="Times New Roman" w:cs="Times New Roman"/>
          <w:sz w:val="24"/>
          <w:szCs w:val="24"/>
        </w:rPr>
        <w:t xml:space="preserve"> on the two of them together tends to mask any correlation with either of them alone.</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 xml:space="preserve">In this report, we use electrochemical methods both to expand the activity data for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and </w:t>
      </w:r>
      <w:proofErr w:type="spellStart"/>
      <w:r w:rsidRPr="006C6ACE">
        <w:rPr>
          <w:rFonts w:ascii="Times New Roman" w:eastAsia="Times New Roman" w:hAnsi="Times New Roman" w:cs="Times New Roman"/>
          <w:sz w:val="24"/>
          <w:szCs w:val="24"/>
        </w:rPr>
        <w:t>FeO</w:t>
      </w:r>
      <w:proofErr w:type="spellEnd"/>
      <w:r w:rsidRPr="006C6ACE">
        <w:rPr>
          <w:rFonts w:ascii="Times New Roman" w:eastAsia="Times New Roman" w:hAnsi="Times New Roman" w:cs="Times New Roman"/>
          <w:sz w:val="24"/>
          <w:szCs w:val="24"/>
        </w:rPr>
        <w:t xml:space="preserve"> to additional melt compositions and to provide insight into the separate contributions from activities of Ni</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and 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Electrochemical methods are well established in measuring equilibrium and kinetic properties of solutions, with substantial progress on the basic theory occurring in the 1960s (see review in Bard and Faulkner, 1980) and application to silicate melts being made in the 1980s and 1990s (e.g., </w:t>
      </w:r>
      <w:proofErr w:type="spellStart"/>
      <w:r w:rsidRPr="006C6ACE">
        <w:rPr>
          <w:rFonts w:ascii="Times New Roman" w:eastAsia="Times New Roman" w:hAnsi="Times New Roman" w:cs="Times New Roman"/>
          <w:sz w:val="24"/>
          <w:szCs w:val="24"/>
        </w:rPr>
        <w:t>Semkow</w:t>
      </w:r>
      <w:proofErr w:type="spellEnd"/>
      <w:r w:rsidRPr="006C6ACE">
        <w:rPr>
          <w:rFonts w:ascii="Times New Roman" w:eastAsia="Times New Roman" w:hAnsi="Times New Roman" w:cs="Times New Roman"/>
          <w:sz w:val="24"/>
          <w:szCs w:val="24"/>
        </w:rPr>
        <w:t xml:space="preserve"> et al 1982, Karlsson and </w:t>
      </w:r>
      <w:proofErr w:type="spellStart"/>
      <w:r w:rsidRPr="006C6ACE">
        <w:rPr>
          <w:rFonts w:ascii="Times New Roman" w:eastAsia="Times New Roman" w:hAnsi="Times New Roman" w:cs="Times New Roman"/>
          <w:sz w:val="24"/>
          <w:szCs w:val="24"/>
        </w:rPr>
        <w:t>Perander</w:t>
      </w:r>
      <w:proofErr w:type="spellEnd"/>
      <w:r w:rsidRPr="006C6ACE">
        <w:rPr>
          <w:rFonts w:ascii="Times New Roman" w:eastAsia="Times New Roman" w:hAnsi="Times New Roman" w:cs="Times New Roman"/>
          <w:sz w:val="24"/>
          <w:szCs w:val="24"/>
        </w:rPr>
        <w:t xml:space="preserve"> 1983, Russel and </w:t>
      </w:r>
      <w:proofErr w:type="spellStart"/>
      <w:r w:rsidRPr="006C6ACE">
        <w:rPr>
          <w:rFonts w:ascii="Times New Roman" w:eastAsia="Times New Roman" w:hAnsi="Times New Roman" w:cs="Times New Roman"/>
          <w:sz w:val="24"/>
          <w:szCs w:val="24"/>
        </w:rPr>
        <w:t>Freude</w:t>
      </w:r>
      <w:proofErr w:type="spellEnd"/>
      <w:r w:rsidRPr="006C6ACE">
        <w:rPr>
          <w:rFonts w:ascii="Times New Roman" w:eastAsia="Times New Roman" w:hAnsi="Times New Roman" w:cs="Times New Roman"/>
          <w:sz w:val="24"/>
          <w:szCs w:val="24"/>
        </w:rPr>
        <w:t xml:space="preserve"> 1989, Colson et al 1990, Colson et al 2000a, Shibata et al 1995, Suzuki et al 1995, </w:t>
      </w:r>
      <w:proofErr w:type="spellStart"/>
      <w:r w:rsidRPr="006C6ACE">
        <w:rPr>
          <w:rFonts w:ascii="Times New Roman" w:eastAsia="Times New Roman" w:hAnsi="Times New Roman" w:cs="Times New Roman"/>
          <w:sz w:val="24"/>
          <w:szCs w:val="24"/>
        </w:rPr>
        <w:t>Yokozeki</w:t>
      </w:r>
      <w:proofErr w:type="spellEnd"/>
      <w:r w:rsidRPr="006C6ACE">
        <w:rPr>
          <w:rFonts w:ascii="Times New Roman" w:eastAsia="Times New Roman" w:hAnsi="Times New Roman" w:cs="Times New Roman"/>
          <w:sz w:val="24"/>
          <w:szCs w:val="24"/>
        </w:rPr>
        <w:t xml:space="preserve"> et al 1996, Medlin et al 1998, </w:t>
      </w:r>
      <w:proofErr w:type="spellStart"/>
      <w:r w:rsidRPr="006C6ACE">
        <w:rPr>
          <w:rFonts w:ascii="Times New Roman" w:eastAsia="Times New Roman" w:hAnsi="Times New Roman" w:cs="Times New Roman"/>
          <w:sz w:val="24"/>
          <w:szCs w:val="24"/>
        </w:rPr>
        <w:t>Wiedenroth</w:t>
      </w:r>
      <w:proofErr w:type="spellEnd"/>
      <w:r w:rsidRPr="006C6ACE">
        <w:rPr>
          <w:rFonts w:ascii="Times New Roman" w:eastAsia="Times New Roman" w:hAnsi="Times New Roman" w:cs="Times New Roman"/>
          <w:sz w:val="24"/>
          <w:szCs w:val="24"/>
        </w:rPr>
        <w:t xml:space="preserve"> and Russel 2003). Electrochemical methods are useful in understanding the chemical potential of electroactive species (that is, species that can be oxidized or reduced) in a solution, to which component activities are directly related.</w:t>
      </w:r>
    </w:p>
    <w:p w:rsidR="006C6ACE" w:rsidRPr="006C6ACE" w:rsidRDefault="006C6ACE" w:rsidP="006C6ACE">
      <w:pPr>
        <w:spacing w:before="100" w:beforeAutospacing="1" w:after="100" w:afterAutospacing="1" w:line="240" w:lineRule="auto"/>
        <w:outlineLvl w:val="1"/>
        <w:rPr>
          <w:rFonts w:ascii="Times New Roman" w:eastAsia="Times New Roman" w:hAnsi="Times New Roman" w:cs="Times New Roman"/>
          <w:b/>
          <w:bCs/>
          <w:sz w:val="36"/>
          <w:szCs w:val="36"/>
        </w:rPr>
      </w:pPr>
      <w:r w:rsidRPr="006C6ACE">
        <w:rPr>
          <w:rFonts w:ascii="Times New Roman" w:eastAsia="Times New Roman" w:hAnsi="Times New Roman" w:cs="Times New Roman"/>
          <w:b/>
          <w:bCs/>
          <w:sz w:val="36"/>
          <w:szCs w:val="36"/>
        </w:rPr>
        <w:t>Section snippets</w:t>
      </w:r>
    </w:p>
    <w:p w:rsidR="006C6ACE" w:rsidRPr="006C6ACE" w:rsidRDefault="006C6ACE" w:rsidP="006C6ACE">
      <w:pPr>
        <w:spacing w:before="100" w:beforeAutospacing="1" w:after="100" w:afterAutospacing="1" w:line="240" w:lineRule="auto"/>
        <w:outlineLvl w:val="1"/>
        <w:rPr>
          <w:rFonts w:ascii="Times New Roman" w:eastAsia="Times New Roman" w:hAnsi="Times New Roman" w:cs="Times New Roman"/>
          <w:b/>
          <w:bCs/>
          <w:sz w:val="36"/>
          <w:szCs w:val="36"/>
        </w:rPr>
      </w:pPr>
      <w:r w:rsidRPr="006C6ACE">
        <w:rPr>
          <w:rFonts w:ascii="Times New Roman" w:eastAsia="Times New Roman" w:hAnsi="Times New Roman" w:cs="Times New Roman"/>
          <w:b/>
          <w:bCs/>
          <w:sz w:val="36"/>
          <w:szCs w:val="36"/>
        </w:rPr>
        <w:t>Description of Experimental Method and Electrochemical Technique</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 xml:space="preserve">Electrochemical experiments were done in a </w:t>
      </w:r>
      <w:proofErr w:type="spellStart"/>
      <w:r w:rsidRPr="006C6ACE">
        <w:rPr>
          <w:rFonts w:ascii="Times New Roman" w:eastAsia="Times New Roman" w:hAnsi="Times New Roman" w:cs="Times New Roman"/>
          <w:sz w:val="24"/>
          <w:szCs w:val="24"/>
        </w:rPr>
        <w:t>Deltech</w:t>
      </w:r>
      <w:proofErr w:type="spellEnd"/>
      <w:r w:rsidRPr="006C6ACE">
        <w:rPr>
          <w:rFonts w:ascii="Times New Roman" w:eastAsia="Times New Roman" w:hAnsi="Times New Roman" w:cs="Times New Roman"/>
          <w:sz w:val="24"/>
          <w:szCs w:val="24"/>
        </w:rPr>
        <w:t xml:space="preserve"> 1-atm gas-mixing furnace using the Pt wire loop method (</w:t>
      </w:r>
      <w:proofErr w:type="spellStart"/>
      <w:r w:rsidRPr="006C6ACE">
        <w:rPr>
          <w:rFonts w:ascii="Times New Roman" w:eastAsia="Times New Roman" w:hAnsi="Times New Roman" w:cs="Times New Roman"/>
          <w:sz w:val="24"/>
          <w:szCs w:val="24"/>
        </w:rPr>
        <w:t>Semkow</w:t>
      </w:r>
      <w:proofErr w:type="spellEnd"/>
      <w:r w:rsidRPr="006C6ACE">
        <w:rPr>
          <w:rFonts w:ascii="Times New Roman" w:eastAsia="Times New Roman" w:hAnsi="Times New Roman" w:cs="Times New Roman"/>
          <w:sz w:val="24"/>
          <w:szCs w:val="24"/>
        </w:rPr>
        <w:t xml:space="preserve"> et al 1982, Colson et al 1990). Three electrodes were immersed in each experimental melt bead: a working electrode (where the oxidation or reduction of the species of interest occurs), a reference electrode (which provides the reference potential against which the working electrode is compared), and a counter electrode (which completes the circuit for the current through the working </w:t>
      </w:r>
    </w:p>
    <w:p w:rsidR="006C6ACE" w:rsidRPr="006C6ACE" w:rsidRDefault="006C6ACE" w:rsidP="006C6ACE">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6C6ACE">
        <w:rPr>
          <w:rFonts w:ascii="Times New Roman" w:eastAsia="Times New Roman" w:hAnsi="Times New Roman" w:cs="Times New Roman"/>
          <w:b/>
          <w:bCs/>
          <w:sz w:val="36"/>
          <w:szCs w:val="36"/>
        </w:rPr>
        <w:t>Voltametric</w:t>
      </w:r>
      <w:proofErr w:type="spellEnd"/>
      <w:r w:rsidRPr="006C6ACE">
        <w:rPr>
          <w:rFonts w:ascii="Times New Roman" w:eastAsia="Times New Roman" w:hAnsi="Times New Roman" w:cs="Times New Roman"/>
          <w:b/>
          <w:bCs/>
          <w:sz w:val="36"/>
          <w:szCs w:val="36"/>
        </w:rPr>
        <w:t xml:space="preserve"> Peak Potentials</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Mean values for the measured peak potentials (</w:t>
      </w:r>
      <w:proofErr w:type="spellStart"/>
      <w:r w:rsidRPr="006C6ACE">
        <w:rPr>
          <w:rFonts w:ascii="Times New Roman" w:eastAsia="Times New Roman" w:hAnsi="Times New Roman" w:cs="Times New Roman"/>
          <w:sz w:val="24"/>
          <w:szCs w:val="24"/>
        </w:rPr>
        <w:t>Epk</w:t>
      </w:r>
      <w:proofErr w:type="spellEnd"/>
      <w:r w:rsidRPr="006C6ACE">
        <w:rPr>
          <w:rFonts w:ascii="Times New Roman" w:eastAsia="Times New Roman" w:hAnsi="Times New Roman" w:cs="Times New Roman"/>
          <w:sz w:val="24"/>
          <w:szCs w:val="24"/>
        </w:rPr>
        <w:t xml:space="preserve">) are given in Table 2. Although actual experiments were done at a variety of values for </w:t>
      </w:r>
      <w:r w:rsidRPr="006C6ACE">
        <w:rPr>
          <w:rFonts w:ascii="Times New Roman" w:eastAsia="Times New Roman" w:hAnsi="Times New Roman" w:cs="Times New Roman"/>
          <w:i/>
          <w:iCs/>
          <w:sz w:val="24"/>
          <w:szCs w:val="24"/>
        </w:rPr>
        <w:t>f</w:t>
      </w:r>
      <w:r w:rsidRPr="006C6ACE">
        <w:rPr>
          <w:rFonts w:ascii="Times New Roman" w:eastAsia="Times New Roman" w:hAnsi="Times New Roman" w:cs="Times New Roman"/>
          <w:sz w:val="24"/>
          <w:szCs w:val="24"/>
        </w:rPr>
        <w:t>O</w:t>
      </w:r>
      <w:r w:rsidRPr="006C6ACE">
        <w:rPr>
          <w:rFonts w:ascii="Times New Roman" w:eastAsia="Times New Roman" w:hAnsi="Times New Roman" w:cs="Times New Roman"/>
          <w:sz w:val="24"/>
          <w:szCs w:val="24"/>
          <w:vertAlign w:val="subscript"/>
        </w:rPr>
        <w:t>2</w:t>
      </w:r>
      <w:r w:rsidRPr="006C6ACE">
        <w:rPr>
          <w:rFonts w:ascii="Times New Roman" w:eastAsia="Times New Roman" w:hAnsi="Times New Roman" w:cs="Times New Roman"/>
          <w:sz w:val="24"/>
          <w:szCs w:val="24"/>
        </w:rPr>
        <w:t>, the values in Table 2 are normalized for conditions in pure O</w:t>
      </w:r>
      <w:r w:rsidRPr="006C6ACE">
        <w:rPr>
          <w:rFonts w:ascii="Times New Roman" w:eastAsia="Times New Roman" w:hAnsi="Times New Roman" w:cs="Times New Roman"/>
          <w:sz w:val="24"/>
          <w:szCs w:val="24"/>
          <w:vertAlign w:val="subscript"/>
        </w:rPr>
        <w:t>2</w:t>
      </w:r>
      <w:r w:rsidRPr="006C6ACE">
        <w:rPr>
          <w:rFonts w:ascii="Times New Roman" w:eastAsia="Times New Roman" w:hAnsi="Times New Roman" w:cs="Times New Roman"/>
          <w:sz w:val="24"/>
          <w:szCs w:val="24"/>
        </w:rPr>
        <w:t xml:space="preserve">. These values also incorporate minor adjustments to peak potentials required for some experiments, as discussed above and in EA-1. Based on duplicate measurements, the peak positions are precise within about ±5 mV for </w:t>
      </w:r>
      <w:proofErr w:type="spellStart"/>
      <w:r w:rsidRPr="006C6ACE">
        <w:rPr>
          <w:rFonts w:ascii="Times New Roman" w:eastAsia="Times New Roman" w:hAnsi="Times New Roman" w:cs="Times New Roman"/>
          <w:sz w:val="24"/>
          <w:szCs w:val="24"/>
        </w:rPr>
        <w:t>NiO</w:t>
      </w:r>
      <w:proofErr w:type="spellEnd"/>
      <w:r w:rsidRPr="006C6ACE">
        <w:rPr>
          <w:rFonts w:ascii="Times New Roman" w:eastAsia="Times New Roman" w:hAnsi="Times New Roman" w:cs="Times New Roman"/>
          <w:sz w:val="24"/>
          <w:szCs w:val="24"/>
        </w:rPr>
        <w:t xml:space="preserve"> and ±8 mV for </w:t>
      </w:r>
      <w:proofErr w:type="spellStart"/>
      <w:r w:rsidRPr="006C6ACE">
        <w:rPr>
          <w:rFonts w:ascii="Times New Roman" w:eastAsia="Times New Roman" w:hAnsi="Times New Roman" w:cs="Times New Roman"/>
          <w:sz w:val="24"/>
          <w:szCs w:val="24"/>
        </w:rPr>
        <w:t>FeO</w:t>
      </w:r>
      <w:proofErr w:type="spellEnd"/>
      <w:r w:rsidRPr="006C6ACE">
        <w:rPr>
          <w:rFonts w:ascii="Times New Roman" w:eastAsia="Times New Roman" w:hAnsi="Times New Roman" w:cs="Times New Roman"/>
          <w:sz w:val="24"/>
          <w:szCs w:val="24"/>
        </w:rPr>
        <w:t xml:space="preserve"> (1σ).</w:t>
      </w:r>
    </w:p>
    <w:p w:rsidR="006C6ACE" w:rsidRPr="006C6ACE" w:rsidRDefault="006C6ACE" w:rsidP="006C6ACE">
      <w:pPr>
        <w:spacing w:before="100" w:beforeAutospacing="1" w:after="100" w:afterAutospacing="1" w:line="240" w:lineRule="auto"/>
        <w:outlineLvl w:val="1"/>
        <w:rPr>
          <w:rFonts w:ascii="Times New Roman" w:eastAsia="Times New Roman" w:hAnsi="Times New Roman" w:cs="Times New Roman"/>
          <w:b/>
          <w:bCs/>
          <w:sz w:val="36"/>
          <w:szCs w:val="36"/>
        </w:rPr>
      </w:pPr>
      <w:r w:rsidRPr="006C6ACE">
        <w:rPr>
          <w:rFonts w:ascii="Times New Roman" w:eastAsia="Times New Roman" w:hAnsi="Times New Roman" w:cs="Times New Roman"/>
          <w:b/>
          <w:bCs/>
          <w:sz w:val="36"/>
          <w:szCs w:val="36"/>
        </w:rPr>
        <w:lastRenderedPageBreak/>
        <w:t>Diffusion Measurements</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Where the concentration for the electroactive</w:t>
      </w:r>
    </w:p>
    <w:p w:rsidR="006C6ACE" w:rsidRPr="006C6ACE" w:rsidRDefault="006C6ACE" w:rsidP="006C6ACE">
      <w:pPr>
        <w:spacing w:before="100" w:beforeAutospacing="1" w:after="100" w:afterAutospacing="1" w:line="240" w:lineRule="auto"/>
        <w:outlineLvl w:val="1"/>
        <w:rPr>
          <w:rFonts w:ascii="Times New Roman" w:eastAsia="Times New Roman" w:hAnsi="Times New Roman" w:cs="Times New Roman"/>
          <w:b/>
          <w:bCs/>
          <w:sz w:val="36"/>
          <w:szCs w:val="36"/>
        </w:rPr>
      </w:pPr>
      <w:r w:rsidRPr="006C6ACE">
        <w:rPr>
          <w:rFonts w:ascii="Times New Roman" w:eastAsia="Times New Roman" w:hAnsi="Times New Roman" w:cs="Times New Roman"/>
          <w:b/>
          <w:bCs/>
          <w:sz w:val="36"/>
          <w:szCs w:val="36"/>
        </w:rPr>
        <w:t>Implications for partitioning</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These results do three things as pertains to partitioning: 1) Demonstrate that variations in melt activities are important in predicting partition coefficients, because melt activities vary significantly even within basalt-like melts, 2) show that it is possible to accurately model those variations in melt activity, and 3) provide the foundation for separating out the effects of “melt” and “crystal” in understanding partitioning.</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Various workers have attempted to model partition coefficients</w:t>
      </w:r>
    </w:p>
    <w:p w:rsidR="006C6ACE" w:rsidRPr="006C6ACE" w:rsidRDefault="006C6ACE" w:rsidP="006C6ACE">
      <w:pPr>
        <w:spacing w:before="100" w:beforeAutospacing="1" w:after="100" w:afterAutospacing="1" w:line="240" w:lineRule="auto"/>
        <w:outlineLvl w:val="1"/>
        <w:rPr>
          <w:rFonts w:ascii="Times New Roman" w:eastAsia="Times New Roman" w:hAnsi="Times New Roman" w:cs="Times New Roman"/>
          <w:b/>
          <w:bCs/>
          <w:sz w:val="36"/>
          <w:szCs w:val="36"/>
        </w:rPr>
      </w:pPr>
      <w:r w:rsidRPr="006C6ACE">
        <w:rPr>
          <w:rFonts w:ascii="Times New Roman" w:eastAsia="Times New Roman" w:hAnsi="Times New Roman" w:cs="Times New Roman"/>
          <w:b/>
          <w:bCs/>
          <w:sz w:val="36"/>
          <w:szCs w:val="36"/>
        </w:rPr>
        <w:t>Conclusions</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 xml:space="preserve">1. Variations in </w:t>
      </w:r>
      <w:proofErr w:type="spellStart"/>
      <w:r w:rsidRPr="006C6ACE">
        <w:rPr>
          <w:rFonts w:ascii="Times New Roman" w:eastAsia="Times New Roman" w:hAnsi="Times New Roman" w:cs="Times New Roman"/>
          <w:sz w:val="24"/>
          <w:szCs w:val="24"/>
        </w:rPr>
        <w:t>a</w:t>
      </w:r>
      <w:r w:rsidRPr="006C6ACE">
        <w:rPr>
          <w:rFonts w:ascii="Times New Roman" w:eastAsia="Times New Roman" w:hAnsi="Times New Roman" w:cs="Times New Roman"/>
          <w:sz w:val="24"/>
          <w:szCs w:val="24"/>
          <w:vertAlign w:val="subscript"/>
        </w:rPr>
        <w:t>NiO</w:t>
      </w:r>
      <w:proofErr w:type="spellEnd"/>
      <w:r w:rsidRPr="006C6ACE">
        <w:rPr>
          <w:rFonts w:ascii="Times New Roman" w:eastAsia="Times New Roman" w:hAnsi="Times New Roman" w:cs="Times New Roman"/>
          <w:sz w:val="24"/>
          <w:szCs w:val="24"/>
        </w:rPr>
        <w:t xml:space="preserve"> as a function of silicate melt composition in SiO</w:t>
      </w:r>
      <w:r w:rsidRPr="006C6ACE">
        <w:rPr>
          <w:rFonts w:ascii="Times New Roman" w:eastAsia="Times New Roman" w:hAnsi="Times New Roman" w:cs="Times New Roman"/>
          <w:sz w:val="24"/>
          <w:szCs w:val="24"/>
          <w:vertAlign w:val="subscript"/>
        </w:rPr>
        <w:t>2</w:t>
      </w:r>
      <w:r w:rsidRPr="006C6ACE">
        <w:rPr>
          <w:rFonts w:ascii="Times New Roman" w:eastAsia="Times New Roman" w:hAnsi="Times New Roman" w:cs="Times New Roman"/>
          <w:sz w:val="24"/>
          <w:szCs w:val="24"/>
        </w:rPr>
        <w:t>-Al</w:t>
      </w:r>
      <w:r w:rsidRPr="006C6ACE">
        <w:rPr>
          <w:rFonts w:ascii="Times New Roman" w:eastAsia="Times New Roman" w:hAnsi="Times New Roman" w:cs="Times New Roman"/>
          <w:sz w:val="24"/>
          <w:szCs w:val="24"/>
          <w:vertAlign w:val="subscript"/>
        </w:rPr>
        <w:t>2</w:t>
      </w:r>
      <w:r w:rsidRPr="006C6ACE">
        <w:rPr>
          <w:rFonts w:ascii="Times New Roman" w:eastAsia="Times New Roman" w:hAnsi="Times New Roman" w:cs="Times New Roman"/>
          <w:sz w:val="24"/>
          <w:szCs w:val="24"/>
        </w:rPr>
        <w:t>O</w:t>
      </w:r>
      <w:r w:rsidRPr="006C6ACE">
        <w:rPr>
          <w:rFonts w:ascii="Times New Roman" w:eastAsia="Times New Roman" w:hAnsi="Times New Roman" w:cs="Times New Roman"/>
          <w:sz w:val="24"/>
          <w:szCs w:val="24"/>
          <w:vertAlign w:val="subscript"/>
        </w:rPr>
        <w:t>3</w:t>
      </w:r>
      <w:r w:rsidRPr="006C6ACE">
        <w:rPr>
          <w:rFonts w:ascii="Times New Roman" w:eastAsia="Times New Roman" w:hAnsi="Times New Roman" w:cs="Times New Roman"/>
          <w:sz w:val="24"/>
          <w:szCs w:val="24"/>
        </w:rPr>
        <w:t>-MgO-CaO systems can be modeled successfully by considering covariations in the alternative components, a</w:t>
      </w:r>
      <w:r w:rsidRPr="006C6ACE">
        <w:rPr>
          <w:rFonts w:ascii="Times New Roman" w:eastAsia="Times New Roman" w:hAnsi="Times New Roman" w:cs="Times New Roman"/>
          <w:sz w:val="24"/>
          <w:szCs w:val="24"/>
          <w:vertAlign w:val="subscript"/>
        </w:rPr>
        <w:t>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and a</w:t>
      </w:r>
      <w:r w:rsidRPr="006C6ACE">
        <w:rPr>
          <w:rFonts w:ascii="Times New Roman" w:eastAsia="Times New Roman" w:hAnsi="Times New Roman" w:cs="Times New Roman"/>
          <w:sz w:val="24"/>
          <w:szCs w:val="24"/>
          <w:vertAlign w:val="subscript"/>
        </w:rPr>
        <w:t>Ni</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2. a</w:t>
      </w:r>
      <w:r w:rsidRPr="006C6ACE">
        <w:rPr>
          <w:rFonts w:ascii="Times New Roman" w:eastAsia="Times New Roman" w:hAnsi="Times New Roman" w:cs="Times New Roman"/>
          <w:sz w:val="24"/>
          <w:szCs w:val="24"/>
          <w:vertAlign w:val="subscript"/>
        </w:rPr>
        <w:t>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is modeled effectively by the relationship: a</w:t>
      </w:r>
      <w:r w:rsidRPr="006C6ACE">
        <w:rPr>
          <w:rFonts w:ascii="Times New Roman" w:eastAsia="Times New Roman" w:hAnsi="Times New Roman" w:cs="Times New Roman"/>
          <w:sz w:val="24"/>
          <w:szCs w:val="24"/>
          <w:vertAlign w:val="subscript"/>
        </w:rPr>
        <w:t>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 0.75 · NBO</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/BO</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 xml:space="preserve">3. For the range of melt compositions in which </w:t>
      </w:r>
      <w:proofErr w:type="spellStart"/>
      <w:r w:rsidRPr="006C6ACE">
        <w:rPr>
          <w:rFonts w:ascii="Times New Roman" w:eastAsia="Times New Roman" w:hAnsi="Times New Roman" w:cs="Times New Roman"/>
          <w:sz w:val="24"/>
          <w:szCs w:val="24"/>
        </w:rPr>
        <w:t>X</w:t>
      </w:r>
      <w:r w:rsidRPr="006C6ACE">
        <w:rPr>
          <w:rFonts w:ascii="Times New Roman" w:eastAsia="Times New Roman" w:hAnsi="Times New Roman" w:cs="Times New Roman"/>
          <w:sz w:val="24"/>
          <w:szCs w:val="24"/>
          <w:vertAlign w:val="subscript"/>
        </w:rPr>
        <w:t>MgO</w:t>
      </w:r>
      <w:proofErr w:type="spellEnd"/>
      <w:r w:rsidRPr="006C6ACE">
        <w:rPr>
          <w:rFonts w:ascii="Times New Roman" w:eastAsia="Times New Roman" w:hAnsi="Times New Roman" w:cs="Times New Roman"/>
          <w:sz w:val="24"/>
          <w:szCs w:val="24"/>
        </w:rPr>
        <w:t xml:space="preserve"> + </w:t>
      </w:r>
      <w:proofErr w:type="spellStart"/>
      <w:r w:rsidRPr="006C6ACE">
        <w:rPr>
          <w:rFonts w:ascii="Times New Roman" w:eastAsia="Times New Roman" w:hAnsi="Times New Roman" w:cs="Times New Roman"/>
          <w:sz w:val="24"/>
          <w:szCs w:val="24"/>
        </w:rPr>
        <w:t>X</w:t>
      </w:r>
      <w:r w:rsidRPr="006C6ACE">
        <w:rPr>
          <w:rFonts w:ascii="Times New Roman" w:eastAsia="Times New Roman" w:hAnsi="Times New Roman" w:cs="Times New Roman"/>
          <w:sz w:val="24"/>
          <w:szCs w:val="24"/>
          <w:vertAlign w:val="subscript"/>
        </w:rPr>
        <w:t>CaO</w:t>
      </w:r>
      <w:proofErr w:type="spellEnd"/>
      <w:r w:rsidRPr="006C6ACE">
        <w:rPr>
          <w:rFonts w:ascii="Times New Roman" w:eastAsia="Times New Roman" w:hAnsi="Times New Roman" w:cs="Times New Roman"/>
          <w:sz w:val="24"/>
          <w:szCs w:val="24"/>
        </w:rPr>
        <w:t xml:space="preserve"> is between 0.3 and 0.55, a</w:t>
      </w:r>
      <w:r w:rsidRPr="006C6ACE">
        <w:rPr>
          <w:rFonts w:ascii="Times New Roman" w:eastAsia="Times New Roman" w:hAnsi="Times New Roman" w:cs="Times New Roman"/>
          <w:sz w:val="24"/>
          <w:szCs w:val="24"/>
          <w:vertAlign w:val="subscript"/>
        </w:rPr>
        <w:t>Ni</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is modeled effectively by a modified ideal solution model in which Ni</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mixes with Mg</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and Ca</w:t>
      </w:r>
      <w:r w:rsidRPr="006C6ACE">
        <w:rPr>
          <w:rFonts w:ascii="Times New Roman" w:eastAsia="Times New Roman" w:hAnsi="Times New Roman" w:cs="Times New Roman"/>
          <w:sz w:val="24"/>
          <w:szCs w:val="24"/>
          <w:vertAlign w:val="superscript"/>
        </w:rPr>
        <w:t>2+</w:t>
      </w:r>
      <w:r w:rsidRPr="006C6ACE">
        <w:rPr>
          <w:rFonts w:ascii="Times New Roman" w:eastAsia="Times New Roman" w:hAnsi="Times New Roman" w:cs="Times New Roman"/>
          <w:sz w:val="24"/>
          <w:szCs w:val="24"/>
        </w:rPr>
        <w:t xml:space="preserve"> on sites in the melt (presumably, it would</w:t>
      </w:r>
    </w:p>
    <w:p w:rsidR="006C6ACE" w:rsidRPr="006C6ACE" w:rsidRDefault="006C6ACE" w:rsidP="006C6ACE">
      <w:pPr>
        <w:spacing w:before="100" w:beforeAutospacing="1" w:after="100" w:afterAutospacing="1" w:line="240" w:lineRule="auto"/>
        <w:outlineLvl w:val="1"/>
        <w:rPr>
          <w:rFonts w:ascii="Times New Roman" w:eastAsia="Times New Roman" w:hAnsi="Times New Roman" w:cs="Times New Roman"/>
          <w:b/>
          <w:bCs/>
          <w:sz w:val="36"/>
          <w:szCs w:val="36"/>
        </w:rPr>
      </w:pPr>
      <w:r w:rsidRPr="006C6ACE">
        <w:rPr>
          <w:rFonts w:ascii="Times New Roman" w:eastAsia="Times New Roman" w:hAnsi="Times New Roman" w:cs="Times New Roman"/>
          <w:b/>
          <w:bCs/>
          <w:sz w:val="36"/>
          <w:szCs w:val="36"/>
        </w:rPr>
        <w:t>Uncited references</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proofErr w:type="spellStart"/>
      <w:r w:rsidRPr="006C6ACE">
        <w:rPr>
          <w:rFonts w:ascii="Times New Roman" w:eastAsia="Times New Roman" w:hAnsi="Times New Roman" w:cs="Times New Roman"/>
          <w:sz w:val="24"/>
          <w:szCs w:val="24"/>
        </w:rPr>
        <w:t>Floden</w:t>
      </w:r>
      <w:proofErr w:type="spellEnd"/>
      <w:r w:rsidRPr="006C6ACE">
        <w:rPr>
          <w:rFonts w:ascii="Times New Roman" w:eastAsia="Times New Roman" w:hAnsi="Times New Roman" w:cs="Times New Roman"/>
          <w:sz w:val="24"/>
          <w:szCs w:val="24"/>
        </w:rPr>
        <w:t xml:space="preserve"> </w:t>
      </w:r>
      <w:proofErr w:type="gramStart"/>
      <w:r w:rsidRPr="006C6ACE">
        <w:rPr>
          <w:rFonts w:ascii="Times New Roman" w:eastAsia="Times New Roman" w:hAnsi="Times New Roman" w:cs="Times New Roman"/>
          <w:sz w:val="24"/>
          <w:szCs w:val="24"/>
        </w:rPr>
        <w:t>et al.(</w:t>
      </w:r>
      <w:proofErr w:type="gramEnd"/>
      <w:r w:rsidRPr="006C6ACE">
        <w:rPr>
          <w:rFonts w:ascii="Times New Roman" w:eastAsia="Times New Roman" w:hAnsi="Times New Roman" w:cs="Times New Roman"/>
          <w:sz w:val="24"/>
          <w:szCs w:val="24"/>
        </w:rPr>
        <w:t>1998); Hendrickson et al. (1999) not cited in the text.</w:t>
      </w:r>
    </w:p>
    <w:p w:rsidR="006C6ACE" w:rsidRPr="006C6ACE" w:rsidRDefault="006C6ACE" w:rsidP="006C6ACE">
      <w:pPr>
        <w:spacing w:before="100" w:beforeAutospacing="1" w:after="100" w:afterAutospacing="1" w:line="240" w:lineRule="auto"/>
        <w:outlineLvl w:val="1"/>
        <w:rPr>
          <w:rFonts w:ascii="Times New Roman" w:eastAsia="Times New Roman" w:hAnsi="Times New Roman" w:cs="Times New Roman"/>
          <w:b/>
          <w:bCs/>
          <w:sz w:val="36"/>
          <w:szCs w:val="36"/>
        </w:rPr>
      </w:pPr>
      <w:r w:rsidRPr="006C6ACE">
        <w:rPr>
          <w:rFonts w:ascii="Times New Roman" w:eastAsia="Times New Roman" w:hAnsi="Times New Roman" w:cs="Times New Roman"/>
          <w:b/>
          <w:bCs/>
          <w:sz w:val="36"/>
          <w:szCs w:val="36"/>
        </w:rPr>
        <w:t>Acknowledgments</w:t>
      </w:r>
    </w:p>
    <w:p w:rsidR="006C6ACE" w:rsidRPr="006C6ACE" w:rsidRDefault="006C6ACE" w:rsidP="006C6ACE">
      <w:pPr>
        <w:spacing w:before="100" w:beforeAutospacing="1" w:after="100" w:afterAutospacing="1" w:line="240" w:lineRule="auto"/>
        <w:rPr>
          <w:rFonts w:ascii="Times New Roman" w:eastAsia="Times New Roman" w:hAnsi="Times New Roman" w:cs="Times New Roman"/>
          <w:sz w:val="24"/>
          <w:szCs w:val="24"/>
        </w:rPr>
      </w:pPr>
      <w:r w:rsidRPr="006C6ACE">
        <w:rPr>
          <w:rFonts w:ascii="Times New Roman" w:eastAsia="Times New Roman" w:hAnsi="Times New Roman" w:cs="Times New Roman"/>
          <w:sz w:val="24"/>
          <w:szCs w:val="24"/>
        </w:rPr>
        <w:t xml:space="preserve">This work was supported in part through NASA grant NAG5-7366. We thank Brad </w:t>
      </w:r>
      <w:proofErr w:type="spellStart"/>
      <w:r w:rsidRPr="006C6ACE">
        <w:rPr>
          <w:rFonts w:ascii="Times New Roman" w:eastAsia="Times New Roman" w:hAnsi="Times New Roman" w:cs="Times New Roman"/>
          <w:sz w:val="24"/>
          <w:szCs w:val="24"/>
        </w:rPr>
        <w:t>Jolliff</w:t>
      </w:r>
      <w:proofErr w:type="spellEnd"/>
      <w:r w:rsidRPr="006C6ACE">
        <w:rPr>
          <w:rFonts w:ascii="Times New Roman" w:eastAsia="Times New Roman" w:hAnsi="Times New Roman" w:cs="Times New Roman"/>
          <w:sz w:val="24"/>
          <w:szCs w:val="24"/>
        </w:rPr>
        <w:t xml:space="preserve"> for microprobe work. We thank Chris Capobianco for his helpful comments and suggestions on an early version of this manuscript. We thank Astrid </w:t>
      </w:r>
      <w:proofErr w:type="spellStart"/>
      <w:r w:rsidRPr="006C6ACE">
        <w:rPr>
          <w:rFonts w:ascii="Times New Roman" w:eastAsia="Times New Roman" w:hAnsi="Times New Roman" w:cs="Times New Roman"/>
          <w:sz w:val="24"/>
          <w:szCs w:val="24"/>
        </w:rPr>
        <w:t>Holzheid</w:t>
      </w:r>
      <w:proofErr w:type="spellEnd"/>
      <w:r w:rsidRPr="006C6ACE">
        <w:rPr>
          <w:rFonts w:ascii="Times New Roman" w:eastAsia="Times New Roman" w:hAnsi="Times New Roman" w:cs="Times New Roman"/>
          <w:sz w:val="24"/>
          <w:szCs w:val="24"/>
        </w:rPr>
        <w:t>, C. Russel, Don Snyder, anonymous reviewers, and associate editor Rick Ryerson for their conscientious and helpful suggestions that led to significant improvements in the manuscript.</w:t>
      </w:r>
    </w:p>
    <w:p w:rsidR="00612C65" w:rsidRDefault="00612C65"/>
    <w:sectPr w:rsidR="00612C65">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ACE"/>
    <w:rsid w:val="00612C65"/>
    <w:rsid w:val="006C6A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D20971"/>
  <w15:chartTrackingRefBased/>
  <w15:docId w15:val="{17E6476C-0669-46C0-8B11-D415AAF6B9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62807716">
      <w:bodyDiv w:val="1"/>
      <w:marLeft w:val="0"/>
      <w:marRight w:val="0"/>
      <w:marTop w:val="0"/>
      <w:marBottom w:val="0"/>
      <w:divBdr>
        <w:top w:val="none" w:sz="0" w:space="0" w:color="auto"/>
        <w:left w:val="none" w:sz="0" w:space="0" w:color="auto"/>
        <w:bottom w:val="none" w:sz="0" w:space="0" w:color="auto"/>
        <w:right w:val="none" w:sz="0" w:space="0" w:color="auto"/>
      </w:divBdr>
      <w:divsChild>
        <w:div w:id="1413238745">
          <w:marLeft w:val="0"/>
          <w:marRight w:val="0"/>
          <w:marTop w:val="0"/>
          <w:marBottom w:val="0"/>
          <w:divBdr>
            <w:top w:val="none" w:sz="0" w:space="0" w:color="auto"/>
            <w:left w:val="none" w:sz="0" w:space="0" w:color="auto"/>
            <w:bottom w:val="none" w:sz="0" w:space="0" w:color="auto"/>
            <w:right w:val="none" w:sz="0" w:space="0" w:color="auto"/>
          </w:divBdr>
          <w:divsChild>
            <w:div w:id="1888099289">
              <w:marLeft w:val="0"/>
              <w:marRight w:val="0"/>
              <w:marTop w:val="0"/>
              <w:marBottom w:val="0"/>
              <w:divBdr>
                <w:top w:val="none" w:sz="0" w:space="0" w:color="auto"/>
                <w:left w:val="none" w:sz="0" w:space="0" w:color="auto"/>
                <w:bottom w:val="none" w:sz="0" w:space="0" w:color="auto"/>
                <w:right w:val="none" w:sz="0" w:space="0" w:color="auto"/>
              </w:divBdr>
              <w:divsChild>
                <w:div w:id="650713476">
                  <w:marLeft w:val="0"/>
                  <w:marRight w:val="0"/>
                  <w:marTop w:val="0"/>
                  <w:marBottom w:val="0"/>
                  <w:divBdr>
                    <w:top w:val="none" w:sz="0" w:space="0" w:color="auto"/>
                    <w:left w:val="none" w:sz="0" w:space="0" w:color="auto"/>
                    <w:bottom w:val="none" w:sz="0" w:space="0" w:color="auto"/>
                    <w:right w:val="none" w:sz="0" w:space="0" w:color="auto"/>
                  </w:divBdr>
                  <w:divsChild>
                    <w:div w:id="157502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0061">
          <w:marLeft w:val="0"/>
          <w:marRight w:val="0"/>
          <w:marTop w:val="0"/>
          <w:marBottom w:val="0"/>
          <w:divBdr>
            <w:top w:val="none" w:sz="0" w:space="0" w:color="auto"/>
            <w:left w:val="none" w:sz="0" w:space="0" w:color="auto"/>
            <w:bottom w:val="none" w:sz="0" w:space="0" w:color="auto"/>
            <w:right w:val="none" w:sz="0" w:space="0" w:color="auto"/>
          </w:divBdr>
          <w:divsChild>
            <w:div w:id="1033502803">
              <w:marLeft w:val="0"/>
              <w:marRight w:val="0"/>
              <w:marTop w:val="0"/>
              <w:marBottom w:val="0"/>
              <w:divBdr>
                <w:top w:val="none" w:sz="0" w:space="0" w:color="auto"/>
                <w:left w:val="none" w:sz="0" w:space="0" w:color="auto"/>
                <w:bottom w:val="none" w:sz="0" w:space="0" w:color="auto"/>
                <w:right w:val="none" w:sz="0" w:space="0" w:color="auto"/>
              </w:divBdr>
              <w:divsChild>
                <w:div w:id="592201164">
                  <w:marLeft w:val="0"/>
                  <w:marRight w:val="0"/>
                  <w:marTop w:val="0"/>
                  <w:marBottom w:val="0"/>
                  <w:divBdr>
                    <w:top w:val="none" w:sz="0" w:space="0" w:color="auto"/>
                    <w:left w:val="none" w:sz="0" w:space="0" w:color="auto"/>
                    <w:bottom w:val="none" w:sz="0" w:space="0" w:color="auto"/>
                    <w:right w:val="none" w:sz="0" w:space="0" w:color="auto"/>
                  </w:divBdr>
                  <w:divsChild>
                    <w:div w:id="174984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505459">
          <w:marLeft w:val="0"/>
          <w:marRight w:val="0"/>
          <w:marTop w:val="0"/>
          <w:marBottom w:val="0"/>
          <w:divBdr>
            <w:top w:val="none" w:sz="0" w:space="0" w:color="auto"/>
            <w:left w:val="none" w:sz="0" w:space="0" w:color="auto"/>
            <w:bottom w:val="none" w:sz="0" w:space="0" w:color="auto"/>
            <w:right w:val="none" w:sz="0" w:space="0" w:color="auto"/>
          </w:divBdr>
          <w:divsChild>
            <w:div w:id="1702172661">
              <w:marLeft w:val="0"/>
              <w:marRight w:val="0"/>
              <w:marTop w:val="0"/>
              <w:marBottom w:val="0"/>
              <w:divBdr>
                <w:top w:val="none" w:sz="0" w:space="0" w:color="auto"/>
                <w:left w:val="none" w:sz="0" w:space="0" w:color="auto"/>
                <w:bottom w:val="none" w:sz="0" w:space="0" w:color="auto"/>
                <w:right w:val="none" w:sz="0" w:space="0" w:color="auto"/>
              </w:divBdr>
              <w:divsChild>
                <w:div w:id="141192586">
                  <w:marLeft w:val="0"/>
                  <w:marRight w:val="0"/>
                  <w:marTop w:val="0"/>
                  <w:marBottom w:val="0"/>
                  <w:divBdr>
                    <w:top w:val="none" w:sz="0" w:space="0" w:color="auto"/>
                    <w:left w:val="none" w:sz="0" w:space="0" w:color="auto"/>
                    <w:bottom w:val="none" w:sz="0" w:space="0" w:color="auto"/>
                    <w:right w:val="none" w:sz="0" w:space="0" w:color="auto"/>
                  </w:divBdr>
                  <w:divsChild>
                    <w:div w:id="1140265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788907">
          <w:marLeft w:val="0"/>
          <w:marRight w:val="0"/>
          <w:marTop w:val="0"/>
          <w:marBottom w:val="0"/>
          <w:divBdr>
            <w:top w:val="none" w:sz="0" w:space="0" w:color="auto"/>
            <w:left w:val="none" w:sz="0" w:space="0" w:color="auto"/>
            <w:bottom w:val="none" w:sz="0" w:space="0" w:color="auto"/>
            <w:right w:val="none" w:sz="0" w:space="0" w:color="auto"/>
          </w:divBdr>
          <w:divsChild>
            <w:div w:id="32312869">
              <w:marLeft w:val="0"/>
              <w:marRight w:val="0"/>
              <w:marTop w:val="0"/>
              <w:marBottom w:val="0"/>
              <w:divBdr>
                <w:top w:val="none" w:sz="0" w:space="0" w:color="auto"/>
                <w:left w:val="none" w:sz="0" w:space="0" w:color="auto"/>
                <w:bottom w:val="none" w:sz="0" w:space="0" w:color="auto"/>
                <w:right w:val="none" w:sz="0" w:space="0" w:color="auto"/>
              </w:divBdr>
            </w:div>
          </w:divsChild>
        </w:div>
        <w:div w:id="1552619674">
          <w:marLeft w:val="0"/>
          <w:marRight w:val="0"/>
          <w:marTop w:val="0"/>
          <w:marBottom w:val="0"/>
          <w:divBdr>
            <w:top w:val="none" w:sz="0" w:space="0" w:color="auto"/>
            <w:left w:val="none" w:sz="0" w:space="0" w:color="auto"/>
            <w:bottom w:val="none" w:sz="0" w:space="0" w:color="auto"/>
            <w:right w:val="none" w:sz="0" w:space="0" w:color="auto"/>
          </w:divBdr>
          <w:divsChild>
            <w:div w:id="1888031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electrochemical-metho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silicate-melt" TargetMode="External"/><Relationship Id="rId5" Type="http://schemas.openxmlformats.org/officeDocument/2006/relationships/hyperlink" Target="https://www.sciencedirect.com/topics/earth-and-planetary-sciences/activity-coefficient" TargetMode="External"/><Relationship Id="rId4" Type="http://schemas.openxmlformats.org/officeDocument/2006/relationships/hyperlink" Target="https://doi.org/10.1016/j.gca.2005.02.005"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1303</Words>
  <Characters>7431</Characters>
  <Application>Microsoft Office Word</Application>
  <DocSecurity>0</DocSecurity>
  <Lines>61</Lines>
  <Paragraphs>17</Paragraphs>
  <ScaleCrop>false</ScaleCrop>
  <Company/>
  <LinksUpToDate>false</LinksUpToDate>
  <CharactersWithSpaces>8717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2023-11-18T08:35:00Z</dcterms:created>
  <dcterms:modified xsi:type="dcterms:W3CDTF">2023-11-18T08:35:00Z</dcterms:modified>
</cp:coreProperties>
</file>