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5C19D2" w:rsidRPr="005C19D2" w:rsidRDefault="005C19D2" w:rsidP="005C19D2">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5C19D2">
        <w:rPr>
          <w:rFonts w:ascii="Times New Roman" w:eastAsia="Times New Roman" w:hAnsi="Times New Roman" w:cs="Times New Roman"/>
          <w:b/>
          <w:bCs/>
          <w:kern w:val="36"/>
          <w:sz w:val="48"/>
          <w:szCs w:val="48"/>
        </w:rPr>
        <w:t xml:space="preserve">Sorption of </w:t>
      </w:r>
      <w:proofErr w:type="gramStart"/>
      <w:r w:rsidRPr="005C19D2">
        <w:rPr>
          <w:rFonts w:ascii="Times New Roman" w:eastAsia="Times New Roman" w:hAnsi="Times New Roman" w:cs="Times New Roman"/>
          <w:b/>
          <w:bCs/>
          <w:kern w:val="36"/>
          <w:sz w:val="48"/>
          <w:szCs w:val="48"/>
        </w:rPr>
        <w:t>Eu(</w:t>
      </w:r>
      <w:proofErr w:type="gramEnd"/>
      <w:r w:rsidRPr="005C19D2">
        <w:rPr>
          <w:rFonts w:ascii="Times New Roman" w:eastAsia="Times New Roman" w:hAnsi="Times New Roman" w:cs="Times New Roman"/>
          <w:b/>
          <w:bCs/>
          <w:kern w:val="36"/>
          <w:sz w:val="48"/>
          <w:szCs w:val="48"/>
        </w:rPr>
        <w:t>III)/Cm(III) on Ca-montmorillonite and Na-</w:t>
      </w:r>
      <w:proofErr w:type="spellStart"/>
      <w:r w:rsidRPr="005C19D2">
        <w:rPr>
          <w:rFonts w:ascii="Times New Roman" w:eastAsia="Times New Roman" w:hAnsi="Times New Roman" w:cs="Times New Roman"/>
          <w:b/>
          <w:bCs/>
          <w:kern w:val="36"/>
          <w:sz w:val="48"/>
          <w:szCs w:val="48"/>
        </w:rPr>
        <w:t>illite</w:t>
      </w:r>
      <w:proofErr w:type="spellEnd"/>
      <w:r w:rsidRPr="005C19D2">
        <w:rPr>
          <w:rFonts w:ascii="Times New Roman" w:eastAsia="Times New Roman" w:hAnsi="Times New Roman" w:cs="Times New Roman"/>
          <w:b/>
          <w:bCs/>
          <w:kern w:val="36"/>
          <w:sz w:val="48"/>
          <w:szCs w:val="48"/>
        </w:rPr>
        <w:t>. Part 2: Surface complexation modelling</w:t>
      </w:r>
    </w:p>
    <w:p w:rsidR="005C19D2" w:rsidRPr="005C19D2" w:rsidRDefault="005C19D2" w:rsidP="005C19D2">
      <w:pPr>
        <w:spacing w:after="0" w:line="240" w:lineRule="auto"/>
        <w:rPr>
          <w:rFonts w:ascii="Times New Roman" w:eastAsia="Times New Roman" w:hAnsi="Times New Roman" w:cs="Times New Roman"/>
          <w:sz w:val="24"/>
          <w:szCs w:val="24"/>
        </w:rPr>
      </w:pPr>
      <w:r w:rsidRPr="005C19D2">
        <w:rPr>
          <w:rFonts w:ascii="Times New Roman" w:eastAsia="Times New Roman" w:hAnsi="Times New Roman" w:cs="Times New Roman"/>
          <w:sz w:val="24"/>
          <w:szCs w:val="24"/>
        </w:rPr>
        <w:t>Author links open overlay panel</w:t>
      </w:r>
    </w:p>
    <w:p w:rsidR="005C19D2" w:rsidRPr="005C19D2" w:rsidRDefault="005C19D2" w:rsidP="005C19D2">
      <w:pPr>
        <w:spacing w:after="0" w:line="240" w:lineRule="auto"/>
        <w:rPr>
          <w:rFonts w:ascii="Times New Roman" w:eastAsia="Times New Roman" w:hAnsi="Times New Roman" w:cs="Times New Roman"/>
          <w:sz w:val="24"/>
          <w:szCs w:val="24"/>
        </w:rPr>
      </w:pPr>
      <w:r w:rsidRPr="005C19D2">
        <w:rPr>
          <w:rFonts w:ascii="Times New Roman" w:eastAsia="Times New Roman" w:hAnsi="Times New Roman" w:cs="Times New Roman"/>
          <w:sz w:val="24"/>
          <w:szCs w:val="24"/>
        </w:rPr>
        <w:t xml:space="preserve">, , , </w:t>
      </w:r>
    </w:p>
    <w:p w:rsidR="005C19D2" w:rsidRPr="005C19D2" w:rsidRDefault="005C19D2" w:rsidP="005C19D2">
      <w:pPr>
        <w:spacing w:after="0" w:line="240" w:lineRule="auto"/>
        <w:rPr>
          <w:rFonts w:ascii="Times New Roman" w:eastAsia="Times New Roman" w:hAnsi="Times New Roman" w:cs="Times New Roman"/>
          <w:sz w:val="24"/>
          <w:szCs w:val="24"/>
        </w:rPr>
      </w:pPr>
      <w:hyperlink r:id="rId4" w:tgtFrame="_blank" w:tooltip="Persistent link using digital object identifier" w:history="1">
        <w:r w:rsidRPr="005C19D2">
          <w:rPr>
            <w:rFonts w:ascii="Times New Roman" w:eastAsia="Times New Roman" w:hAnsi="Times New Roman" w:cs="Times New Roman"/>
            <w:color w:val="0000FF"/>
            <w:sz w:val="24"/>
            <w:szCs w:val="24"/>
            <w:u w:val="single"/>
          </w:rPr>
          <w:t>https://doi.org/10.1016/j.gca.2005.06.031</w:t>
        </w:r>
      </w:hyperlink>
      <w:bookmarkStart w:id="0" w:name="_GoBack"/>
      <w:bookmarkEnd w:id="0"/>
      <w:r w:rsidRPr="005C19D2">
        <w:rPr>
          <w:rFonts w:ascii="Times New Roman" w:eastAsia="Times New Roman" w:hAnsi="Times New Roman" w:cs="Times New Roman"/>
          <w:sz w:val="24"/>
          <w:szCs w:val="24"/>
        </w:rPr>
        <w:t xml:space="preserve"> </w:t>
      </w:r>
    </w:p>
    <w:p w:rsidR="005C19D2" w:rsidRPr="005C19D2" w:rsidRDefault="005C19D2" w:rsidP="005C19D2">
      <w:pPr>
        <w:spacing w:before="100" w:beforeAutospacing="1" w:after="100" w:afterAutospacing="1" w:line="240" w:lineRule="auto"/>
        <w:outlineLvl w:val="1"/>
        <w:rPr>
          <w:rFonts w:ascii="Times New Roman" w:eastAsia="Times New Roman" w:hAnsi="Times New Roman" w:cs="Times New Roman"/>
          <w:b/>
          <w:bCs/>
          <w:sz w:val="36"/>
          <w:szCs w:val="36"/>
        </w:rPr>
      </w:pPr>
      <w:r w:rsidRPr="005C19D2">
        <w:rPr>
          <w:rFonts w:ascii="Times New Roman" w:eastAsia="Times New Roman" w:hAnsi="Times New Roman" w:cs="Times New Roman"/>
          <w:b/>
          <w:bCs/>
          <w:sz w:val="36"/>
          <w:szCs w:val="36"/>
        </w:rPr>
        <w:t>Abstract</w:t>
      </w:r>
    </w:p>
    <w:p w:rsidR="005C19D2" w:rsidRPr="005C19D2" w:rsidRDefault="005C19D2" w:rsidP="005C19D2">
      <w:pPr>
        <w:spacing w:before="100" w:beforeAutospacing="1" w:after="100" w:afterAutospacing="1" w:line="240" w:lineRule="auto"/>
        <w:rPr>
          <w:rFonts w:ascii="Times New Roman" w:eastAsia="Times New Roman" w:hAnsi="Times New Roman" w:cs="Times New Roman"/>
          <w:sz w:val="24"/>
          <w:szCs w:val="24"/>
        </w:rPr>
      </w:pPr>
      <w:hyperlink r:id="rId5" w:tooltip="Learn more about Sorption from ScienceDirect's AI-generated Topic Pages" w:history="1">
        <w:r w:rsidRPr="005C19D2">
          <w:rPr>
            <w:rFonts w:ascii="Times New Roman" w:eastAsia="Times New Roman" w:hAnsi="Times New Roman" w:cs="Times New Roman"/>
            <w:color w:val="0000FF"/>
            <w:sz w:val="24"/>
            <w:szCs w:val="24"/>
            <w:u w:val="single"/>
          </w:rPr>
          <w:t>Sorption</w:t>
        </w:r>
      </w:hyperlink>
      <w:r w:rsidRPr="005C19D2">
        <w:rPr>
          <w:rFonts w:ascii="Times New Roman" w:eastAsia="Times New Roman" w:hAnsi="Times New Roman" w:cs="Times New Roman"/>
          <w:sz w:val="24"/>
          <w:szCs w:val="24"/>
        </w:rPr>
        <w:t xml:space="preserve"> edges and isotherms for Eu(III) uptake on Ca-montmorillonite and Na-</w:t>
      </w:r>
      <w:proofErr w:type="spellStart"/>
      <w:r w:rsidRPr="005C19D2">
        <w:rPr>
          <w:rFonts w:ascii="Times New Roman" w:eastAsia="Times New Roman" w:hAnsi="Times New Roman" w:cs="Times New Roman"/>
          <w:sz w:val="24"/>
          <w:szCs w:val="24"/>
        </w:rPr>
        <w:t>illite</w:t>
      </w:r>
      <w:proofErr w:type="spellEnd"/>
      <w:r w:rsidRPr="005C19D2">
        <w:rPr>
          <w:rFonts w:ascii="Times New Roman" w:eastAsia="Times New Roman" w:hAnsi="Times New Roman" w:cs="Times New Roman"/>
          <w:sz w:val="24"/>
          <w:szCs w:val="24"/>
        </w:rPr>
        <w:t xml:space="preserve"> in 0.066 mol/L Ca(ClO</w:t>
      </w:r>
      <w:r w:rsidRPr="005C19D2">
        <w:rPr>
          <w:rFonts w:ascii="Times New Roman" w:eastAsia="Times New Roman" w:hAnsi="Times New Roman" w:cs="Times New Roman"/>
          <w:sz w:val="24"/>
          <w:szCs w:val="24"/>
          <w:vertAlign w:val="subscript"/>
        </w:rPr>
        <w:t>4</w:t>
      </w:r>
      <w:r w:rsidRPr="005C19D2">
        <w:rPr>
          <w:rFonts w:ascii="Times New Roman" w:eastAsia="Times New Roman" w:hAnsi="Times New Roman" w:cs="Times New Roman"/>
          <w:sz w:val="24"/>
          <w:szCs w:val="24"/>
        </w:rPr>
        <w:t>)</w:t>
      </w:r>
      <w:r w:rsidRPr="005C19D2">
        <w:rPr>
          <w:rFonts w:ascii="Times New Roman" w:eastAsia="Times New Roman" w:hAnsi="Times New Roman" w:cs="Times New Roman"/>
          <w:sz w:val="24"/>
          <w:szCs w:val="24"/>
          <w:vertAlign w:val="subscript"/>
        </w:rPr>
        <w:t>2</w:t>
      </w:r>
      <w:r w:rsidRPr="005C19D2">
        <w:rPr>
          <w:rFonts w:ascii="Times New Roman" w:eastAsia="Times New Roman" w:hAnsi="Times New Roman" w:cs="Times New Roman"/>
          <w:sz w:val="24"/>
          <w:szCs w:val="24"/>
        </w:rPr>
        <w:t xml:space="preserve"> and 0.1 mol/L NaClO</w:t>
      </w:r>
      <w:r w:rsidRPr="005C19D2">
        <w:rPr>
          <w:rFonts w:ascii="Times New Roman" w:eastAsia="Times New Roman" w:hAnsi="Times New Roman" w:cs="Times New Roman"/>
          <w:sz w:val="24"/>
          <w:szCs w:val="24"/>
          <w:vertAlign w:val="subscript"/>
        </w:rPr>
        <w:t>4</w:t>
      </w:r>
      <w:r w:rsidRPr="005C19D2">
        <w:rPr>
          <w:rFonts w:ascii="Times New Roman" w:eastAsia="Times New Roman" w:hAnsi="Times New Roman" w:cs="Times New Roman"/>
          <w:sz w:val="24"/>
          <w:szCs w:val="24"/>
        </w:rPr>
        <w:t xml:space="preserve"> background electrolytes, respectively, were modelled using a quasi-mechanistic sorption model (the two site </w:t>
      </w:r>
      <w:proofErr w:type="spellStart"/>
      <w:r w:rsidRPr="005C19D2">
        <w:rPr>
          <w:rFonts w:ascii="Times New Roman" w:eastAsia="Times New Roman" w:hAnsi="Times New Roman" w:cs="Times New Roman"/>
          <w:sz w:val="24"/>
          <w:szCs w:val="24"/>
        </w:rPr>
        <w:t>protolysis</w:t>
      </w:r>
      <w:proofErr w:type="spellEnd"/>
      <w:r w:rsidRPr="005C19D2">
        <w:rPr>
          <w:rFonts w:ascii="Times New Roman" w:eastAsia="Times New Roman" w:hAnsi="Times New Roman" w:cs="Times New Roman"/>
          <w:sz w:val="24"/>
          <w:szCs w:val="24"/>
        </w:rPr>
        <w:t xml:space="preserve"> non electrostatic surface complexation and cation exchange (2SPNE SC/CE) model). For both clay minerals the Eu sorption edges could be quantitatively modelled in the pH range </w:t>
      </w:r>
      <w:r w:rsidRPr="005C19D2">
        <w:rPr>
          <w:rFonts w:ascii="Cambria Math" w:eastAsia="Times New Roman" w:hAnsi="Cambria Math" w:cs="Cambria Math"/>
          <w:sz w:val="24"/>
          <w:szCs w:val="24"/>
        </w:rPr>
        <w:t>∼</w:t>
      </w:r>
      <w:r w:rsidRPr="005C19D2">
        <w:rPr>
          <w:rFonts w:ascii="Times New Roman" w:eastAsia="Times New Roman" w:hAnsi="Times New Roman" w:cs="Times New Roman"/>
          <w:sz w:val="24"/>
          <w:szCs w:val="24"/>
        </w:rPr>
        <w:t xml:space="preserve">3 to </w:t>
      </w:r>
      <w:r w:rsidRPr="005C19D2">
        <w:rPr>
          <w:rFonts w:ascii="Cambria Math" w:eastAsia="Times New Roman" w:hAnsi="Cambria Math" w:cs="Cambria Math"/>
          <w:sz w:val="24"/>
          <w:szCs w:val="24"/>
        </w:rPr>
        <w:t>∼</w:t>
      </w:r>
      <w:r w:rsidRPr="005C19D2">
        <w:rPr>
          <w:rFonts w:ascii="Times New Roman" w:eastAsia="Times New Roman" w:hAnsi="Times New Roman" w:cs="Times New Roman"/>
          <w:sz w:val="24"/>
          <w:szCs w:val="24"/>
        </w:rPr>
        <w:t>10 using cation exchange reactions for Eu</w:t>
      </w:r>
      <w:r w:rsidRPr="005C19D2">
        <w:rPr>
          <w:rFonts w:ascii="Times New Roman" w:eastAsia="Times New Roman" w:hAnsi="Times New Roman" w:cs="Times New Roman"/>
          <w:sz w:val="24"/>
          <w:szCs w:val="24"/>
          <w:vertAlign w:val="superscript"/>
        </w:rPr>
        <w:t>3+</w:t>
      </w:r>
      <w:r w:rsidRPr="005C19D2">
        <w:rPr>
          <w:rFonts w:ascii="Times New Roman" w:eastAsia="Times New Roman" w:hAnsi="Times New Roman" w:cs="Times New Roman"/>
          <w:sz w:val="24"/>
          <w:szCs w:val="24"/>
        </w:rPr>
        <w:t>/Na</w:t>
      </w:r>
      <w:r w:rsidRPr="005C19D2">
        <w:rPr>
          <w:rFonts w:ascii="Times New Roman" w:eastAsia="Times New Roman" w:hAnsi="Times New Roman" w:cs="Times New Roman"/>
          <w:sz w:val="24"/>
          <w:szCs w:val="24"/>
          <w:vertAlign w:val="superscript"/>
        </w:rPr>
        <w:t>+</w:t>
      </w:r>
      <w:r w:rsidRPr="005C19D2">
        <w:rPr>
          <w:rFonts w:ascii="Times New Roman" w:eastAsia="Times New Roman" w:hAnsi="Times New Roman" w:cs="Times New Roman"/>
          <w:sz w:val="24"/>
          <w:szCs w:val="24"/>
        </w:rPr>
        <w:t xml:space="preserve"> and Eu</w:t>
      </w:r>
      <w:r w:rsidRPr="005C19D2">
        <w:rPr>
          <w:rFonts w:ascii="Times New Roman" w:eastAsia="Times New Roman" w:hAnsi="Times New Roman" w:cs="Times New Roman"/>
          <w:sz w:val="24"/>
          <w:szCs w:val="24"/>
          <w:vertAlign w:val="superscript"/>
        </w:rPr>
        <w:t>3+</w:t>
      </w:r>
      <w:r w:rsidRPr="005C19D2">
        <w:rPr>
          <w:rFonts w:ascii="Times New Roman" w:eastAsia="Times New Roman" w:hAnsi="Times New Roman" w:cs="Times New Roman"/>
          <w:sz w:val="24"/>
          <w:szCs w:val="24"/>
        </w:rPr>
        <w:t>/Ca</w:t>
      </w:r>
      <w:r w:rsidRPr="005C19D2">
        <w:rPr>
          <w:rFonts w:ascii="Times New Roman" w:eastAsia="Times New Roman" w:hAnsi="Times New Roman" w:cs="Times New Roman"/>
          <w:sz w:val="24"/>
          <w:szCs w:val="24"/>
          <w:vertAlign w:val="superscript"/>
        </w:rPr>
        <w:t>2+</w:t>
      </w:r>
      <w:r w:rsidRPr="005C19D2">
        <w:rPr>
          <w:rFonts w:ascii="Times New Roman" w:eastAsia="Times New Roman" w:hAnsi="Times New Roman" w:cs="Times New Roman"/>
          <w:sz w:val="24"/>
          <w:szCs w:val="24"/>
        </w:rPr>
        <w:t xml:space="preserve"> and three surface complexation reactions on the strong sorption sites forming ≡S</w:t>
      </w:r>
      <w:r w:rsidRPr="005C19D2">
        <w:rPr>
          <w:rFonts w:ascii="Times New Roman" w:eastAsia="Times New Roman" w:hAnsi="Times New Roman" w:cs="Times New Roman"/>
          <w:sz w:val="24"/>
          <w:szCs w:val="24"/>
          <w:vertAlign w:val="superscript"/>
        </w:rPr>
        <w:t>S</w:t>
      </w:r>
      <w:r w:rsidRPr="005C19D2">
        <w:rPr>
          <w:rFonts w:ascii="Times New Roman" w:eastAsia="Times New Roman" w:hAnsi="Times New Roman" w:cs="Times New Roman"/>
          <w:sz w:val="24"/>
          <w:szCs w:val="24"/>
        </w:rPr>
        <w:t>OEu</w:t>
      </w:r>
      <w:r w:rsidRPr="005C19D2">
        <w:rPr>
          <w:rFonts w:ascii="Times New Roman" w:eastAsia="Times New Roman" w:hAnsi="Times New Roman" w:cs="Times New Roman"/>
          <w:sz w:val="24"/>
          <w:szCs w:val="24"/>
          <w:vertAlign w:val="superscript"/>
        </w:rPr>
        <w:t>2+</w:t>
      </w:r>
      <w:r w:rsidRPr="005C19D2">
        <w:rPr>
          <w:rFonts w:ascii="Times New Roman" w:eastAsia="Times New Roman" w:hAnsi="Times New Roman" w:cs="Times New Roman"/>
          <w:sz w:val="24"/>
          <w:szCs w:val="24"/>
        </w:rPr>
        <w:t>, ≡</w:t>
      </w:r>
      <w:proofErr w:type="spellStart"/>
      <w:r w:rsidRPr="005C19D2">
        <w:rPr>
          <w:rFonts w:ascii="Times New Roman" w:eastAsia="Times New Roman" w:hAnsi="Times New Roman" w:cs="Times New Roman"/>
          <w:sz w:val="24"/>
          <w:szCs w:val="24"/>
        </w:rPr>
        <w:t>S</w:t>
      </w:r>
      <w:r w:rsidRPr="005C19D2">
        <w:rPr>
          <w:rFonts w:ascii="Times New Roman" w:eastAsia="Times New Roman" w:hAnsi="Times New Roman" w:cs="Times New Roman"/>
          <w:sz w:val="24"/>
          <w:szCs w:val="24"/>
          <w:vertAlign w:val="superscript"/>
        </w:rPr>
        <w:t>S</w:t>
      </w:r>
      <w:r w:rsidRPr="005C19D2">
        <w:rPr>
          <w:rFonts w:ascii="Times New Roman" w:eastAsia="Times New Roman" w:hAnsi="Times New Roman" w:cs="Times New Roman"/>
          <w:sz w:val="24"/>
          <w:szCs w:val="24"/>
        </w:rPr>
        <w:t>OEuOH</w:t>
      </w:r>
      <w:proofErr w:type="spellEnd"/>
      <w:r w:rsidRPr="005C19D2">
        <w:rPr>
          <w:rFonts w:ascii="Times New Roman" w:eastAsia="Times New Roman" w:hAnsi="Times New Roman" w:cs="Times New Roman"/>
          <w:sz w:val="24"/>
          <w:szCs w:val="24"/>
          <w:vertAlign w:val="superscript"/>
        </w:rPr>
        <w:t>+</w:t>
      </w:r>
      <w:r w:rsidRPr="005C19D2">
        <w:rPr>
          <w:rFonts w:ascii="Times New Roman" w:eastAsia="Times New Roman" w:hAnsi="Times New Roman" w:cs="Times New Roman"/>
          <w:sz w:val="24"/>
          <w:szCs w:val="24"/>
        </w:rPr>
        <w:t xml:space="preserve"> and ≡</w:t>
      </w:r>
      <w:proofErr w:type="spellStart"/>
      <w:r w:rsidRPr="005C19D2">
        <w:rPr>
          <w:rFonts w:ascii="Times New Roman" w:eastAsia="Times New Roman" w:hAnsi="Times New Roman" w:cs="Times New Roman"/>
          <w:sz w:val="24"/>
          <w:szCs w:val="24"/>
        </w:rPr>
        <w:t>S</w:t>
      </w:r>
      <w:r w:rsidRPr="005C19D2">
        <w:rPr>
          <w:rFonts w:ascii="Times New Roman" w:eastAsia="Times New Roman" w:hAnsi="Times New Roman" w:cs="Times New Roman"/>
          <w:sz w:val="24"/>
          <w:szCs w:val="24"/>
          <w:vertAlign w:val="superscript"/>
        </w:rPr>
        <w:t>S</w:t>
      </w:r>
      <w:r w:rsidRPr="005C19D2">
        <w:rPr>
          <w:rFonts w:ascii="Times New Roman" w:eastAsia="Times New Roman" w:hAnsi="Times New Roman" w:cs="Times New Roman"/>
          <w:sz w:val="24"/>
          <w:szCs w:val="24"/>
        </w:rPr>
        <w:t>OEu</w:t>
      </w:r>
      <w:proofErr w:type="spellEnd"/>
      <w:r w:rsidRPr="005C19D2">
        <w:rPr>
          <w:rFonts w:ascii="Times New Roman" w:eastAsia="Times New Roman" w:hAnsi="Times New Roman" w:cs="Times New Roman"/>
          <w:sz w:val="24"/>
          <w:szCs w:val="24"/>
        </w:rPr>
        <w:t>(OH)</w:t>
      </w:r>
      <w:r w:rsidRPr="005C19D2">
        <w:rPr>
          <w:rFonts w:ascii="Times New Roman" w:eastAsia="Times New Roman" w:hAnsi="Times New Roman" w:cs="Times New Roman"/>
          <w:sz w:val="24"/>
          <w:szCs w:val="24"/>
          <w:vertAlign w:val="subscript"/>
        </w:rPr>
        <w:t>2</w:t>
      </w:r>
      <w:r w:rsidRPr="005C19D2">
        <w:rPr>
          <w:rFonts w:ascii="Times New Roman" w:eastAsia="Times New Roman" w:hAnsi="Times New Roman" w:cs="Times New Roman"/>
          <w:sz w:val="24"/>
          <w:szCs w:val="24"/>
        </w:rPr>
        <w:t xml:space="preserve">° inner sphere complexes which appear successively with increasing </w:t>
      </w:r>
      <w:proofErr w:type="spellStart"/>
      <w:r w:rsidRPr="005C19D2">
        <w:rPr>
          <w:rFonts w:ascii="Times New Roman" w:eastAsia="Times New Roman" w:hAnsi="Times New Roman" w:cs="Times New Roman"/>
          <w:sz w:val="24"/>
          <w:szCs w:val="24"/>
        </w:rPr>
        <w:t>pH.</w:t>
      </w:r>
      <w:proofErr w:type="spellEnd"/>
      <w:r w:rsidRPr="005C19D2">
        <w:rPr>
          <w:rFonts w:ascii="Times New Roman" w:eastAsia="Times New Roman" w:hAnsi="Times New Roman" w:cs="Times New Roman"/>
          <w:sz w:val="24"/>
          <w:szCs w:val="24"/>
        </w:rPr>
        <w:t xml:space="preserve"> Time resolved laser </w:t>
      </w:r>
      <w:hyperlink r:id="rId6" w:tooltip="Learn more about fluorescence spectroscopy from ScienceDirect's AI-generated Topic Pages" w:history="1">
        <w:r w:rsidRPr="005C19D2">
          <w:rPr>
            <w:rFonts w:ascii="Times New Roman" w:eastAsia="Times New Roman" w:hAnsi="Times New Roman" w:cs="Times New Roman"/>
            <w:color w:val="0000FF"/>
            <w:sz w:val="24"/>
            <w:szCs w:val="24"/>
            <w:u w:val="single"/>
          </w:rPr>
          <w:t>fluorescence spectroscopy</w:t>
        </w:r>
      </w:hyperlink>
      <w:r w:rsidRPr="005C19D2">
        <w:rPr>
          <w:rFonts w:ascii="Times New Roman" w:eastAsia="Times New Roman" w:hAnsi="Times New Roman" w:cs="Times New Roman"/>
          <w:sz w:val="24"/>
          <w:szCs w:val="24"/>
        </w:rPr>
        <w:t xml:space="preserve"> (TRLFS) measurements of Cm(III) loaded Ca-montmorillonite and Na-</w:t>
      </w:r>
      <w:proofErr w:type="spellStart"/>
      <w:r w:rsidRPr="005C19D2">
        <w:rPr>
          <w:rFonts w:ascii="Times New Roman" w:eastAsia="Times New Roman" w:hAnsi="Times New Roman" w:cs="Times New Roman"/>
          <w:sz w:val="24"/>
          <w:szCs w:val="24"/>
        </w:rPr>
        <w:t>illite</w:t>
      </w:r>
      <w:proofErr w:type="spellEnd"/>
      <w:r w:rsidRPr="005C19D2">
        <w:rPr>
          <w:rFonts w:ascii="Times New Roman" w:eastAsia="Times New Roman" w:hAnsi="Times New Roman" w:cs="Times New Roman"/>
          <w:sz w:val="24"/>
          <w:szCs w:val="24"/>
        </w:rPr>
        <w:t xml:space="preserve"> were available from Part 1 of this work. De-convolution of the </w:t>
      </w:r>
      <w:proofErr w:type="spellStart"/>
      <w:r w:rsidRPr="005C19D2">
        <w:rPr>
          <w:rFonts w:ascii="Times New Roman" w:eastAsia="Times New Roman" w:hAnsi="Times New Roman" w:cs="Times New Roman"/>
          <w:sz w:val="24"/>
          <w:szCs w:val="24"/>
        </w:rPr>
        <w:t>normalised</w:t>
      </w:r>
      <w:proofErr w:type="spellEnd"/>
      <w:r w:rsidRPr="005C19D2">
        <w:rPr>
          <w:rFonts w:ascii="Times New Roman" w:eastAsia="Times New Roman" w:hAnsi="Times New Roman" w:cs="Times New Roman"/>
          <w:sz w:val="24"/>
          <w:szCs w:val="24"/>
        </w:rPr>
        <w:t xml:space="preserve"> fluorescence spectra measured at different pH values indicated three distinct Cm surface complexes, Cm complexes 1, 2 and 3 for both clay minerals, in agreement with model predictions, but with different distribution functions for the individual species. Under the assumption that Eu and Cm exhibit essentially the same hydrolysis and sorption </w:t>
      </w:r>
      <w:proofErr w:type="spellStart"/>
      <w:r w:rsidRPr="005C19D2">
        <w:rPr>
          <w:rFonts w:ascii="Times New Roman" w:eastAsia="Times New Roman" w:hAnsi="Times New Roman" w:cs="Times New Roman"/>
          <w:sz w:val="24"/>
          <w:szCs w:val="24"/>
        </w:rPr>
        <w:t>behaviour</w:t>
      </w:r>
      <w:proofErr w:type="spellEnd"/>
      <w:r w:rsidRPr="005C19D2">
        <w:rPr>
          <w:rFonts w:ascii="Times New Roman" w:eastAsia="Times New Roman" w:hAnsi="Times New Roman" w:cs="Times New Roman"/>
          <w:sz w:val="24"/>
          <w:szCs w:val="24"/>
        </w:rPr>
        <w:t>, the Eu surface complexation constants were used to predict surface species distribution functions for Cm under the same experimental conditions used in the TRLFS measurements. Comparison of modelled and experimentally deduced species distributions indicated that for both clay minerals peak heights and widths of the three peaks did not correspond particularly well. It is shown that the calculated species distribution functions are sensitive to the values of the hydrolysis constants used in the calculations, whereas modelling the sorption edge measurements by applying the 2SPNE SC/CE approach is much less sensitive. By modifying the values of the hydrolysis constants within their uncertainty range and re-modelling the sorption edges, considerably better correspondence between the modelled and TRLFS species distribution functions was found. In particular, peak positions, heights and widths for the model predicted peaks for the ≡S</w:t>
      </w:r>
      <w:r w:rsidRPr="005C19D2">
        <w:rPr>
          <w:rFonts w:ascii="Times New Roman" w:eastAsia="Times New Roman" w:hAnsi="Times New Roman" w:cs="Times New Roman"/>
          <w:sz w:val="24"/>
          <w:szCs w:val="24"/>
          <w:vertAlign w:val="superscript"/>
        </w:rPr>
        <w:t>S</w:t>
      </w:r>
      <w:r w:rsidRPr="005C19D2">
        <w:rPr>
          <w:rFonts w:ascii="Times New Roman" w:eastAsia="Times New Roman" w:hAnsi="Times New Roman" w:cs="Times New Roman"/>
          <w:sz w:val="24"/>
          <w:szCs w:val="24"/>
        </w:rPr>
        <w:t>OCm</w:t>
      </w:r>
      <w:r w:rsidRPr="005C19D2">
        <w:rPr>
          <w:rFonts w:ascii="Times New Roman" w:eastAsia="Times New Roman" w:hAnsi="Times New Roman" w:cs="Times New Roman"/>
          <w:sz w:val="24"/>
          <w:szCs w:val="24"/>
          <w:vertAlign w:val="superscript"/>
        </w:rPr>
        <w:t>2+</w:t>
      </w:r>
      <w:r w:rsidRPr="005C19D2">
        <w:rPr>
          <w:rFonts w:ascii="Times New Roman" w:eastAsia="Times New Roman" w:hAnsi="Times New Roman" w:cs="Times New Roman"/>
          <w:sz w:val="24"/>
          <w:szCs w:val="24"/>
        </w:rPr>
        <w:t xml:space="preserve"> and ≡</w:t>
      </w:r>
      <w:proofErr w:type="spellStart"/>
      <w:r w:rsidRPr="005C19D2">
        <w:rPr>
          <w:rFonts w:ascii="Times New Roman" w:eastAsia="Times New Roman" w:hAnsi="Times New Roman" w:cs="Times New Roman"/>
          <w:sz w:val="24"/>
          <w:szCs w:val="24"/>
        </w:rPr>
        <w:t>S</w:t>
      </w:r>
      <w:r w:rsidRPr="005C19D2">
        <w:rPr>
          <w:rFonts w:ascii="Times New Roman" w:eastAsia="Times New Roman" w:hAnsi="Times New Roman" w:cs="Times New Roman"/>
          <w:sz w:val="24"/>
          <w:szCs w:val="24"/>
          <w:vertAlign w:val="superscript"/>
        </w:rPr>
        <w:t>S</w:t>
      </w:r>
      <w:r w:rsidRPr="005C19D2">
        <w:rPr>
          <w:rFonts w:ascii="Times New Roman" w:eastAsia="Times New Roman" w:hAnsi="Times New Roman" w:cs="Times New Roman"/>
          <w:sz w:val="24"/>
          <w:szCs w:val="24"/>
        </w:rPr>
        <w:t>OCmOH</w:t>
      </w:r>
      <w:proofErr w:type="spellEnd"/>
      <w:r w:rsidRPr="005C19D2">
        <w:rPr>
          <w:rFonts w:ascii="Times New Roman" w:eastAsia="Times New Roman" w:hAnsi="Times New Roman" w:cs="Times New Roman"/>
          <w:sz w:val="24"/>
          <w:szCs w:val="24"/>
          <w:vertAlign w:val="superscript"/>
        </w:rPr>
        <w:t>+</w:t>
      </w:r>
      <w:r w:rsidRPr="005C19D2">
        <w:rPr>
          <w:rFonts w:ascii="Times New Roman" w:eastAsia="Times New Roman" w:hAnsi="Times New Roman" w:cs="Times New Roman"/>
          <w:sz w:val="24"/>
          <w:szCs w:val="24"/>
        </w:rPr>
        <w:t xml:space="preserve"> species distribution, and those for Cm complexes 1 and 2 derived from TRLFS, were found to be very close for both clay minerals. However, discrepancies were still apparent between the profile for the calculated ≡</w:t>
      </w:r>
      <w:proofErr w:type="spellStart"/>
      <w:proofErr w:type="gramStart"/>
      <w:r w:rsidRPr="005C19D2">
        <w:rPr>
          <w:rFonts w:ascii="Times New Roman" w:eastAsia="Times New Roman" w:hAnsi="Times New Roman" w:cs="Times New Roman"/>
          <w:sz w:val="24"/>
          <w:szCs w:val="24"/>
        </w:rPr>
        <w:t>S</w:t>
      </w:r>
      <w:r w:rsidRPr="005C19D2">
        <w:rPr>
          <w:rFonts w:ascii="Times New Roman" w:eastAsia="Times New Roman" w:hAnsi="Times New Roman" w:cs="Times New Roman"/>
          <w:sz w:val="24"/>
          <w:szCs w:val="24"/>
          <w:vertAlign w:val="superscript"/>
        </w:rPr>
        <w:t>S</w:t>
      </w:r>
      <w:r w:rsidRPr="005C19D2">
        <w:rPr>
          <w:rFonts w:ascii="Times New Roman" w:eastAsia="Times New Roman" w:hAnsi="Times New Roman" w:cs="Times New Roman"/>
          <w:sz w:val="24"/>
          <w:szCs w:val="24"/>
        </w:rPr>
        <w:t>OEu</w:t>
      </w:r>
      <w:proofErr w:type="spellEnd"/>
      <w:r w:rsidRPr="005C19D2">
        <w:rPr>
          <w:rFonts w:ascii="Times New Roman" w:eastAsia="Times New Roman" w:hAnsi="Times New Roman" w:cs="Times New Roman"/>
          <w:sz w:val="24"/>
          <w:szCs w:val="24"/>
        </w:rPr>
        <w:t>(</w:t>
      </w:r>
      <w:proofErr w:type="gramEnd"/>
      <w:r w:rsidRPr="005C19D2">
        <w:rPr>
          <w:rFonts w:ascii="Times New Roman" w:eastAsia="Times New Roman" w:hAnsi="Times New Roman" w:cs="Times New Roman"/>
          <w:sz w:val="24"/>
          <w:szCs w:val="24"/>
        </w:rPr>
        <w:t>OH)</w:t>
      </w:r>
      <w:r w:rsidRPr="005C19D2">
        <w:rPr>
          <w:rFonts w:ascii="Times New Roman" w:eastAsia="Times New Roman" w:hAnsi="Times New Roman" w:cs="Times New Roman"/>
          <w:sz w:val="24"/>
          <w:szCs w:val="24"/>
          <w:vertAlign w:val="subscript"/>
        </w:rPr>
        <w:t>2</w:t>
      </w:r>
      <w:r w:rsidRPr="005C19D2">
        <w:rPr>
          <w:rFonts w:ascii="Times New Roman" w:eastAsia="Times New Roman" w:hAnsi="Times New Roman" w:cs="Times New Roman"/>
          <w:sz w:val="24"/>
          <w:szCs w:val="24"/>
        </w:rPr>
        <w:t>° surface species and the Cm complex 3 species, especially in the case of Na-</w:t>
      </w:r>
      <w:proofErr w:type="spellStart"/>
      <w:r w:rsidRPr="005C19D2">
        <w:rPr>
          <w:rFonts w:ascii="Times New Roman" w:eastAsia="Times New Roman" w:hAnsi="Times New Roman" w:cs="Times New Roman"/>
          <w:sz w:val="24"/>
          <w:szCs w:val="24"/>
        </w:rPr>
        <w:t>illite</w:t>
      </w:r>
      <w:proofErr w:type="spellEnd"/>
      <w:r w:rsidRPr="005C19D2">
        <w:rPr>
          <w:rFonts w:ascii="Times New Roman" w:eastAsia="Times New Roman" w:hAnsi="Times New Roman" w:cs="Times New Roman"/>
          <w:sz w:val="24"/>
          <w:szCs w:val="24"/>
        </w:rPr>
        <w:t>.</w:t>
      </w:r>
    </w:p>
    <w:p w:rsidR="005C19D2" w:rsidRPr="005C19D2" w:rsidRDefault="005C19D2" w:rsidP="005C19D2">
      <w:pPr>
        <w:spacing w:before="100" w:beforeAutospacing="1" w:after="100" w:afterAutospacing="1" w:line="240" w:lineRule="auto"/>
        <w:outlineLvl w:val="1"/>
        <w:rPr>
          <w:rFonts w:ascii="Times New Roman" w:eastAsia="Times New Roman" w:hAnsi="Times New Roman" w:cs="Times New Roman"/>
          <w:b/>
          <w:bCs/>
          <w:sz w:val="36"/>
          <w:szCs w:val="36"/>
        </w:rPr>
      </w:pPr>
      <w:r w:rsidRPr="005C19D2">
        <w:rPr>
          <w:rFonts w:ascii="Times New Roman" w:eastAsia="Times New Roman" w:hAnsi="Times New Roman" w:cs="Times New Roman"/>
          <w:b/>
          <w:bCs/>
          <w:sz w:val="36"/>
          <w:szCs w:val="36"/>
        </w:rPr>
        <w:t>Introduction</w:t>
      </w:r>
    </w:p>
    <w:p w:rsidR="005C19D2" w:rsidRPr="005C19D2" w:rsidRDefault="005C19D2" w:rsidP="005C19D2">
      <w:pPr>
        <w:spacing w:before="100" w:beforeAutospacing="1" w:after="100" w:afterAutospacing="1" w:line="240" w:lineRule="auto"/>
        <w:rPr>
          <w:rFonts w:ascii="Times New Roman" w:eastAsia="Times New Roman" w:hAnsi="Times New Roman" w:cs="Times New Roman"/>
          <w:sz w:val="24"/>
          <w:szCs w:val="24"/>
        </w:rPr>
      </w:pPr>
      <w:r w:rsidRPr="005C19D2">
        <w:rPr>
          <w:rFonts w:ascii="Times New Roman" w:eastAsia="Times New Roman" w:hAnsi="Times New Roman" w:cs="Times New Roman"/>
          <w:sz w:val="24"/>
          <w:szCs w:val="24"/>
        </w:rPr>
        <w:t xml:space="preserve">The interactions of contaminants at immobile solid surfaces are key processes determining their retardation during transport. Of particular relevance for radioactive waste and toxic waste repositories are the reactions at the solid liquid interface of clay minerals since they are often major components of many types of soil, argillaceous rock and </w:t>
      </w:r>
      <w:proofErr w:type="gramStart"/>
      <w:r w:rsidRPr="005C19D2">
        <w:rPr>
          <w:rFonts w:ascii="Times New Roman" w:eastAsia="Times New Roman" w:hAnsi="Times New Roman" w:cs="Times New Roman"/>
          <w:sz w:val="24"/>
          <w:szCs w:val="24"/>
        </w:rPr>
        <w:t>bentonite based</w:t>
      </w:r>
      <w:proofErr w:type="gramEnd"/>
      <w:r w:rsidRPr="005C19D2">
        <w:rPr>
          <w:rFonts w:ascii="Times New Roman" w:eastAsia="Times New Roman" w:hAnsi="Times New Roman" w:cs="Times New Roman"/>
          <w:sz w:val="24"/>
          <w:szCs w:val="24"/>
        </w:rPr>
        <w:t xml:space="preserve"> barrier materials considered in disposal schemes. The requirement in a </w:t>
      </w:r>
      <w:proofErr w:type="gramStart"/>
      <w:r w:rsidRPr="005C19D2">
        <w:rPr>
          <w:rFonts w:ascii="Times New Roman" w:eastAsia="Times New Roman" w:hAnsi="Times New Roman" w:cs="Times New Roman"/>
          <w:sz w:val="24"/>
          <w:szCs w:val="24"/>
        </w:rPr>
        <w:t>high level</w:t>
      </w:r>
      <w:proofErr w:type="gramEnd"/>
      <w:r w:rsidRPr="005C19D2">
        <w:rPr>
          <w:rFonts w:ascii="Times New Roman" w:eastAsia="Times New Roman" w:hAnsi="Times New Roman" w:cs="Times New Roman"/>
          <w:sz w:val="24"/>
          <w:szCs w:val="24"/>
        </w:rPr>
        <w:t xml:space="preserve"> waste repository for example is to isolate radionuclides from the biosphere for hundreds of thousands of years, and sorption at mineral </w:t>
      </w:r>
      <w:r w:rsidRPr="005C19D2">
        <w:rPr>
          <w:rFonts w:ascii="Times New Roman" w:eastAsia="Times New Roman" w:hAnsi="Times New Roman" w:cs="Times New Roman"/>
          <w:sz w:val="24"/>
          <w:szCs w:val="24"/>
        </w:rPr>
        <w:lastRenderedPageBreak/>
        <w:t xml:space="preserve">surfaces is one of the main pillars upon which repository safety assessment studies are based (NAGRA, 2002). The importance of sorption in performance assessment provides a strong incentive to move away from empiric approaches to ones based on mechanistic descriptions of uptake processes. Understanding the radionuclide retention occurring at the mineral/solution interface over a representative range of relevant conditions (pH, aqueous composition, mineralogical composition of the host rock, temperature etc.), and being able to model them quantitatively, are key factors in predicting long-term migration </w:t>
      </w:r>
      <w:proofErr w:type="spellStart"/>
      <w:r w:rsidRPr="005C19D2">
        <w:rPr>
          <w:rFonts w:ascii="Times New Roman" w:eastAsia="Times New Roman" w:hAnsi="Times New Roman" w:cs="Times New Roman"/>
          <w:sz w:val="24"/>
          <w:szCs w:val="24"/>
        </w:rPr>
        <w:t>behaviour</w:t>
      </w:r>
      <w:proofErr w:type="spellEnd"/>
      <w:r w:rsidRPr="005C19D2">
        <w:rPr>
          <w:rFonts w:ascii="Times New Roman" w:eastAsia="Times New Roman" w:hAnsi="Times New Roman" w:cs="Times New Roman"/>
          <w:sz w:val="24"/>
          <w:szCs w:val="24"/>
        </w:rPr>
        <w:t xml:space="preserve"> in a justifiable and robust manner.</w:t>
      </w:r>
    </w:p>
    <w:p w:rsidR="005C19D2" w:rsidRPr="005C19D2" w:rsidRDefault="005C19D2" w:rsidP="005C19D2">
      <w:pPr>
        <w:spacing w:before="100" w:beforeAutospacing="1" w:after="100" w:afterAutospacing="1" w:line="240" w:lineRule="auto"/>
        <w:rPr>
          <w:rFonts w:ascii="Times New Roman" w:eastAsia="Times New Roman" w:hAnsi="Times New Roman" w:cs="Times New Roman"/>
          <w:sz w:val="24"/>
          <w:szCs w:val="24"/>
        </w:rPr>
      </w:pPr>
      <w:r w:rsidRPr="005C19D2">
        <w:rPr>
          <w:rFonts w:ascii="Times New Roman" w:eastAsia="Times New Roman" w:hAnsi="Times New Roman" w:cs="Times New Roman"/>
          <w:sz w:val="24"/>
          <w:szCs w:val="24"/>
        </w:rPr>
        <w:t xml:space="preserve">Clearly it is not possible to perform experiments over repository relevant time scales and modelling is required to predict the </w:t>
      </w:r>
      <w:proofErr w:type="spellStart"/>
      <w:r w:rsidRPr="005C19D2">
        <w:rPr>
          <w:rFonts w:ascii="Times New Roman" w:eastAsia="Times New Roman" w:hAnsi="Times New Roman" w:cs="Times New Roman"/>
          <w:sz w:val="24"/>
          <w:szCs w:val="24"/>
        </w:rPr>
        <w:t>behaviour</w:t>
      </w:r>
      <w:proofErr w:type="spellEnd"/>
      <w:r w:rsidRPr="005C19D2">
        <w:rPr>
          <w:rFonts w:ascii="Times New Roman" w:eastAsia="Times New Roman" w:hAnsi="Times New Roman" w:cs="Times New Roman"/>
          <w:sz w:val="24"/>
          <w:szCs w:val="24"/>
        </w:rPr>
        <w:t xml:space="preserve"> of radionuclides far into the future. The basis for the predictions </w:t>
      </w:r>
      <w:proofErr w:type="gramStart"/>
      <w:r w:rsidRPr="005C19D2">
        <w:rPr>
          <w:rFonts w:ascii="Times New Roman" w:eastAsia="Times New Roman" w:hAnsi="Times New Roman" w:cs="Times New Roman"/>
          <w:sz w:val="24"/>
          <w:szCs w:val="24"/>
        </w:rPr>
        <w:t>have</w:t>
      </w:r>
      <w:proofErr w:type="gramEnd"/>
      <w:r w:rsidRPr="005C19D2">
        <w:rPr>
          <w:rFonts w:ascii="Times New Roman" w:eastAsia="Times New Roman" w:hAnsi="Times New Roman" w:cs="Times New Roman"/>
          <w:sz w:val="24"/>
          <w:szCs w:val="24"/>
        </w:rPr>
        <w:t xml:space="preserve"> to be justified. If the retention values chosen for safety relevant sorbates rests on fundamental chemical principles then the extrapolations in time are based on time invariant processes and can thus be readily defended. This implies that uptake mechanisms must be understood at the molecular level.</w:t>
      </w:r>
    </w:p>
    <w:p w:rsidR="005C19D2" w:rsidRPr="005C19D2" w:rsidRDefault="005C19D2" w:rsidP="005C19D2">
      <w:pPr>
        <w:spacing w:before="100" w:beforeAutospacing="1" w:after="100" w:afterAutospacing="1" w:line="240" w:lineRule="auto"/>
        <w:rPr>
          <w:rFonts w:ascii="Times New Roman" w:eastAsia="Times New Roman" w:hAnsi="Times New Roman" w:cs="Times New Roman"/>
          <w:sz w:val="24"/>
          <w:szCs w:val="24"/>
        </w:rPr>
      </w:pPr>
      <w:r w:rsidRPr="005C19D2">
        <w:rPr>
          <w:rFonts w:ascii="Times New Roman" w:eastAsia="Times New Roman" w:hAnsi="Times New Roman" w:cs="Times New Roman"/>
          <w:sz w:val="24"/>
          <w:szCs w:val="24"/>
        </w:rPr>
        <w:t xml:space="preserve">The trend over the past decade or so has been the attempt to develop mechanistic models (NEA 1992, NEA 2001) which can be applied in repository performance assessments. For clay minerals, sorption is often treated at various levels of complexity in terms of different mechanistic processes occurring at the solid liquid interface: cation exchange (outer sphere complexation), protonation/deprotonation of different types of amphoteric surface hydroxyl groups and the formation of surface complexes (inner sphere complexes). Models describing these processes exist and are being further developed e.g., Bradbury and </w:t>
      </w:r>
      <w:proofErr w:type="spellStart"/>
      <w:r w:rsidRPr="005C19D2">
        <w:rPr>
          <w:rFonts w:ascii="Times New Roman" w:eastAsia="Times New Roman" w:hAnsi="Times New Roman" w:cs="Times New Roman"/>
          <w:sz w:val="24"/>
          <w:szCs w:val="24"/>
        </w:rPr>
        <w:t>Baeyens</w:t>
      </w:r>
      <w:proofErr w:type="spellEnd"/>
      <w:r w:rsidRPr="005C19D2">
        <w:rPr>
          <w:rFonts w:ascii="Times New Roman" w:eastAsia="Times New Roman" w:hAnsi="Times New Roman" w:cs="Times New Roman"/>
          <w:sz w:val="24"/>
          <w:szCs w:val="24"/>
        </w:rPr>
        <w:t xml:space="preserve"> 1997, </w:t>
      </w:r>
      <w:proofErr w:type="spellStart"/>
      <w:r w:rsidRPr="005C19D2">
        <w:rPr>
          <w:rFonts w:ascii="Times New Roman" w:eastAsia="Times New Roman" w:hAnsi="Times New Roman" w:cs="Times New Roman"/>
          <w:sz w:val="24"/>
          <w:szCs w:val="24"/>
        </w:rPr>
        <w:t>Prikryl</w:t>
      </w:r>
      <w:proofErr w:type="spellEnd"/>
      <w:r w:rsidRPr="005C19D2">
        <w:rPr>
          <w:rFonts w:ascii="Times New Roman" w:eastAsia="Times New Roman" w:hAnsi="Times New Roman" w:cs="Times New Roman"/>
          <w:sz w:val="24"/>
          <w:szCs w:val="24"/>
        </w:rPr>
        <w:t xml:space="preserve"> et al 2001, Kulik 2002, Payne et al 2004. Additional processes such as surface precipitation, solid solution formation and incorporation of </w:t>
      </w:r>
      <w:proofErr w:type="spellStart"/>
      <w:r w:rsidRPr="005C19D2">
        <w:rPr>
          <w:rFonts w:ascii="Times New Roman" w:eastAsia="Times New Roman" w:hAnsi="Times New Roman" w:cs="Times New Roman"/>
          <w:sz w:val="24"/>
          <w:szCs w:val="24"/>
        </w:rPr>
        <w:t>sorbed</w:t>
      </w:r>
      <w:proofErr w:type="spellEnd"/>
      <w:r w:rsidRPr="005C19D2">
        <w:rPr>
          <w:rFonts w:ascii="Times New Roman" w:eastAsia="Times New Roman" w:hAnsi="Times New Roman" w:cs="Times New Roman"/>
          <w:sz w:val="24"/>
          <w:szCs w:val="24"/>
        </w:rPr>
        <w:t xml:space="preserve"> species into the clay matrix are also being considered (e.g., </w:t>
      </w:r>
      <w:proofErr w:type="spellStart"/>
      <w:r w:rsidRPr="005C19D2">
        <w:rPr>
          <w:rFonts w:ascii="Times New Roman" w:eastAsia="Times New Roman" w:hAnsi="Times New Roman" w:cs="Times New Roman"/>
          <w:sz w:val="24"/>
          <w:szCs w:val="24"/>
        </w:rPr>
        <w:t>Scheidegger</w:t>
      </w:r>
      <w:proofErr w:type="spellEnd"/>
      <w:r w:rsidRPr="005C19D2">
        <w:rPr>
          <w:rFonts w:ascii="Times New Roman" w:eastAsia="Times New Roman" w:hAnsi="Times New Roman" w:cs="Times New Roman"/>
          <w:sz w:val="24"/>
          <w:szCs w:val="24"/>
        </w:rPr>
        <w:t xml:space="preserve"> et al 1998, Schlegel et al 2001).</w:t>
      </w:r>
    </w:p>
    <w:p w:rsidR="005C19D2" w:rsidRPr="005C19D2" w:rsidRDefault="005C19D2" w:rsidP="005C19D2">
      <w:pPr>
        <w:spacing w:before="100" w:beforeAutospacing="1" w:after="100" w:afterAutospacing="1" w:line="240" w:lineRule="auto"/>
        <w:rPr>
          <w:rFonts w:ascii="Times New Roman" w:eastAsia="Times New Roman" w:hAnsi="Times New Roman" w:cs="Times New Roman"/>
          <w:sz w:val="24"/>
          <w:szCs w:val="24"/>
        </w:rPr>
      </w:pPr>
      <w:r w:rsidRPr="005C19D2">
        <w:rPr>
          <w:rFonts w:ascii="Times New Roman" w:eastAsia="Times New Roman" w:hAnsi="Times New Roman" w:cs="Times New Roman"/>
          <w:sz w:val="24"/>
          <w:szCs w:val="24"/>
        </w:rPr>
        <w:t xml:space="preserve">Essentially, all of the current sorption models can only be described as quasi-mechanistic because they contain assumptions regarding the types of surface sorption sites and the </w:t>
      </w:r>
      <w:proofErr w:type="spellStart"/>
      <w:r w:rsidRPr="005C19D2">
        <w:rPr>
          <w:rFonts w:ascii="Times New Roman" w:eastAsia="Times New Roman" w:hAnsi="Times New Roman" w:cs="Times New Roman"/>
          <w:sz w:val="24"/>
          <w:szCs w:val="24"/>
        </w:rPr>
        <w:t>sorbed</w:t>
      </w:r>
      <w:proofErr w:type="spellEnd"/>
      <w:r w:rsidRPr="005C19D2">
        <w:rPr>
          <w:rFonts w:ascii="Times New Roman" w:eastAsia="Times New Roman" w:hAnsi="Times New Roman" w:cs="Times New Roman"/>
          <w:sz w:val="24"/>
          <w:szCs w:val="24"/>
        </w:rPr>
        <w:t xml:space="preserve"> species which are often chosen on the basis of the aqueous speciation. Despite these limitations, sorption models for clay minerals have been developed which are capable of quantitatively describing the sorption of a wide variety of metals over a wide range of pH, sorbate concentration and background electrolyte type and concentrations e.g., Bradbury and </w:t>
      </w:r>
      <w:proofErr w:type="spellStart"/>
      <w:r w:rsidRPr="005C19D2">
        <w:rPr>
          <w:rFonts w:ascii="Times New Roman" w:eastAsia="Times New Roman" w:hAnsi="Times New Roman" w:cs="Times New Roman"/>
          <w:sz w:val="24"/>
          <w:szCs w:val="24"/>
        </w:rPr>
        <w:t>Baeyens</w:t>
      </w:r>
      <w:proofErr w:type="spellEnd"/>
      <w:r w:rsidRPr="005C19D2">
        <w:rPr>
          <w:rFonts w:ascii="Times New Roman" w:eastAsia="Times New Roman" w:hAnsi="Times New Roman" w:cs="Times New Roman"/>
          <w:sz w:val="24"/>
          <w:szCs w:val="24"/>
        </w:rPr>
        <w:t xml:space="preserve"> 2002, Bradbury and </w:t>
      </w:r>
      <w:proofErr w:type="spellStart"/>
      <w:r w:rsidRPr="005C19D2">
        <w:rPr>
          <w:rFonts w:ascii="Times New Roman" w:eastAsia="Times New Roman" w:hAnsi="Times New Roman" w:cs="Times New Roman"/>
          <w:sz w:val="24"/>
          <w:szCs w:val="24"/>
        </w:rPr>
        <w:t>Baeyens</w:t>
      </w:r>
      <w:proofErr w:type="spellEnd"/>
      <w:r w:rsidRPr="005C19D2">
        <w:rPr>
          <w:rFonts w:ascii="Times New Roman" w:eastAsia="Times New Roman" w:hAnsi="Times New Roman" w:cs="Times New Roman"/>
          <w:sz w:val="24"/>
          <w:szCs w:val="24"/>
        </w:rPr>
        <w:t xml:space="preserve"> 2005a).</w:t>
      </w:r>
    </w:p>
    <w:p w:rsidR="005C19D2" w:rsidRPr="005C19D2" w:rsidRDefault="005C19D2" w:rsidP="005C19D2">
      <w:pPr>
        <w:spacing w:before="100" w:beforeAutospacing="1" w:after="100" w:afterAutospacing="1" w:line="240" w:lineRule="auto"/>
        <w:rPr>
          <w:rFonts w:ascii="Times New Roman" w:eastAsia="Times New Roman" w:hAnsi="Times New Roman" w:cs="Times New Roman"/>
          <w:sz w:val="24"/>
          <w:szCs w:val="24"/>
        </w:rPr>
      </w:pPr>
      <w:r w:rsidRPr="005C19D2">
        <w:rPr>
          <w:rFonts w:ascii="Times New Roman" w:eastAsia="Times New Roman" w:hAnsi="Times New Roman" w:cs="Times New Roman"/>
          <w:sz w:val="24"/>
          <w:szCs w:val="24"/>
        </w:rPr>
        <w:t xml:space="preserve">The more detailed development of sorption models and their credibility will depend on verifying (or not) the major assumptions contained in them. In this </w:t>
      </w:r>
      <w:proofErr w:type="spellStart"/>
      <w:r w:rsidRPr="005C19D2">
        <w:rPr>
          <w:rFonts w:ascii="Times New Roman" w:eastAsia="Times New Roman" w:hAnsi="Times New Roman" w:cs="Times New Roman"/>
          <w:sz w:val="24"/>
          <w:szCs w:val="24"/>
        </w:rPr>
        <w:t>endeavour</w:t>
      </w:r>
      <w:proofErr w:type="spellEnd"/>
      <w:r w:rsidRPr="005C19D2">
        <w:rPr>
          <w:rFonts w:ascii="Times New Roman" w:eastAsia="Times New Roman" w:hAnsi="Times New Roman" w:cs="Times New Roman"/>
          <w:sz w:val="24"/>
          <w:szCs w:val="24"/>
        </w:rPr>
        <w:t xml:space="preserve"> high-resolution surface analytical techniques such as X-ray absorption spectroscopy (XAS) and time resolved laser fluorescence spectroscopy (TRLFS) are expected to make important contributions. Already distinctions made in the model between cation exchange (outer sphere complex formation) and surface complexation (inner sphere complex formation) under a variety of different conditions have been confirmed by spectroscopic measurements e.g., </w:t>
      </w:r>
      <w:proofErr w:type="spellStart"/>
      <w:r w:rsidRPr="005C19D2">
        <w:rPr>
          <w:rFonts w:ascii="Times New Roman" w:eastAsia="Times New Roman" w:hAnsi="Times New Roman" w:cs="Times New Roman"/>
          <w:sz w:val="24"/>
          <w:szCs w:val="24"/>
        </w:rPr>
        <w:t>Dähn</w:t>
      </w:r>
      <w:proofErr w:type="spellEnd"/>
      <w:r w:rsidRPr="005C19D2">
        <w:rPr>
          <w:rFonts w:ascii="Times New Roman" w:eastAsia="Times New Roman" w:hAnsi="Times New Roman" w:cs="Times New Roman"/>
          <w:sz w:val="24"/>
          <w:szCs w:val="24"/>
        </w:rPr>
        <w:t xml:space="preserve"> et al 2002, </w:t>
      </w:r>
      <w:proofErr w:type="spellStart"/>
      <w:r w:rsidRPr="005C19D2">
        <w:rPr>
          <w:rFonts w:ascii="Times New Roman" w:eastAsia="Times New Roman" w:hAnsi="Times New Roman" w:cs="Times New Roman"/>
          <w:sz w:val="24"/>
          <w:szCs w:val="24"/>
        </w:rPr>
        <w:t>Dähn</w:t>
      </w:r>
      <w:proofErr w:type="spellEnd"/>
      <w:r w:rsidRPr="005C19D2">
        <w:rPr>
          <w:rFonts w:ascii="Times New Roman" w:eastAsia="Times New Roman" w:hAnsi="Times New Roman" w:cs="Times New Roman"/>
          <w:sz w:val="24"/>
          <w:szCs w:val="24"/>
        </w:rPr>
        <w:t xml:space="preserve"> et al 2003). It is essential to forge much closer links between wet chemistry measurements, modelling and spectroscopic techniques in terms of identifying surface species and their structure for real progress to be made.</w:t>
      </w:r>
    </w:p>
    <w:p w:rsidR="005C19D2" w:rsidRPr="005C19D2" w:rsidRDefault="005C19D2" w:rsidP="005C19D2">
      <w:pPr>
        <w:spacing w:before="100" w:beforeAutospacing="1" w:after="100" w:afterAutospacing="1" w:line="240" w:lineRule="auto"/>
        <w:rPr>
          <w:rFonts w:ascii="Times New Roman" w:eastAsia="Times New Roman" w:hAnsi="Times New Roman" w:cs="Times New Roman"/>
          <w:sz w:val="24"/>
          <w:szCs w:val="24"/>
        </w:rPr>
      </w:pPr>
      <w:r w:rsidRPr="005C19D2">
        <w:rPr>
          <w:rFonts w:ascii="Times New Roman" w:eastAsia="Times New Roman" w:hAnsi="Times New Roman" w:cs="Times New Roman"/>
          <w:sz w:val="24"/>
          <w:szCs w:val="24"/>
        </w:rPr>
        <w:t xml:space="preserve">Because of its high fluorescence spectroscopic sensitivity, </w:t>
      </w:r>
      <w:proofErr w:type="spellStart"/>
      <w:r w:rsidRPr="005C19D2">
        <w:rPr>
          <w:rFonts w:ascii="Times New Roman" w:eastAsia="Times New Roman" w:hAnsi="Times New Roman" w:cs="Times New Roman"/>
          <w:sz w:val="24"/>
          <w:szCs w:val="24"/>
        </w:rPr>
        <w:t>sorbed</w:t>
      </w:r>
      <w:proofErr w:type="spellEnd"/>
      <w:r w:rsidRPr="005C19D2">
        <w:rPr>
          <w:rFonts w:ascii="Times New Roman" w:eastAsia="Times New Roman" w:hAnsi="Times New Roman" w:cs="Times New Roman"/>
          <w:sz w:val="24"/>
          <w:szCs w:val="24"/>
        </w:rPr>
        <w:t xml:space="preserve"> species of Cm can be studied on a molecular level at very low concentrations by TRLFS (e.g., Chung et al., 1998). Not only is Cm a good representative of the trivalent actinides as shown in Part 1 of this work (</w:t>
      </w:r>
      <w:proofErr w:type="spellStart"/>
      <w:r w:rsidRPr="005C19D2">
        <w:rPr>
          <w:rFonts w:ascii="Times New Roman" w:eastAsia="Times New Roman" w:hAnsi="Times New Roman" w:cs="Times New Roman"/>
          <w:sz w:val="24"/>
          <w:szCs w:val="24"/>
        </w:rPr>
        <w:t>Rabung</w:t>
      </w:r>
      <w:proofErr w:type="spellEnd"/>
      <w:r w:rsidRPr="005C19D2">
        <w:rPr>
          <w:rFonts w:ascii="Times New Roman" w:eastAsia="Times New Roman" w:hAnsi="Times New Roman" w:cs="Times New Roman"/>
          <w:sz w:val="24"/>
          <w:szCs w:val="24"/>
        </w:rPr>
        <w:t xml:space="preserve"> et al., 2005), but also allows comparisons with sorption measurements and modelling studies of trivalent rare earths such as Eu in a concentration region important in radioactive waste disposal and not readily accessible by other surface spectroscopic techniques. The ability to make measurements in the </w:t>
      </w:r>
      <w:proofErr w:type="spellStart"/>
      <w:r w:rsidRPr="005C19D2">
        <w:rPr>
          <w:rFonts w:ascii="Times New Roman" w:eastAsia="Times New Roman" w:hAnsi="Times New Roman" w:cs="Times New Roman"/>
          <w:sz w:val="24"/>
          <w:szCs w:val="24"/>
        </w:rPr>
        <w:lastRenderedPageBreak/>
        <w:t>submicromolar</w:t>
      </w:r>
      <w:proofErr w:type="spellEnd"/>
      <w:r w:rsidRPr="005C19D2">
        <w:rPr>
          <w:rFonts w:ascii="Times New Roman" w:eastAsia="Times New Roman" w:hAnsi="Times New Roman" w:cs="Times New Roman"/>
          <w:sz w:val="24"/>
          <w:szCs w:val="24"/>
        </w:rPr>
        <w:t xml:space="preserve"> region is particularly attractive because the sorption </w:t>
      </w:r>
      <w:proofErr w:type="spellStart"/>
      <w:r w:rsidRPr="005C19D2">
        <w:rPr>
          <w:rFonts w:ascii="Times New Roman" w:eastAsia="Times New Roman" w:hAnsi="Times New Roman" w:cs="Times New Roman"/>
          <w:sz w:val="24"/>
          <w:szCs w:val="24"/>
        </w:rPr>
        <w:t>behaviour</w:t>
      </w:r>
      <w:proofErr w:type="spellEnd"/>
      <w:r w:rsidRPr="005C19D2">
        <w:rPr>
          <w:rFonts w:ascii="Times New Roman" w:eastAsia="Times New Roman" w:hAnsi="Times New Roman" w:cs="Times New Roman"/>
          <w:sz w:val="24"/>
          <w:szCs w:val="24"/>
        </w:rPr>
        <w:t xml:space="preserve"> and modelling of Eu on two of the most abundant and important clay minerals in nature i.e., montmorillonite and </w:t>
      </w:r>
      <w:proofErr w:type="spellStart"/>
      <w:r w:rsidRPr="005C19D2">
        <w:rPr>
          <w:rFonts w:ascii="Times New Roman" w:eastAsia="Times New Roman" w:hAnsi="Times New Roman" w:cs="Times New Roman"/>
          <w:sz w:val="24"/>
          <w:szCs w:val="24"/>
        </w:rPr>
        <w:t>illite</w:t>
      </w:r>
      <w:proofErr w:type="spellEnd"/>
      <w:r w:rsidRPr="005C19D2">
        <w:rPr>
          <w:rFonts w:ascii="Times New Roman" w:eastAsia="Times New Roman" w:hAnsi="Times New Roman" w:cs="Times New Roman"/>
          <w:sz w:val="24"/>
          <w:szCs w:val="24"/>
        </w:rPr>
        <w:t xml:space="preserve">, is well established (Bradbury and </w:t>
      </w:r>
      <w:proofErr w:type="spellStart"/>
      <w:r w:rsidRPr="005C19D2">
        <w:rPr>
          <w:rFonts w:ascii="Times New Roman" w:eastAsia="Times New Roman" w:hAnsi="Times New Roman" w:cs="Times New Roman"/>
          <w:sz w:val="24"/>
          <w:szCs w:val="24"/>
        </w:rPr>
        <w:t>Baeyens</w:t>
      </w:r>
      <w:proofErr w:type="spellEnd"/>
      <w:r w:rsidRPr="005C19D2">
        <w:rPr>
          <w:rFonts w:ascii="Times New Roman" w:eastAsia="Times New Roman" w:hAnsi="Times New Roman" w:cs="Times New Roman"/>
          <w:sz w:val="24"/>
          <w:szCs w:val="24"/>
        </w:rPr>
        <w:t xml:space="preserve"> 2002, Bradbury and </w:t>
      </w:r>
      <w:proofErr w:type="spellStart"/>
      <w:r w:rsidRPr="005C19D2">
        <w:rPr>
          <w:rFonts w:ascii="Times New Roman" w:eastAsia="Times New Roman" w:hAnsi="Times New Roman" w:cs="Times New Roman"/>
          <w:sz w:val="24"/>
          <w:szCs w:val="24"/>
        </w:rPr>
        <w:t>Baeyens</w:t>
      </w:r>
      <w:proofErr w:type="spellEnd"/>
      <w:r w:rsidRPr="005C19D2">
        <w:rPr>
          <w:rFonts w:ascii="Times New Roman" w:eastAsia="Times New Roman" w:hAnsi="Times New Roman" w:cs="Times New Roman"/>
          <w:sz w:val="24"/>
          <w:szCs w:val="24"/>
        </w:rPr>
        <w:t xml:space="preserve"> 2005a).</w:t>
      </w:r>
    </w:p>
    <w:p w:rsidR="005C19D2" w:rsidRPr="005C19D2" w:rsidRDefault="005C19D2" w:rsidP="005C19D2">
      <w:pPr>
        <w:spacing w:before="100" w:beforeAutospacing="1" w:after="100" w:afterAutospacing="1" w:line="240" w:lineRule="auto"/>
        <w:rPr>
          <w:rFonts w:ascii="Times New Roman" w:eastAsia="Times New Roman" w:hAnsi="Times New Roman" w:cs="Times New Roman"/>
          <w:sz w:val="24"/>
          <w:szCs w:val="24"/>
        </w:rPr>
      </w:pPr>
      <w:r w:rsidRPr="005C19D2">
        <w:rPr>
          <w:rFonts w:ascii="Times New Roman" w:eastAsia="Times New Roman" w:hAnsi="Times New Roman" w:cs="Times New Roman"/>
          <w:sz w:val="24"/>
          <w:szCs w:val="24"/>
        </w:rPr>
        <w:t>The sorption edge data for Eu on conditioned and purified Ca-montmorillonite and Na-</w:t>
      </w:r>
      <w:proofErr w:type="spellStart"/>
      <w:r w:rsidRPr="005C19D2">
        <w:rPr>
          <w:rFonts w:ascii="Times New Roman" w:eastAsia="Times New Roman" w:hAnsi="Times New Roman" w:cs="Times New Roman"/>
          <w:sz w:val="24"/>
          <w:szCs w:val="24"/>
        </w:rPr>
        <w:t>illite</w:t>
      </w:r>
      <w:proofErr w:type="spellEnd"/>
      <w:r w:rsidRPr="005C19D2">
        <w:rPr>
          <w:rFonts w:ascii="Times New Roman" w:eastAsia="Times New Roman" w:hAnsi="Times New Roman" w:cs="Times New Roman"/>
          <w:sz w:val="24"/>
          <w:szCs w:val="24"/>
        </w:rPr>
        <w:t xml:space="preserve">, measured under </w:t>
      </w:r>
      <w:proofErr w:type="spellStart"/>
      <w:r w:rsidRPr="005C19D2">
        <w:rPr>
          <w:rFonts w:ascii="Times New Roman" w:eastAsia="Times New Roman" w:hAnsi="Times New Roman" w:cs="Times New Roman"/>
          <w:sz w:val="24"/>
          <w:szCs w:val="24"/>
        </w:rPr>
        <w:t>well defined</w:t>
      </w:r>
      <w:proofErr w:type="spellEnd"/>
      <w:r w:rsidRPr="005C19D2">
        <w:rPr>
          <w:rFonts w:ascii="Times New Roman" w:eastAsia="Times New Roman" w:hAnsi="Times New Roman" w:cs="Times New Roman"/>
          <w:sz w:val="24"/>
          <w:szCs w:val="24"/>
        </w:rPr>
        <w:t xml:space="preserve"> conditions, are modelled using a two site </w:t>
      </w:r>
      <w:proofErr w:type="spellStart"/>
      <w:r w:rsidRPr="005C19D2">
        <w:rPr>
          <w:rFonts w:ascii="Times New Roman" w:eastAsia="Times New Roman" w:hAnsi="Times New Roman" w:cs="Times New Roman"/>
          <w:sz w:val="24"/>
          <w:szCs w:val="24"/>
        </w:rPr>
        <w:t>protolysis</w:t>
      </w:r>
      <w:proofErr w:type="spellEnd"/>
      <w:r w:rsidRPr="005C19D2">
        <w:rPr>
          <w:rFonts w:ascii="Times New Roman" w:eastAsia="Times New Roman" w:hAnsi="Times New Roman" w:cs="Times New Roman"/>
          <w:sz w:val="24"/>
          <w:szCs w:val="24"/>
        </w:rPr>
        <w:t xml:space="preserve"> non electrostatic surface complexation/cation exchange (2SPNE SC/CE) model (Bradbury and </w:t>
      </w:r>
      <w:proofErr w:type="spellStart"/>
      <w:r w:rsidRPr="005C19D2">
        <w:rPr>
          <w:rFonts w:ascii="Times New Roman" w:eastAsia="Times New Roman" w:hAnsi="Times New Roman" w:cs="Times New Roman"/>
          <w:sz w:val="24"/>
          <w:szCs w:val="24"/>
        </w:rPr>
        <w:t>Baeyens</w:t>
      </w:r>
      <w:proofErr w:type="spellEnd"/>
      <w:r w:rsidRPr="005C19D2">
        <w:rPr>
          <w:rFonts w:ascii="Times New Roman" w:eastAsia="Times New Roman" w:hAnsi="Times New Roman" w:cs="Times New Roman"/>
          <w:sz w:val="24"/>
          <w:szCs w:val="24"/>
        </w:rPr>
        <w:t>, 1997). The predictions of the surface complexes and their pH regions of stability based on wet chemistry and modelling are then compared with TRLFS measurements of Cm loaded Ca-montmorillonite and Na-</w:t>
      </w:r>
      <w:proofErr w:type="spellStart"/>
      <w:r w:rsidRPr="005C19D2">
        <w:rPr>
          <w:rFonts w:ascii="Times New Roman" w:eastAsia="Times New Roman" w:hAnsi="Times New Roman" w:cs="Times New Roman"/>
          <w:sz w:val="24"/>
          <w:szCs w:val="24"/>
        </w:rPr>
        <w:t>illite</w:t>
      </w:r>
      <w:proofErr w:type="spellEnd"/>
      <w:r w:rsidRPr="005C19D2">
        <w:rPr>
          <w:rFonts w:ascii="Times New Roman" w:eastAsia="Times New Roman" w:hAnsi="Times New Roman" w:cs="Times New Roman"/>
          <w:sz w:val="24"/>
          <w:szCs w:val="24"/>
        </w:rPr>
        <w:t xml:space="preserve"> in the same background electrolytes as a function of </w:t>
      </w:r>
      <w:proofErr w:type="spellStart"/>
      <w:r w:rsidRPr="005C19D2">
        <w:rPr>
          <w:rFonts w:ascii="Times New Roman" w:eastAsia="Times New Roman" w:hAnsi="Times New Roman" w:cs="Times New Roman"/>
          <w:sz w:val="24"/>
          <w:szCs w:val="24"/>
        </w:rPr>
        <w:t>pH.</w:t>
      </w:r>
      <w:proofErr w:type="spellEnd"/>
      <w:r w:rsidRPr="005C19D2">
        <w:rPr>
          <w:rFonts w:ascii="Times New Roman" w:eastAsia="Times New Roman" w:hAnsi="Times New Roman" w:cs="Times New Roman"/>
          <w:sz w:val="24"/>
          <w:szCs w:val="24"/>
        </w:rPr>
        <w:t xml:space="preserve"> The TRLFS measurements are able to distinguish between different surface species and yield information on the hydration sphere about the Cm species </w:t>
      </w:r>
      <w:proofErr w:type="spellStart"/>
      <w:r w:rsidRPr="005C19D2">
        <w:rPr>
          <w:rFonts w:ascii="Times New Roman" w:eastAsia="Times New Roman" w:hAnsi="Times New Roman" w:cs="Times New Roman"/>
          <w:sz w:val="24"/>
          <w:szCs w:val="24"/>
        </w:rPr>
        <w:t>sorbed</w:t>
      </w:r>
      <w:proofErr w:type="spellEnd"/>
      <w:r w:rsidRPr="005C19D2">
        <w:rPr>
          <w:rFonts w:ascii="Times New Roman" w:eastAsia="Times New Roman" w:hAnsi="Times New Roman" w:cs="Times New Roman"/>
          <w:sz w:val="24"/>
          <w:szCs w:val="24"/>
        </w:rPr>
        <w:t xml:space="preserve"> on the surface. The idea is to compare and contrast the results from the two sources and to see whether a consistent picture for the sorption of Eu/Cm on montmorillonite and </w:t>
      </w:r>
      <w:proofErr w:type="spellStart"/>
      <w:r w:rsidRPr="005C19D2">
        <w:rPr>
          <w:rFonts w:ascii="Times New Roman" w:eastAsia="Times New Roman" w:hAnsi="Times New Roman" w:cs="Times New Roman"/>
          <w:sz w:val="24"/>
          <w:szCs w:val="24"/>
        </w:rPr>
        <w:t>illite</w:t>
      </w:r>
      <w:proofErr w:type="spellEnd"/>
      <w:r w:rsidRPr="005C19D2">
        <w:rPr>
          <w:rFonts w:ascii="Times New Roman" w:eastAsia="Times New Roman" w:hAnsi="Times New Roman" w:cs="Times New Roman"/>
          <w:sz w:val="24"/>
          <w:szCs w:val="24"/>
        </w:rPr>
        <w:t xml:space="preserve"> can be established. TRLFS experiments on Eu and Cm sorption on both clay minerals and their interpretation are described in detail in Part 1 of this work (</w:t>
      </w:r>
      <w:proofErr w:type="spellStart"/>
      <w:r w:rsidRPr="005C19D2">
        <w:rPr>
          <w:rFonts w:ascii="Times New Roman" w:eastAsia="Times New Roman" w:hAnsi="Times New Roman" w:cs="Times New Roman"/>
          <w:sz w:val="24"/>
          <w:szCs w:val="24"/>
        </w:rPr>
        <w:t>Rabung</w:t>
      </w:r>
      <w:proofErr w:type="spellEnd"/>
      <w:r w:rsidRPr="005C19D2">
        <w:rPr>
          <w:rFonts w:ascii="Times New Roman" w:eastAsia="Times New Roman" w:hAnsi="Times New Roman" w:cs="Times New Roman"/>
          <w:sz w:val="24"/>
          <w:szCs w:val="24"/>
        </w:rPr>
        <w:t xml:space="preserve"> et al., 2005). In this paper the pH dependent metal ion species distributions are discussed.</w:t>
      </w:r>
    </w:p>
    <w:p w:rsidR="005C19D2" w:rsidRPr="005C19D2" w:rsidRDefault="005C19D2" w:rsidP="005C19D2">
      <w:pPr>
        <w:spacing w:before="100" w:beforeAutospacing="1" w:after="100" w:afterAutospacing="1" w:line="240" w:lineRule="auto"/>
        <w:outlineLvl w:val="1"/>
        <w:rPr>
          <w:rFonts w:ascii="Times New Roman" w:eastAsia="Times New Roman" w:hAnsi="Times New Roman" w:cs="Times New Roman"/>
          <w:b/>
          <w:bCs/>
          <w:sz w:val="36"/>
          <w:szCs w:val="36"/>
        </w:rPr>
      </w:pPr>
      <w:r w:rsidRPr="005C19D2">
        <w:rPr>
          <w:rFonts w:ascii="Times New Roman" w:eastAsia="Times New Roman" w:hAnsi="Times New Roman" w:cs="Times New Roman"/>
          <w:b/>
          <w:bCs/>
          <w:sz w:val="36"/>
          <w:szCs w:val="36"/>
        </w:rPr>
        <w:t>Section snippets</w:t>
      </w:r>
    </w:p>
    <w:p w:rsidR="005C19D2" w:rsidRPr="005C19D2" w:rsidRDefault="005C19D2" w:rsidP="005C19D2">
      <w:pPr>
        <w:spacing w:before="100" w:beforeAutospacing="1" w:after="100" w:afterAutospacing="1" w:line="240" w:lineRule="auto"/>
        <w:outlineLvl w:val="1"/>
        <w:rPr>
          <w:rFonts w:ascii="Times New Roman" w:eastAsia="Times New Roman" w:hAnsi="Times New Roman" w:cs="Times New Roman"/>
          <w:b/>
          <w:bCs/>
          <w:sz w:val="36"/>
          <w:szCs w:val="36"/>
        </w:rPr>
      </w:pPr>
      <w:r w:rsidRPr="005C19D2">
        <w:rPr>
          <w:rFonts w:ascii="Times New Roman" w:eastAsia="Times New Roman" w:hAnsi="Times New Roman" w:cs="Times New Roman"/>
          <w:b/>
          <w:bCs/>
          <w:sz w:val="36"/>
          <w:szCs w:val="36"/>
        </w:rPr>
        <w:t>Model</w:t>
      </w:r>
    </w:p>
    <w:p w:rsidR="005C19D2" w:rsidRPr="005C19D2" w:rsidRDefault="005C19D2" w:rsidP="005C19D2">
      <w:pPr>
        <w:spacing w:before="100" w:beforeAutospacing="1" w:after="100" w:afterAutospacing="1" w:line="240" w:lineRule="auto"/>
        <w:rPr>
          <w:rFonts w:ascii="Times New Roman" w:eastAsia="Times New Roman" w:hAnsi="Times New Roman" w:cs="Times New Roman"/>
          <w:sz w:val="24"/>
          <w:szCs w:val="24"/>
        </w:rPr>
      </w:pPr>
      <w:r w:rsidRPr="005C19D2">
        <w:rPr>
          <w:rFonts w:ascii="Times New Roman" w:eastAsia="Times New Roman" w:hAnsi="Times New Roman" w:cs="Times New Roman"/>
          <w:sz w:val="24"/>
          <w:szCs w:val="24"/>
        </w:rPr>
        <w:t xml:space="preserve">The 2SPNE SC/CE model was used to model the uptake of Eu and Cm on the clay minerals montmorillonite and </w:t>
      </w:r>
      <w:proofErr w:type="spellStart"/>
      <w:r w:rsidRPr="005C19D2">
        <w:rPr>
          <w:rFonts w:ascii="Times New Roman" w:eastAsia="Times New Roman" w:hAnsi="Times New Roman" w:cs="Times New Roman"/>
          <w:sz w:val="24"/>
          <w:szCs w:val="24"/>
        </w:rPr>
        <w:t>illite</w:t>
      </w:r>
      <w:proofErr w:type="spellEnd"/>
      <w:r w:rsidRPr="005C19D2">
        <w:rPr>
          <w:rFonts w:ascii="Times New Roman" w:eastAsia="Times New Roman" w:hAnsi="Times New Roman" w:cs="Times New Roman"/>
          <w:sz w:val="24"/>
          <w:szCs w:val="24"/>
        </w:rPr>
        <w:t xml:space="preserve">. This model, and associated assumptions and simplifications, have been described and discussed in detail on a number of occasions elsewhere (Bradbury and </w:t>
      </w:r>
      <w:proofErr w:type="spellStart"/>
      <w:r w:rsidRPr="005C19D2">
        <w:rPr>
          <w:rFonts w:ascii="Times New Roman" w:eastAsia="Times New Roman" w:hAnsi="Times New Roman" w:cs="Times New Roman"/>
          <w:sz w:val="24"/>
          <w:szCs w:val="24"/>
        </w:rPr>
        <w:t>Baeyens</w:t>
      </w:r>
      <w:proofErr w:type="spellEnd"/>
      <w:r w:rsidRPr="005C19D2">
        <w:rPr>
          <w:rFonts w:ascii="Times New Roman" w:eastAsia="Times New Roman" w:hAnsi="Times New Roman" w:cs="Times New Roman"/>
          <w:sz w:val="24"/>
          <w:szCs w:val="24"/>
        </w:rPr>
        <w:t xml:space="preserve"> 1997, Bradbury and </w:t>
      </w:r>
      <w:proofErr w:type="spellStart"/>
      <w:r w:rsidRPr="005C19D2">
        <w:rPr>
          <w:rFonts w:ascii="Times New Roman" w:eastAsia="Times New Roman" w:hAnsi="Times New Roman" w:cs="Times New Roman"/>
          <w:sz w:val="24"/>
          <w:szCs w:val="24"/>
        </w:rPr>
        <w:t>Baeyens</w:t>
      </w:r>
      <w:proofErr w:type="spellEnd"/>
      <w:r w:rsidRPr="005C19D2">
        <w:rPr>
          <w:rFonts w:ascii="Times New Roman" w:eastAsia="Times New Roman" w:hAnsi="Times New Roman" w:cs="Times New Roman"/>
          <w:sz w:val="24"/>
          <w:szCs w:val="24"/>
        </w:rPr>
        <w:t xml:space="preserve"> 1999, Bradbury and </w:t>
      </w:r>
      <w:proofErr w:type="spellStart"/>
      <w:r w:rsidRPr="005C19D2">
        <w:rPr>
          <w:rFonts w:ascii="Times New Roman" w:eastAsia="Times New Roman" w:hAnsi="Times New Roman" w:cs="Times New Roman"/>
          <w:sz w:val="24"/>
          <w:szCs w:val="24"/>
        </w:rPr>
        <w:t>Baeyens</w:t>
      </w:r>
      <w:proofErr w:type="spellEnd"/>
      <w:r w:rsidRPr="005C19D2">
        <w:rPr>
          <w:rFonts w:ascii="Times New Roman" w:eastAsia="Times New Roman" w:hAnsi="Times New Roman" w:cs="Times New Roman"/>
          <w:sz w:val="24"/>
          <w:szCs w:val="24"/>
        </w:rPr>
        <w:t xml:space="preserve"> 2002).</w:t>
      </w:r>
    </w:p>
    <w:p w:rsidR="005C19D2" w:rsidRPr="005C19D2" w:rsidRDefault="005C19D2" w:rsidP="005C19D2">
      <w:pPr>
        <w:spacing w:before="100" w:beforeAutospacing="1" w:after="100" w:afterAutospacing="1" w:line="240" w:lineRule="auto"/>
        <w:rPr>
          <w:rFonts w:ascii="Times New Roman" w:eastAsia="Times New Roman" w:hAnsi="Times New Roman" w:cs="Times New Roman"/>
          <w:sz w:val="24"/>
          <w:szCs w:val="24"/>
        </w:rPr>
      </w:pPr>
      <w:r w:rsidRPr="005C19D2">
        <w:rPr>
          <w:rFonts w:ascii="Times New Roman" w:eastAsia="Times New Roman" w:hAnsi="Times New Roman" w:cs="Times New Roman"/>
          <w:sz w:val="24"/>
          <w:szCs w:val="24"/>
        </w:rPr>
        <w:t>Cation exchange reactions of trivalent free metal cations (An</w:t>
      </w:r>
      <w:r w:rsidRPr="005C19D2">
        <w:rPr>
          <w:rFonts w:ascii="Times New Roman" w:eastAsia="Times New Roman" w:hAnsi="Times New Roman" w:cs="Times New Roman"/>
          <w:sz w:val="24"/>
          <w:szCs w:val="24"/>
          <w:vertAlign w:val="superscript"/>
        </w:rPr>
        <w:t>3+</w:t>
      </w:r>
      <w:r w:rsidRPr="005C19D2">
        <w:rPr>
          <w:rFonts w:ascii="Times New Roman" w:eastAsia="Times New Roman" w:hAnsi="Times New Roman" w:cs="Times New Roman"/>
          <w:sz w:val="24"/>
          <w:szCs w:val="24"/>
        </w:rPr>
        <w:t xml:space="preserve">) on homo-ionic clay minerals in the Na or Ca forms can be written as: </w:t>
      </w:r>
    </w:p>
    <w:p w:rsidR="005C19D2" w:rsidRPr="005C19D2" w:rsidRDefault="005C19D2" w:rsidP="005C19D2">
      <w:pPr>
        <w:spacing w:before="100" w:beforeAutospacing="1" w:after="100" w:afterAutospacing="1" w:line="240" w:lineRule="auto"/>
        <w:outlineLvl w:val="1"/>
        <w:rPr>
          <w:rFonts w:ascii="Times New Roman" w:eastAsia="Times New Roman" w:hAnsi="Times New Roman" w:cs="Times New Roman"/>
          <w:b/>
          <w:bCs/>
          <w:sz w:val="36"/>
          <w:szCs w:val="36"/>
        </w:rPr>
      </w:pPr>
      <w:r w:rsidRPr="005C19D2">
        <w:rPr>
          <w:rFonts w:ascii="Times New Roman" w:eastAsia="Times New Roman" w:hAnsi="Times New Roman" w:cs="Times New Roman"/>
          <w:b/>
          <w:bCs/>
          <w:sz w:val="36"/>
          <w:szCs w:val="36"/>
        </w:rPr>
        <w:t>Results</w:t>
      </w:r>
    </w:p>
    <w:p w:rsidR="005C19D2" w:rsidRPr="005C19D2" w:rsidRDefault="005C19D2" w:rsidP="005C19D2">
      <w:pPr>
        <w:spacing w:before="100" w:beforeAutospacing="1" w:after="100" w:afterAutospacing="1" w:line="240" w:lineRule="auto"/>
        <w:rPr>
          <w:rFonts w:ascii="Times New Roman" w:eastAsia="Times New Roman" w:hAnsi="Times New Roman" w:cs="Times New Roman"/>
          <w:sz w:val="24"/>
          <w:szCs w:val="24"/>
        </w:rPr>
      </w:pPr>
      <w:r w:rsidRPr="005C19D2">
        <w:rPr>
          <w:rFonts w:ascii="Times New Roman" w:eastAsia="Times New Roman" w:hAnsi="Times New Roman" w:cs="Times New Roman"/>
          <w:sz w:val="24"/>
          <w:szCs w:val="24"/>
        </w:rPr>
        <w:t xml:space="preserve">Figures 1a and 1b show the uptake of Eu at trace concentrations as a function of pH on montmorillonite and </w:t>
      </w:r>
      <w:proofErr w:type="spellStart"/>
      <w:r w:rsidRPr="005C19D2">
        <w:rPr>
          <w:rFonts w:ascii="Times New Roman" w:eastAsia="Times New Roman" w:hAnsi="Times New Roman" w:cs="Times New Roman"/>
          <w:sz w:val="24"/>
          <w:szCs w:val="24"/>
        </w:rPr>
        <w:t>illite</w:t>
      </w:r>
      <w:proofErr w:type="spellEnd"/>
      <w:r w:rsidRPr="005C19D2">
        <w:rPr>
          <w:rFonts w:ascii="Times New Roman" w:eastAsia="Times New Roman" w:hAnsi="Times New Roman" w:cs="Times New Roman"/>
          <w:sz w:val="24"/>
          <w:szCs w:val="24"/>
        </w:rPr>
        <w:t xml:space="preserve"> respectively. (The experimental details are reported in Part 1 of this work, </w:t>
      </w:r>
      <w:proofErr w:type="spellStart"/>
      <w:r w:rsidRPr="005C19D2">
        <w:rPr>
          <w:rFonts w:ascii="Times New Roman" w:eastAsia="Times New Roman" w:hAnsi="Times New Roman" w:cs="Times New Roman"/>
          <w:sz w:val="24"/>
          <w:szCs w:val="24"/>
        </w:rPr>
        <w:t>Rabung</w:t>
      </w:r>
      <w:proofErr w:type="spellEnd"/>
      <w:r w:rsidRPr="005C19D2">
        <w:rPr>
          <w:rFonts w:ascii="Times New Roman" w:eastAsia="Times New Roman" w:hAnsi="Times New Roman" w:cs="Times New Roman"/>
          <w:sz w:val="24"/>
          <w:szCs w:val="24"/>
        </w:rPr>
        <w:t xml:space="preserve"> et al. 2005, and in Bradbury and </w:t>
      </w:r>
      <w:proofErr w:type="spellStart"/>
      <w:r w:rsidRPr="005C19D2">
        <w:rPr>
          <w:rFonts w:ascii="Times New Roman" w:eastAsia="Times New Roman" w:hAnsi="Times New Roman" w:cs="Times New Roman"/>
          <w:sz w:val="24"/>
          <w:szCs w:val="24"/>
        </w:rPr>
        <w:t>Baeyens</w:t>
      </w:r>
      <w:proofErr w:type="spellEnd"/>
      <w:r w:rsidRPr="005C19D2">
        <w:rPr>
          <w:rFonts w:ascii="Times New Roman" w:eastAsia="Times New Roman" w:hAnsi="Times New Roman" w:cs="Times New Roman"/>
          <w:sz w:val="24"/>
          <w:szCs w:val="24"/>
        </w:rPr>
        <w:t xml:space="preserve"> 2002, Bradbury and </w:t>
      </w:r>
      <w:proofErr w:type="spellStart"/>
      <w:r w:rsidRPr="005C19D2">
        <w:rPr>
          <w:rFonts w:ascii="Times New Roman" w:eastAsia="Times New Roman" w:hAnsi="Times New Roman" w:cs="Times New Roman"/>
          <w:sz w:val="24"/>
          <w:szCs w:val="24"/>
        </w:rPr>
        <w:t>Baeyens</w:t>
      </w:r>
      <w:proofErr w:type="spellEnd"/>
      <w:r w:rsidRPr="005C19D2">
        <w:rPr>
          <w:rFonts w:ascii="Times New Roman" w:eastAsia="Times New Roman" w:hAnsi="Times New Roman" w:cs="Times New Roman"/>
          <w:sz w:val="24"/>
          <w:szCs w:val="24"/>
        </w:rPr>
        <w:t xml:space="preserve"> 2005a). The measured sorption data are presented as symbols in the figures.</w:t>
      </w:r>
    </w:p>
    <w:p w:rsidR="005C19D2" w:rsidRPr="005C19D2" w:rsidRDefault="005C19D2" w:rsidP="005C19D2">
      <w:pPr>
        <w:spacing w:before="100" w:beforeAutospacing="1" w:after="100" w:afterAutospacing="1" w:line="240" w:lineRule="auto"/>
        <w:rPr>
          <w:rFonts w:ascii="Times New Roman" w:eastAsia="Times New Roman" w:hAnsi="Times New Roman" w:cs="Times New Roman"/>
          <w:sz w:val="24"/>
          <w:szCs w:val="24"/>
        </w:rPr>
      </w:pPr>
      <w:r w:rsidRPr="005C19D2">
        <w:rPr>
          <w:rFonts w:ascii="Times New Roman" w:eastAsia="Times New Roman" w:hAnsi="Times New Roman" w:cs="Times New Roman"/>
          <w:sz w:val="24"/>
          <w:szCs w:val="24"/>
        </w:rPr>
        <w:t>Both sets of measurements show a similar form, typical for sorption edges. At lower pH values the uptake is interpreted in terms of cation exchange (CE) on</w:t>
      </w:r>
    </w:p>
    <w:p w:rsidR="005C19D2" w:rsidRPr="005C19D2" w:rsidRDefault="005C19D2" w:rsidP="005C19D2">
      <w:pPr>
        <w:spacing w:before="100" w:beforeAutospacing="1" w:after="100" w:afterAutospacing="1" w:line="240" w:lineRule="auto"/>
        <w:outlineLvl w:val="1"/>
        <w:rPr>
          <w:rFonts w:ascii="Times New Roman" w:eastAsia="Times New Roman" w:hAnsi="Times New Roman" w:cs="Times New Roman"/>
          <w:b/>
          <w:bCs/>
          <w:sz w:val="36"/>
          <w:szCs w:val="36"/>
        </w:rPr>
      </w:pPr>
      <w:r w:rsidRPr="005C19D2">
        <w:rPr>
          <w:rFonts w:ascii="Times New Roman" w:eastAsia="Times New Roman" w:hAnsi="Times New Roman" w:cs="Times New Roman"/>
          <w:b/>
          <w:bCs/>
          <w:sz w:val="36"/>
          <w:szCs w:val="36"/>
        </w:rPr>
        <w:t>Comparison of modelling and TRLFS results</w:t>
      </w:r>
    </w:p>
    <w:p w:rsidR="005C19D2" w:rsidRPr="005C19D2" w:rsidRDefault="005C19D2" w:rsidP="005C19D2">
      <w:pPr>
        <w:spacing w:before="100" w:beforeAutospacing="1" w:after="100" w:afterAutospacing="1" w:line="240" w:lineRule="auto"/>
        <w:rPr>
          <w:rFonts w:ascii="Times New Roman" w:eastAsia="Times New Roman" w:hAnsi="Times New Roman" w:cs="Times New Roman"/>
          <w:sz w:val="24"/>
          <w:szCs w:val="24"/>
        </w:rPr>
      </w:pPr>
      <w:r w:rsidRPr="005C19D2">
        <w:rPr>
          <w:rFonts w:ascii="Times New Roman" w:eastAsia="Times New Roman" w:hAnsi="Times New Roman" w:cs="Times New Roman"/>
          <w:sz w:val="24"/>
          <w:szCs w:val="24"/>
        </w:rPr>
        <w:t xml:space="preserve">TRLFS measurements of Cm </w:t>
      </w:r>
      <w:proofErr w:type="spellStart"/>
      <w:r w:rsidRPr="005C19D2">
        <w:rPr>
          <w:rFonts w:ascii="Times New Roman" w:eastAsia="Times New Roman" w:hAnsi="Times New Roman" w:cs="Times New Roman"/>
          <w:sz w:val="24"/>
          <w:szCs w:val="24"/>
        </w:rPr>
        <w:t>sorbed</w:t>
      </w:r>
      <w:proofErr w:type="spellEnd"/>
      <w:r w:rsidRPr="005C19D2">
        <w:rPr>
          <w:rFonts w:ascii="Times New Roman" w:eastAsia="Times New Roman" w:hAnsi="Times New Roman" w:cs="Times New Roman"/>
          <w:sz w:val="24"/>
          <w:szCs w:val="24"/>
        </w:rPr>
        <w:t xml:space="preserve"> on to Ca-montmorillonite and Na-</w:t>
      </w:r>
      <w:proofErr w:type="spellStart"/>
      <w:r w:rsidRPr="005C19D2">
        <w:rPr>
          <w:rFonts w:ascii="Times New Roman" w:eastAsia="Times New Roman" w:hAnsi="Times New Roman" w:cs="Times New Roman"/>
          <w:sz w:val="24"/>
          <w:szCs w:val="24"/>
        </w:rPr>
        <w:t>illite</w:t>
      </w:r>
      <w:proofErr w:type="spellEnd"/>
      <w:r w:rsidRPr="005C19D2">
        <w:rPr>
          <w:rFonts w:ascii="Times New Roman" w:eastAsia="Times New Roman" w:hAnsi="Times New Roman" w:cs="Times New Roman"/>
          <w:sz w:val="24"/>
          <w:szCs w:val="24"/>
        </w:rPr>
        <w:t xml:space="preserve"> have been described in Part 1 of this work (</w:t>
      </w:r>
      <w:proofErr w:type="spellStart"/>
      <w:r w:rsidRPr="005C19D2">
        <w:rPr>
          <w:rFonts w:ascii="Times New Roman" w:eastAsia="Times New Roman" w:hAnsi="Times New Roman" w:cs="Times New Roman"/>
          <w:sz w:val="24"/>
          <w:szCs w:val="24"/>
        </w:rPr>
        <w:t>Rabung</w:t>
      </w:r>
      <w:proofErr w:type="spellEnd"/>
      <w:r w:rsidRPr="005C19D2">
        <w:rPr>
          <w:rFonts w:ascii="Times New Roman" w:eastAsia="Times New Roman" w:hAnsi="Times New Roman" w:cs="Times New Roman"/>
          <w:sz w:val="24"/>
          <w:szCs w:val="24"/>
        </w:rPr>
        <w:t xml:space="preserve"> et al., 2005). The fluorescence spectra of Cm are influenced by inner sphere complexation such that spectra measured as a function of pH exhibit a red shift with increasing pH accompanied by an increase in the fluorescence lifetime which provides information on the number of H</w:t>
      </w:r>
      <w:r w:rsidRPr="005C19D2">
        <w:rPr>
          <w:rFonts w:ascii="Times New Roman" w:eastAsia="Times New Roman" w:hAnsi="Times New Roman" w:cs="Times New Roman"/>
          <w:sz w:val="24"/>
          <w:szCs w:val="24"/>
          <w:vertAlign w:val="subscript"/>
        </w:rPr>
        <w:t>2</w:t>
      </w:r>
      <w:r w:rsidRPr="005C19D2">
        <w:rPr>
          <w:rFonts w:ascii="Times New Roman" w:eastAsia="Times New Roman" w:hAnsi="Times New Roman" w:cs="Times New Roman"/>
          <w:sz w:val="24"/>
          <w:szCs w:val="24"/>
        </w:rPr>
        <w:t>O molecules (or OH</w:t>
      </w:r>
      <w:r w:rsidRPr="005C19D2">
        <w:rPr>
          <w:rFonts w:ascii="Times New Roman" w:eastAsia="Times New Roman" w:hAnsi="Times New Roman" w:cs="Times New Roman"/>
          <w:sz w:val="24"/>
          <w:szCs w:val="24"/>
          <w:vertAlign w:val="superscript"/>
        </w:rPr>
        <w:t>−</w:t>
      </w:r>
      <w:r w:rsidRPr="005C19D2">
        <w:rPr>
          <w:rFonts w:ascii="Times New Roman" w:eastAsia="Times New Roman" w:hAnsi="Times New Roman" w:cs="Times New Roman"/>
          <w:sz w:val="24"/>
          <w:szCs w:val="24"/>
        </w:rPr>
        <w:t xml:space="preserve"> ions) in the first co-ordination sphere (</w:t>
      </w:r>
      <w:proofErr w:type="spellStart"/>
      <w:r w:rsidRPr="005C19D2">
        <w:rPr>
          <w:rFonts w:ascii="Times New Roman" w:eastAsia="Times New Roman" w:hAnsi="Times New Roman" w:cs="Times New Roman"/>
          <w:sz w:val="24"/>
          <w:szCs w:val="24"/>
        </w:rPr>
        <w:t>Rabung</w:t>
      </w:r>
      <w:proofErr w:type="spellEnd"/>
      <w:r w:rsidRPr="005C19D2">
        <w:rPr>
          <w:rFonts w:ascii="Times New Roman" w:eastAsia="Times New Roman" w:hAnsi="Times New Roman" w:cs="Times New Roman"/>
          <w:sz w:val="24"/>
          <w:szCs w:val="24"/>
        </w:rPr>
        <w:t xml:space="preserve"> et al., 2005 and references</w:t>
      </w:r>
    </w:p>
    <w:p w:rsidR="005C19D2" w:rsidRPr="005C19D2" w:rsidRDefault="005C19D2" w:rsidP="005C19D2">
      <w:pPr>
        <w:spacing w:before="100" w:beforeAutospacing="1" w:after="100" w:afterAutospacing="1" w:line="240" w:lineRule="auto"/>
        <w:outlineLvl w:val="1"/>
        <w:rPr>
          <w:rFonts w:ascii="Times New Roman" w:eastAsia="Times New Roman" w:hAnsi="Times New Roman" w:cs="Times New Roman"/>
          <w:b/>
          <w:bCs/>
          <w:sz w:val="36"/>
          <w:szCs w:val="36"/>
        </w:rPr>
      </w:pPr>
      <w:r w:rsidRPr="005C19D2">
        <w:rPr>
          <w:rFonts w:ascii="Times New Roman" w:eastAsia="Times New Roman" w:hAnsi="Times New Roman" w:cs="Times New Roman"/>
          <w:b/>
          <w:bCs/>
          <w:sz w:val="36"/>
          <w:szCs w:val="36"/>
        </w:rPr>
        <w:lastRenderedPageBreak/>
        <w:t>Summary and conclusions</w:t>
      </w:r>
    </w:p>
    <w:p w:rsidR="005C19D2" w:rsidRPr="005C19D2" w:rsidRDefault="005C19D2" w:rsidP="005C19D2">
      <w:pPr>
        <w:spacing w:before="100" w:beforeAutospacing="1" w:after="100" w:afterAutospacing="1" w:line="240" w:lineRule="auto"/>
        <w:rPr>
          <w:rFonts w:ascii="Times New Roman" w:eastAsia="Times New Roman" w:hAnsi="Times New Roman" w:cs="Times New Roman"/>
          <w:sz w:val="24"/>
          <w:szCs w:val="24"/>
        </w:rPr>
      </w:pPr>
      <w:r w:rsidRPr="005C19D2">
        <w:rPr>
          <w:rFonts w:ascii="Times New Roman" w:eastAsia="Times New Roman" w:hAnsi="Times New Roman" w:cs="Times New Roman"/>
          <w:sz w:val="24"/>
          <w:szCs w:val="24"/>
        </w:rPr>
        <w:t>The present work demonstrates that bringing together surface spectroscopic techniques, wet chemistry results and modelling, helps to pinpoint uncertainties in sorption model assumptions, and in the case of convergence, is able to strengthen the confidence in the modelling approach. It should be clearly noted that the agreement between modelling predictions and spectroscopic speciation results is surprisingly good. If we consider the assumptions made within the modelling approach, e.g.,</w:t>
      </w:r>
    </w:p>
    <w:p w:rsidR="005C19D2" w:rsidRPr="005C19D2" w:rsidRDefault="005C19D2" w:rsidP="005C19D2">
      <w:pPr>
        <w:spacing w:before="100" w:beforeAutospacing="1" w:after="100" w:afterAutospacing="1" w:line="240" w:lineRule="auto"/>
        <w:outlineLvl w:val="1"/>
        <w:rPr>
          <w:rFonts w:ascii="Times New Roman" w:eastAsia="Times New Roman" w:hAnsi="Times New Roman" w:cs="Times New Roman"/>
          <w:b/>
          <w:bCs/>
          <w:sz w:val="36"/>
          <w:szCs w:val="36"/>
        </w:rPr>
      </w:pPr>
      <w:r w:rsidRPr="005C19D2">
        <w:rPr>
          <w:rFonts w:ascii="Times New Roman" w:eastAsia="Times New Roman" w:hAnsi="Times New Roman" w:cs="Times New Roman"/>
          <w:b/>
          <w:bCs/>
          <w:sz w:val="36"/>
          <w:szCs w:val="36"/>
        </w:rPr>
        <w:t>Acknowledgments</w:t>
      </w:r>
    </w:p>
    <w:p w:rsidR="005C19D2" w:rsidRPr="005C19D2" w:rsidRDefault="005C19D2" w:rsidP="005C19D2">
      <w:pPr>
        <w:spacing w:before="100" w:beforeAutospacing="1" w:after="100" w:afterAutospacing="1" w:line="240" w:lineRule="auto"/>
        <w:rPr>
          <w:rFonts w:ascii="Times New Roman" w:eastAsia="Times New Roman" w:hAnsi="Times New Roman" w:cs="Times New Roman"/>
          <w:sz w:val="24"/>
          <w:szCs w:val="24"/>
        </w:rPr>
      </w:pPr>
      <w:r w:rsidRPr="005C19D2">
        <w:rPr>
          <w:rFonts w:ascii="Times New Roman" w:eastAsia="Times New Roman" w:hAnsi="Times New Roman" w:cs="Times New Roman"/>
          <w:sz w:val="24"/>
          <w:szCs w:val="24"/>
        </w:rPr>
        <w:t xml:space="preserve">Partial financial support was provided by </w:t>
      </w:r>
      <w:proofErr w:type="spellStart"/>
      <w:r w:rsidRPr="005C19D2">
        <w:rPr>
          <w:rFonts w:ascii="Times New Roman" w:eastAsia="Times New Roman" w:hAnsi="Times New Roman" w:cs="Times New Roman"/>
          <w:sz w:val="24"/>
          <w:szCs w:val="24"/>
        </w:rPr>
        <w:t>Nagra</w:t>
      </w:r>
      <w:proofErr w:type="spellEnd"/>
      <w:r w:rsidRPr="005C19D2">
        <w:rPr>
          <w:rFonts w:ascii="Times New Roman" w:eastAsia="Times New Roman" w:hAnsi="Times New Roman" w:cs="Times New Roman"/>
          <w:sz w:val="24"/>
          <w:szCs w:val="24"/>
        </w:rPr>
        <w:t xml:space="preserve"> and the European Commission within the Fifth Euratom Framework </w:t>
      </w:r>
      <w:proofErr w:type="spellStart"/>
      <w:r w:rsidRPr="005C19D2">
        <w:rPr>
          <w:rFonts w:ascii="Times New Roman" w:eastAsia="Times New Roman" w:hAnsi="Times New Roman" w:cs="Times New Roman"/>
          <w:sz w:val="24"/>
          <w:szCs w:val="24"/>
        </w:rPr>
        <w:t>Programme</w:t>
      </w:r>
      <w:proofErr w:type="spellEnd"/>
      <w:r w:rsidRPr="005C19D2">
        <w:rPr>
          <w:rFonts w:ascii="Times New Roman" w:eastAsia="Times New Roman" w:hAnsi="Times New Roman" w:cs="Times New Roman"/>
          <w:sz w:val="24"/>
          <w:szCs w:val="24"/>
        </w:rPr>
        <w:t>, ACTAF project (FIKW-CT-2000-00035).</w:t>
      </w:r>
    </w:p>
    <w:p w:rsidR="001A3E04" w:rsidRDefault="001A3E04"/>
    <w:sectPr w:rsidR="001A3E04">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9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C19D2"/>
    <w:rsid w:val="001A3E04"/>
    <w:rsid w:val="005C19D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E48668"/>
  <w15:chartTrackingRefBased/>
  <w15:docId w15:val="{06B59E89-7875-48F1-9FC2-F6311801FF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57381532">
      <w:bodyDiv w:val="1"/>
      <w:marLeft w:val="0"/>
      <w:marRight w:val="0"/>
      <w:marTop w:val="0"/>
      <w:marBottom w:val="0"/>
      <w:divBdr>
        <w:top w:val="none" w:sz="0" w:space="0" w:color="auto"/>
        <w:left w:val="none" w:sz="0" w:space="0" w:color="auto"/>
        <w:bottom w:val="none" w:sz="0" w:space="0" w:color="auto"/>
        <w:right w:val="none" w:sz="0" w:space="0" w:color="auto"/>
      </w:divBdr>
      <w:divsChild>
        <w:div w:id="1720323512">
          <w:marLeft w:val="0"/>
          <w:marRight w:val="0"/>
          <w:marTop w:val="0"/>
          <w:marBottom w:val="0"/>
          <w:divBdr>
            <w:top w:val="none" w:sz="0" w:space="0" w:color="auto"/>
            <w:left w:val="none" w:sz="0" w:space="0" w:color="auto"/>
            <w:bottom w:val="none" w:sz="0" w:space="0" w:color="auto"/>
            <w:right w:val="none" w:sz="0" w:space="0" w:color="auto"/>
          </w:divBdr>
          <w:divsChild>
            <w:div w:id="691954714">
              <w:marLeft w:val="0"/>
              <w:marRight w:val="0"/>
              <w:marTop w:val="0"/>
              <w:marBottom w:val="0"/>
              <w:divBdr>
                <w:top w:val="none" w:sz="0" w:space="0" w:color="auto"/>
                <w:left w:val="none" w:sz="0" w:space="0" w:color="auto"/>
                <w:bottom w:val="none" w:sz="0" w:space="0" w:color="auto"/>
                <w:right w:val="none" w:sz="0" w:space="0" w:color="auto"/>
              </w:divBdr>
              <w:divsChild>
                <w:div w:id="845052470">
                  <w:marLeft w:val="0"/>
                  <w:marRight w:val="0"/>
                  <w:marTop w:val="0"/>
                  <w:marBottom w:val="0"/>
                  <w:divBdr>
                    <w:top w:val="none" w:sz="0" w:space="0" w:color="auto"/>
                    <w:left w:val="none" w:sz="0" w:space="0" w:color="auto"/>
                    <w:bottom w:val="none" w:sz="0" w:space="0" w:color="auto"/>
                    <w:right w:val="none" w:sz="0" w:space="0" w:color="auto"/>
                  </w:divBdr>
                  <w:divsChild>
                    <w:div w:id="1904943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9553079">
          <w:marLeft w:val="0"/>
          <w:marRight w:val="0"/>
          <w:marTop w:val="0"/>
          <w:marBottom w:val="0"/>
          <w:divBdr>
            <w:top w:val="none" w:sz="0" w:space="0" w:color="auto"/>
            <w:left w:val="none" w:sz="0" w:space="0" w:color="auto"/>
            <w:bottom w:val="none" w:sz="0" w:space="0" w:color="auto"/>
            <w:right w:val="none" w:sz="0" w:space="0" w:color="auto"/>
          </w:divBdr>
          <w:divsChild>
            <w:div w:id="562452038">
              <w:marLeft w:val="0"/>
              <w:marRight w:val="0"/>
              <w:marTop w:val="0"/>
              <w:marBottom w:val="0"/>
              <w:divBdr>
                <w:top w:val="none" w:sz="0" w:space="0" w:color="auto"/>
                <w:left w:val="none" w:sz="0" w:space="0" w:color="auto"/>
                <w:bottom w:val="none" w:sz="0" w:space="0" w:color="auto"/>
                <w:right w:val="none" w:sz="0" w:space="0" w:color="auto"/>
              </w:divBdr>
              <w:divsChild>
                <w:div w:id="687175996">
                  <w:marLeft w:val="0"/>
                  <w:marRight w:val="0"/>
                  <w:marTop w:val="0"/>
                  <w:marBottom w:val="0"/>
                  <w:divBdr>
                    <w:top w:val="none" w:sz="0" w:space="0" w:color="auto"/>
                    <w:left w:val="none" w:sz="0" w:space="0" w:color="auto"/>
                    <w:bottom w:val="none" w:sz="0" w:space="0" w:color="auto"/>
                    <w:right w:val="none" w:sz="0" w:space="0" w:color="auto"/>
                  </w:divBdr>
                  <w:divsChild>
                    <w:div w:id="1347824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3325469">
          <w:marLeft w:val="0"/>
          <w:marRight w:val="0"/>
          <w:marTop w:val="0"/>
          <w:marBottom w:val="0"/>
          <w:divBdr>
            <w:top w:val="none" w:sz="0" w:space="0" w:color="auto"/>
            <w:left w:val="none" w:sz="0" w:space="0" w:color="auto"/>
            <w:bottom w:val="none" w:sz="0" w:space="0" w:color="auto"/>
            <w:right w:val="none" w:sz="0" w:space="0" w:color="auto"/>
          </w:divBdr>
          <w:divsChild>
            <w:div w:id="1050836356">
              <w:marLeft w:val="0"/>
              <w:marRight w:val="0"/>
              <w:marTop w:val="0"/>
              <w:marBottom w:val="0"/>
              <w:divBdr>
                <w:top w:val="none" w:sz="0" w:space="0" w:color="auto"/>
                <w:left w:val="none" w:sz="0" w:space="0" w:color="auto"/>
                <w:bottom w:val="none" w:sz="0" w:space="0" w:color="auto"/>
                <w:right w:val="none" w:sz="0" w:space="0" w:color="auto"/>
              </w:divBdr>
            </w:div>
          </w:divsChild>
        </w:div>
        <w:div w:id="2097314055">
          <w:marLeft w:val="0"/>
          <w:marRight w:val="0"/>
          <w:marTop w:val="0"/>
          <w:marBottom w:val="0"/>
          <w:divBdr>
            <w:top w:val="none" w:sz="0" w:space="0" w:color="auto"/>
            <w:left w:val="none" w:sz="0" w:space="0" w:color="auto"/>
            <w:bottom w:val="none" w:sz="0" w:space="0" w:color="auto"/>
            <w:right w:val="none" w:sz="0" w:space="0" w:color="auto"/>
          </w:divBdr>
          <w:divsChild>
            <w:div w:id="552933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sciencedirect.com/topics/earth-and-planetary-sciences/fluorescence-spectroscopy" TargetMode="External"/><Relationship Id="rId5" Type="http://schemas.openxmlformats.org/officeDocument/2006/relationships/hyperlink" Target="https://www.sciencedirect.com/topics/earth-and-planetary-sciences/sorption" TargetMode="External"/><Relationship Id="rId4" Type="http://schemas.openxmlformats.org/officeDocument/2006/relationships/hyperlink" Target="https://doi.org/10.1016/j.gca.2005.06.03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1714</Words>
  <Characters>9776</Characters>
  <Application>Microsoft Office Word</Application>
  <DocSecurity>0</DocSecurity>
  <Lines>81</Lines>
  <Paragraphs>22</Paragraphs>
  <ScaleCrop>false</ScaleCrop>
  <Company/>
  <LinksUpToDate>false</LinksUpToDate>
  <CharactersWithSpaces>11468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2023-12-23T00:37:00Z</dcterms:created>
  <dcterms:modified xsi:type="dcterms:W3CDTF">2023-12-23T00:38:00Z</dcterms:modified>
</cp:coreProperties>
</file>