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C6D1A" w:rsidRPr="000C6D1A" w:rsidRDefault="000C6D1A" w:rsidP="000C6D1A">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0C6D1A">
        <w:rPr>
          <w:rFonts w:ascii="Times New Roman" w:eastAsia="Times New Roman" w:hAnsi="Times New Roman" w:cs="Times New Roman"/>
          <w:b/>
          <w:bCs/>
          <w:kern w:val="36"/>
          <w:sz w:val="48"/>
          <w:szCs w:val="48"/>
        </w:rPr>
        <w:t>Molecular formulae of marine and terrigenous dissolved organic matter detected by electrospray ionization Fourier transform ion cyclotron resonance mass spectrometry</w:t>
      </w:r>
    </w:p>
    <w:p w:rsidR="000C6D1A" w:rsidRPr="000C6D1A" w:rsidRDefault="000C6D1A" w:rsidP="000C6D1A">
      <w:pPr>
        <w:spacing w:after="0" w:line="240" w:lineRule="auto"/>
        <w:rPr>
          <w:rFonts w:ascii="Times New Roman" w:eastAsia="Times New Roman" w:hAnsi="Times New Roman" w:cs="Times New Roman"/>
          <w:sz w:val="24"/>
          <w:szCs w:val="24"/>
        </w:rPr>
      </w:pPr>
      <w:r w:rsidRPr="000C6D1A">
        <w:rPr>
          <w:rFonts w:ascii="Times New Roman" w:eastAsia="Times New Roman" w:hAnsi="Times New Roman" w:cs="Times New Roman"/>
          <w:sz w:val="24"/>
          <w:szCs w:val="24"/>
        </w:rPr>
        <w:t>Author links open overlay panel</w:t>
      </w:r>
    </w:p>
    <w:p w:rsidR="000C6D1A" w:rsidRPr="000C6D1A" w:rsidRDefault="000C6D1A" w:rsidP="000C6D1A">
      <w:pPr>
        <w:spacing w:after="0" w:line="240" w:lineRule="auto"/>
        <w:rPr>
          <w:rFonts w:ascii="Times New Roman" w:eastAsia="Times New Roman" w:hAnsi="Times New Roman" w:cs="Times New Roman"/>
          <w:sz w:val="24"/>
          <w:szCs w:val="24"/>
        </w:rPr>
      </w:pPr>
      <w:r w:rsidRPr="000C6D1A">
        <w:rPr>
          <w:rFonts w:ascii="Times New Roman" w:eastAsia="Times New Roman" w:hAnsi="Times New Roman" w:cs="Times New Roman"/>
          <w:sz w:val="24"/>
          <w:szCs w:val="24"/>
        </w:rPr>
        <w:t xml:space="preserve">, , , , </w:t>
      </w:r>
    </w:p>
    <w:p w:rsidR="000C6D1A" w:rsidRPr="000C6D1A" w:rsidRDefault="000C6D1A" w:rsidP="000C6D1A">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0C6D1A">
          <w:rPr>
            <w:rFonts w:ascii="Times New Roman" w:eastAsia="Times New Roman" w:hAnsi="Times New Roman" w:cs="Times New Roman"/>
            <w:color w:val="0000FF"/>
            <w:sz w:val="24"/>
            <w:szCs w:val="24"/>
            <w:u w:val="single"/>
          </w:rPr>
          <w:t>https://doi.org/10.1016/j.gca.2005.02.027</w:t>
        </w:r>
      </w:hyperlink>
      <w:bookmarkStart w:id="0" w:name="_GoBack"/>
      <w:bookmarkEnd w:id="0"/>
      <w:r w:rsidRPr="000C6D1A">
        <w:rPr>
          <w:rFonts w:ascii="Times New Roman" w:eastAsia="Times New Roman" w:hAnsi="Times New Roman" w:cs="Times New Roman"/>
          <w:sz w:val="24"/>
          <w:szCs w:val="24"/>
        </w:rPr>
        <w:t xml:space="preserve"> </w:t>
      </w:r>
    </w:p>
    <w:p w:rsidR="000C6D1A" w:rsidRPr="000C6D1A" w:rsidRDefault="000C6D1A" w:rsidP="000C6D1A">
      <w:pPr>
        <w:spacing w:before="100" w:beforeAutospacing="1" w:after="100" w:afterAutospacing="1" w:line="240" w:lineRule="auto"/>
        <w:outlineLvl w:val="1"/>
        <w:rPr>
          <w:rFonts w:ascii="Times New Roman" w:eastAsia="Times New Roman" w:hAnsi="Times New Roman" w:cs="Times New Roman"/>
          <w:b/>
          <w:bCs/>
          <w:sz w:val="36"/>
          <w:szCs w:val="36"/>
        </w:rPr>
      </w:pPr>
      <w:r w:rsidRPr="000C6D1A">
        <w:rPr>
          <w:rFonts w:ascii="Times New Roman" w:eastAsia="Times New Roman" w:hAnsi="Times New Roman" w:cs="Times New Roman"/>
          <w:b/>
          <w:bCs/>
          <w:sz w:val="36"/>
          <w:szCs w:val="36"/>
        </w:rPr>
        <w:t>Abstract</w:t>
      </w:r>
    </w:p>
    <w:p w:rsidR="000C6D1A" w:rsidRPr="000C6D1A" w:rsidRDefault="000C6D1A" w:rsidP="000C6D1A">
      <w:pPr>
        <w:spacing w:before="100" w:beforeAutospacing="1" w:after="100" w:afterAutospacing="1" w:line="240" w:lineRule="auto"/>
        <w:rPr>
          <w:rFonts w:ascii="Times New Roman" w:eastAsia="Times New Roman" w:hAnsi="Times New Roman" w:cs="Times New Roman"/>
          <w:sz w:val="24"/>
          <w:szCs w:val="24"/>
        </w:rPr>
      </w:pPr>
      <w:r w:rsidRPr="000C6D1A">
        <w:rPr>
          <w:rFonts w:ascii="Times New Roman" w:eastAsia="Times New Roman" w:hAnsi="Times New Roman" w:cs="Times New Roman"/>
          <w:sz w:val="24"/>
          <w:szCs w:val="24"/>
        </w:rPr>
        <w:t xml:space="preserve">The chemical structure of refractory marine dissolved organic matter (DOM) is still largely unknown. Electrospray ionization Fourier transform ion </w:t>
      </w:r>
      <w:hyperlink r:id="rId5" w:tooltip="Learn more about cyclotron resonance from ScienceDirect's AI-generated Topic Pages" w:history="1">
        <w:r w:rsidRPr="000C6D1A">
          <w:rPr>
            <w:rFonts w:ascii="Times New Roman" w:eastAsia="Times New Roman" w:hAnsi="Times New Roman" w:cs="Times New Roman"/>
            <w:color w:val="0000FF"/>
            <w:sz w:val="24"/>
            <w:szCs w:val="24"/>
            <w:u w:val="single"/>
          </w:rPr>
          <w:t>cyclotron resonance</w:t>
        </w:r>
      </w:hyperlink>
      <w:r w:rsidRPr="000C6D1A">
        <w:rPr>
          <w:rFonts w:ascii="Times New Roman" w:eastAsia="Times New Roman" w:hAnsi="Times New Roman" w:cs="Times New Roman"/>
          <w:sz w:val="24"/>
          <w:szCs w:val="24"/>
        </w:rPr>
        <w:t xml:space="preserve"> mass spectrometry (ESI FT-ICR-MS) was used to resolve the complex mixtures of DOM and provide valuable information on elemental compositions on a molecular scale. We characterized and compared DOM from two sharply contrasting aquatic environments, algal-derived DOM from the Weddell Sea (Antarctica) and terrigenous DOM from </w:t>
      </w:r>
      <w:hyperlink r:id="rId6" w:tooltip="Learn more about pore water from ScienceDirect's AI-generated Topic Pages" w:history="1">
        <w:r w:rsidRPr="000C6D1A">
          <w:rPr>
            <w:rFonts w:ascii="Times New Roman" w:eastAsia="Times New Roman" w:hAnsi="Times New Roman" w:cs="Times New Roman"/>
            <w:color w:val="0000FF"/>
            <w:sz w:val="24"/>
            <w:szCs w:val="24"/>
            <w:u w:val="single"/>
          </w:rPr>
          <w:t>pore water</w:t>
        </w:r>
      </w:hyperlink>
      <w:r w:rsidRPr="000C6D1A">
        <w:rPr>
          <w:rFonts w:ascii="Times New Roman" w:eastAsia="Times New Roman" w:hAnsi="Times New Roman" w:cs="Times New Roman"/>
          <w:sz w:val="24"/>
          <w:szCs w:val="24"/>
        </w:rPr>
        <w:t xml:space="preserve"> of a tropical </w:t>
      </w:r>
      <w:hyperlink r:id="rId7" w:tooltip="Learn more about mangrove from ScienceDirect's AI-generated Topic Pages" w:history="1">
        <w:r w:rsidRPr="000C6D1A">
          <w:rPr>
            <w:rFonts w:ascii="Times New Roman" w:eastAsia="Times New Roman" w:hAnsi="Times New Roman" w:cs="Times New Roman"/>
            <w:color w:val="0000FF"/>
            <w:sz w:val="24"/>
            <w:szCs w:val="24"/>
            <w:u w:val="single"/>
          </w:rPr>
          <w:t>mangrove</w:t>
        </w:r>
      </w:hyperlink>
      <w:r w:rsidRPr="000C6D1A">
        <w:rPr>
          <w:rFonts w:ascii="Times New Roman" w:eastAsia="Times New Roman" w:hAnsi="Times New Roman" w:cs="Times New Roman"/>
          <w:sz w:val="24"/>
          <w:szCs w:val="24"/>
        </w:rPr>
        <w:t xml:space="preserve"> area in northern Brazil. Several thousand molecular formulas in the mass range of 300–600 Da were identified and reproduced in element ratio plots. On the basis of molecular elemental composition and double-bond equivalents (DBE) we calculated an average composition for marine DOM. O/C ratios in the marine samples were lower (0.36 ± 0.01) than in the mangrove pore-water sample (0.42). A small proportion of chemical formulas with higher molecular mass in the marine samples were characterized by very low O/C and H/C ratios probably reflecting amphiphilic properties. The average number of </w:t>
      </w:r>
      <w:proofErr w:type="spellStart"/>
      <w:r w:rsidRPr="000C6D1A">
        <w:rPr>
          <w:rFonts w:ascii="Times New Roman" w:eastAsia="Times New Roman" w:hAnsi="Times New Roman" w:cs="Times New Roman"/>
          <w:sz w:val="24"/>
          <w:szCs w:val="24"/>
        </w:rPr>
        <w:t>unsaturations</w:t>
      </w:r>
      <w:proofErr w:type="spellEnd"/>
      <w:r w:rsidRPr="000C6D1A">
        <w:rPr>
          <w:rFonts w:ascii="Times New Roman" w:eastAsia="Times New Roman" w:hAnsi="Times New Roman" w:cs="Times New Roman"/>
          <w:sz w:val="24"/>
          <w:szCs w:val="24"/>
        </w:rPr>
        <w:t xml:space="preserve"> in the marine samples was surprisingly high (DBE = 9.9; mangrove pore water: DBE = 9.4) most likely due to a significant contribution of carbonyl carbon. There was no significant difference in elemental composition between surface and deep-water DOM in the Weddell Sea. Although there were some molecules with unique marine elemental composition, there was a conspicuous degree of similarity between the terrigenous and algal-derived end members. Approximately one third of the molecular formulas were present in all marine as well as in the mangrove samples. We infer that different forms of microbial degradation ultimately lead to similar structural features that are intrinsically refractory, independent of the source of the organic matter and the environmental conditions where degradation took place.</w:t>
      </w:r>
    </w:p>
    <w:p w:rsidR="000C6D1A" w:rsidRPr="000C6D1A" w:rsidRDefault="000C6D1A" w:rsidP="000C6D1A">
      <w:pPr>
        <w:spacing w:before="100" w:beforeAutospacing="1" w:after="100" w:afterAutospacing="1" w:line="240" w:lineRule="auto"/>
        <w:outlineLvl w:val="1"/>
        <w:rPr>
          <w:rFonts w:ascii="Times New Roman" w:eastAsia="Times New Roman" w:hAnsi="Times New Roman" w:cs="Times New Roman"/>
          <w:b/>
          <w:bCs/>
          <w:sz w:val="36"/>
          <w:szCs w:val="36"/>
        </w:rPr>
      </w:pPr>
      <w:r w:rsidRPr="000C6D1A">
        <w:rPr>
          <w:rFonts w:ascii="Times New Roman" w:eastAsia="Times New Roman" w:hAnsi="Times New Roman" w:cs="Times New Roman"/>
          <w:b/>
          <w:bCs/>
          <w:sz w:val="36"/>
          <w:szCs w:val="36"/>
        </w:rPr>
        <w:t>Introduction</w:t>
      </w:r>
    </w:p>
    <w:p w:rsidR="000C6D1A" w:rsidRPr="000C6D1A" w:rsidRDefault="000C6D1A" w:rsidP="000C6D1A">
      <w:pPr>
        <w:spacing w:before="100" w:beforeAutospacing="1" w:after="100" w:afterAutospacing="1" w:line="240" w:lineRule="auto"/>
        <w:rPr>
          <w:rFonts w:ascii="Times New Roman" w:eastAsia="Times New Roman" w:hAnsi="Times New Roman" w:cs="Times New Roman"/>
          <w:sz w:val="24"/>
          <w:szCs w:val="24"/>
        </w:rPr>
      </w:pPr>
      <w:r w:rsidRPr="000C6D1A">
        <w:rPr>
          <w:rFonts w:ascii="Times New Roman" w:eastAsia="Times New Roman" w:hAnsi="Times New Roman" w:cs="Times New Roman"/>
          <w:sz w:val="24"/>
          <w:szCs w:val="24"/>
        </w:rPr>
        <w:t>Marine dissolved organic matter (DOM) represents one of the largest active pools of organic carbon in the global carbon cycle (Hedges, 1992). Its amount (700 × 10</w:t>
      </w:r>
      <w:r w:rsidRPr="000C6D1A">
        <w:rPr>
          <w:rFonts w:ascii="Times New Roman" w:eastAsia="Times New Roman" w:hAnsi="Times New Roman" w:cs="Times New Roman"/>
          <w:sz w:val="24"/>
          <w:szCs w:val="24"/>
          <w:vertAlign w:val="superscript"/>
        </w:rPr>
        <w:t>15</w:t>
      </w:r>
      <w:r w:rsidRPr="000C6D1A">
        <w:rPr>
          <w:rFonts w:ascii="Times New Roman" w:eastAsia="Times New Roman" w:hAnsi="Times New Roman" w:cs="Times New Roman"/>
          <w:sz w:val="24"/>
          <w:szCs w:val="24"/>
        </w:rPr>
        <w:t xml:space="preserve"> g C) is comparable to that of carbon in atmospheric CO</w:t>
      </w:r>
      <w:r w:rsidRPr="000C6D1A">
        <w:rPr>
          <w:rFonts w:ascii="Times New Roman" w:eastAsia="Times New Roman" w:hAnsi="Times New Roman" w:cs="Times New Roman"/>
          <w:sz w:val="24"/>
          <w:szCs w:val="24"/>
          <w:vertAlign w:val="subscript"/>
        </w:rPr>
        <w:t>2</w:t>
      </w:r>
      <w:r w:rsidRPr="000C6D1A">
        <w:rPr>
          <w:rFonts w:ascii="Times New Roman" w:eastAsia="Times New Roman" w:hAnsi="Times New Roman" w:cs="Times New Roman"/>
          <w:sz w:val="24"/>
          <w:szCs w:val="24"/>
        </w:rPr>
        <w:t xml:space="preserve"> (750 × 10</w:t>
      </w:r>
      <w:r w:rsidRPr="000C6D1A">
        <w:rPr>
          <w:rFonts w:ascii="Times New Roman" w:eastAsia="Times New Roman" w:hAnsi="Times New Roman" w:cs="Times New Roman"/>
          <w:sz w:val="24"/>
          <w:szCs w:val="24"/>
          <w:vertAlign w:val="superscript"/>
        </w:rPr>
        <w:t>15</w:t>
      </w:r>
      <w:r w:rsidRPr="000C6D1A">
        <w:rPr>
          <w:rFonts w:ascii="Times New Roman" w:eastAsia="Times New Roman" w:hAnsi="Times New Roman" w:cs="Times New Roman"/>
          <w:sz w:val="24"/>
          <w:szCs w:val="24"/>
        </w:rPr>
        <w:t xml:space="preserve"> g C). An annual net oxidation of 1% of dissolved organic carbon (DOC) would create a CO</w:t>
      </w:r>
      <w:r w:rsidRPr="000C6D1A">
        <w:rPr>
          <w:rFonts w:ascii="Times New Roman" w:eastAsia="Times New Roman" w:hAnsi="Times New Roman" w:cs="Times New Roman"/>
          <w:sz w:val="24"/>
          <w:szCs w:val="24"/>
          <w:vertAlign w:val="subscript"/>
        </w:rPr>
        <w:t>2</w:t>
      </w:r>
      <w:r w:rsidRPr="000C6D1A">
        <w:rPr>
          <w:rFonts w:ascii="Times New Roman" w:eastAsia="Times New Roman" w:hAnsi="Times New Roman" w:cs="Times New Roman"/>
          <w:sz w:val="24"/>
          <w:szCs w:val="24"/>
        </w:rPr>
        <w:t xml:space="preserve"> flux larger than the anthropogenic (fossil-fuel derived) flux (Hedges, 2002). Most of marine DOC (90%–95%) is present in the deep-sea and represents a refractory background with low concentrations of 35–45 </w:t>
      </w:r>
      <w:proofErr w:type="spellStart"/>
      <w:r w:rsidRPr="000C6D1A">
        <w:rPr>
          <w:rFonts w:ascii="Times New Roman" w:eastAsia="Times New Roman" w:hAnsi="Times New Roman" w:cs="Times New Roman"/>
          <w:sz w:val="24"/>
          <w:szCs w:val="24"/>
        </w:rPr>
        <w:t>μM</w:t>
      </w:r>
      <w:proofErr w:type="spellEnd"/>
      <w:r w:rsidRPr="000C6D1A">
        <w:rPr>
          <w:rFonts w:ascii="Times New Roman" w:eastAsia="Times New Roman" w:hAnsi="Times New Roman" w:cs="Times New Roman"/>
          <w:sz w:val="24"/>
          <w:szCs w:val="24"/>
        </w:rPr>
        <w:t xml:space="preserve"> DOC (e.g., </w:t>
      </w:r>
      <w:proofErr w:type="spellStart"/>
      <w:r w:rsidRPr="000C6D1A">
        <w:rPr>
          <w:rFonts w:ascii="Times New Roman" w:eastAsia="Times New Roman" w:hAnsi="Times New Roman" w:cs="Times New Roman"/>
          <w:sz w:val="24"/>
          <w:szCs w:val="24"/>
        </w:rPr>
        <w:t>Kähler</w:t>
      </w:r>
      <w:proofErr w:type="spellEnd"/>
      <w:r w:rsidRPr="000C6D1A">
        <w:rPr>
          <w:rFonts w:ascii="Times New Roman" w:eastAsia="Times New Roman" w:hAnsi="Times New Roman" w:cs="Times New Roman"/>
          <w:sz w:val="24"/>
          <w:szCs w:val="24"/>
        </w:rPr>
        <w:t xml:space="preserve"> et al 1997, Hopkinson et al 1997, Hansell and Carlson 1998, Ogawa et al 1999) and average residence times of several thousand years (Williams and </w:t>
      </w:r>
      <w:proofErr w:type="spellStart"/>
      <w:r w:rsidRPr="000C6D1A">
        <w:rPr>
          <w:rFonts w:ascii="Times New Roman" w:eastAsia="Times New Roman" w:hAnsi="Times New Roman" w:cs="Times New Roman"/>
          <w:sz w:val="24"/>
          <w:szCs w:val="24"/>
        </w:rPr>
        <w:t>Druffel</w:t>
      </w:r>
      <w:proofErr w:type="spellEnd"/>
      <w:r w:rsidRPr="000C6D1A">
        <w:rPr>
          <w:rFonts w:ascii="Times New Roman" w:eastAsia="Times New Roman" w:hAnsi="Times New Roman" w:cs="Times New Roman"/>
          <w:sz w:val="24"/>
          <w:szCs w:val="24"/>
        </w:rPr>
        <w:t xml:space="preserve">, 1987). Surface DOM in the ocean is characterized by higher DOC concentrations and significant proportions of more labile compounds (e.g., Hopkinson </w:t>
      </w:r>
      <w:r w:rsidRPr="000C6D1A">
        <w:rPr>
          <w:rFonts w:ascii="Times New Roman" w:eastAsia="Times New Roman" w:hAnsi="Times New Roman" w:cs="Times New Roman"/>
          <w:sz w:val="24"/>
          <w:szCs w:val="24"/>
        </w:rPr>
        <w:lastRenderedPageBreak/>
        <w:t>et al., 2002). Despite the importance of DOM, the composition, sources, diagenesis and preservation mechanisms are largely unknown and represent a missing link in models of global elemental cycles.</w:t>
      </w:r>
    </w:p>
    <w:p w:rsidR="000C6D1A" w:rsidRPr="000C6D1A" w:rsidRDefault="000C6D1A" w:rsidP="000C6D1A">
      <w:pPr>
        <w:spacing w:before="100" w:beforeAutospacing="1" w:after="100" w:afterAutospacing="1" w:line="240" w:lineRule="auto"/>
        <w:rPr>
          <w:rFonts w:ascii="Times New Roman" w:eastAsia="Times New Roman" w:hAnsi="Times New Roman" w:cs="Times New Roman"/>
          <w:sz w:val="24"/>
          <w:szCs w:val="24"/>
        </w:rPr>
      </w:pPr>
      <w:r w:rsidRPr="000C6D1A">
        <w:rPr>
          <w:rFonts w:ascii="Times New Roman" w:eastAsia="Times New Roman" w:hAnsi="Times New Roman" w:cs="Times New Roman"/>
          <w:sz w:val="24"/>
          <w:szCs w:val="24"/>
        </w:rPr>
        <w:t xml:space="preserve">The fate of terrestrial-derived DOM in the oceans is still a conundrum in organic geochemistry. Global discharge of riverine DOC is sufficient alone to sustain turnover of the entire pool of organic carbon dissolved in seawater (Williams and </w:t>
      </w:r>
      <w:proofErr w:type="spellStart"/>
      <w:r w:rsidRPr="000C6D1A">
        <w:rPr>
          <w:rFonts w:ascii="Times New Roman" w:eastAsia="Times New Roman" w:hAnsi="Times New Roman" w:cs="Times New Roman"/>
          <w:sz w:val="24"/>
          <w:szCs w:val="24"/>
        </w:rPr>
        <w:t>Druffel</w:t>
      </w:r>
      <w:proofErr w:type="spellEnd"/>
      <w:r w:rsidRPr="000C6D1A">
        <w:rPr>
          <w:rFonts w:ascii="Times New Roman" w:eastAsia="Times New Roman" w:hAnsi="Times New Roman" w:cs="Times New Roman"/>
          <w:sz w:val="24"/>
          <w:szCs w:val="24"/>
        </w:rPr>
        <w:t xml:space="preserve"> 1987, Hedges et al 1997). However, analyses of lignin phenols as unequivocal terrestrial markers suggest that probably only 0.7 to 2.4% of total DOM in the oceans is of terrigenous origin (</w:t>
      </w:r>
      <w:proofErr w:type="spellStart"/>
      <w:r w:rsidRPr="000C6D1A">
        <w:rPr>
          <w:rFonts w:ascii="Times New Roman" w:eastAsia="Times New Roman" w:hAnsi="Times New Roman" w:cs="Times New Roman"/>
          <w:sz w:val="24"/>
          <w:szCs w:val="24"/>
        </w:rPr>
        <w:t>Opsahl</w:t>
      </w:r>
      <w:proofErr w:type="spellEnd"/>
      <w:r w:rsidRPr="000C6D1A">
        <w:rPr>
          <w:rFonts w:ascii="Times New Roman" w:eastAsia="Times New Roman" w:hAnsi="Times New Roman" w:cs="Times New Roman"/>
          <w:sz w:val="24"/>
          <w:szCs w:val="24"/>
        </w:rPr>
        <w:t xml:space="preserve"> and Benner, 1997). Significant removal of terrigenous DOM via sorption to mineral particles and subsequent sedimentation is unlikely because the discharge of riverine particulate organic carbon alone is sufficient to account for all organic carbon preserved in marine sediments (Berner, 1989). While photodegradation is known to reduce aromaticity of terrestrial </w:t>
      </w:r>
      <w:proofErr w:type="spellStart"/>
      <w:r w:rsidRPr="000C6D1A">
        <w:rPr>
          <w:rFonts w:ascii="Times New Roman" w:eastAsia="Times New Roman" w:hAnsi="Times New Roman" w:cs="Times New Roman"/>
          <w:sz w:val="24"/>
          <w:szCs w:val="24"/>
        </w:rPr>
        <w:t>humic</w:t>
      </w:r>
      <w:proofErr w:type="spellEnd"/>
      <w:r w:rsidRPr="000C6D1A">
        <w:rPr>
          <w:rFonts w:ascii="Times New Roman" w:eastAsia="Times New Roman" w:hAnsi="Times New Roman" w:cs="Times New Roman"/>
          <w:sz w:val="24"/>
          <w:szCs w:val="24"/>
        </w:rPr>
        <w:t xml:space="preserve"> substances (e.g., </w:t>
      </w:r>
      <w:proofErr w:type="spellStart"/>
      <w:r w:rsidRPr="000C6D1A">
        <w:rPr>
          <w:rFonts w:ascii="Times New Roman" w:eastAsia="Times New Roman" w:hAnsi="Times New Roman" w:cs="Times New Roman"/>
          <w:sz w:val="24"/>
          <w:szCs w:val="24"/>
        </w:rPr>
        <w:t>Opsahl</w:t>
      </w:r>
      <w:proofErr w:type="spellEnd"/>
      <w:r w:rsidRPr="000C6D1A">
        <w:rPr>
          <w:rFonts w:ascii="Times New Roman" w:eastAsia="Times New Roman" w:hAnsi="Times New Roman" w:cs="Times New Roman"/>
          <w:sz w:val="24"/>
          <w:szCs w:val="24"/>
        </w:rPr>
        <w:t xml:space="preserve"> and Benner, 1998), this process alone cannot account for the almost complete loss of terrigenous compounds in the ocean (Hedges et al., 1992). It is possible that the disappearance of terrestrial DOC in the deep oceans might be due to some combined effects of photodegradation and efficient decomposition and reworking by marine microbes.</w:t>
      </w:r>
    </w:p>
    <w:p w:rsidR="000C6D1A" w:rsidRPr="000C6D1A" w:rsidRDefault="000C6D1A" w:rsidP="000C6D1A">
      <w:pPr>
        <w:spacing w:before="100" w:beforeAutospacing="1" w:after="100" w:afterAutospacing="1" w:line="240" w:lineRule="auto"/>
        <w:rPr>
          <w:rFonts w:ascii="Times New Roman" w:eastAsia="Times New Roman" w:hAnsi="Times New Roman" w:cs="Times New Roman"/>
          <w:sz w:val="24"/>
          <w:szCs w:val="24"/>
        </w:rPr>
      </w:pPr>
      <w:r w:rsidRPr="000C6D1A">
        <w:rPr>
          <w:rFonts w:ascii="Times New Roman" w:eastAsia="Times New Roman" w:hAnsi="Times New Roman" w:cs="Times New Roman"/>
          <w:sz w:val="24"/>
          <w:szCs w:val="24"/>
        </w:rPr>
        <w:t xml:space="preserve">The ultimate source of most DOM in the ocean is probably marine primary production. Ogawa et al. (2001) showed that marine bacteria themselves “produce” refractory DOM out of different simple substrates within days. This material persisted for more than 1 </w:t>
      </w:r>
      <w:proofErr w:type="spellStart"/>
      <w:r w:rsidRPr="000C6D1A">
        <w:rPr>
          <w:rFonts w:ascii="Times New Roman" w:eastAsia="Times New Roman" w:hAnsi="Times New Roman" w:cs="Times New Roman"/>
          <w:sz w:val="24"/>
          <w:szCs w:val="24"/>
        </w:rPr>
        <w:t>yr</w:t>
      </w:r>
      <w:proofErr w:type="spellEnd"/>
      <w:r w:rsidRPr="000C6D1A">
        <w:rPr>
          <w:rFonts w:ascii="Times New Roman" w:eastAsia="Times New Roman" w:hAnsi="Times New Roman" w:cs="Times New Roman"/>
          <w:sz w:val="24"/>
          <w:szCs w:val="24"/>
        </w:rPr>
        <w:t>, and only 10 to 15% of the DOM was identified as amino acids and sugars, the principal building blocks of freshly produced, labile DOM.</w:t>
      </w:r>
    </w:p>
    <w:p w:rsidR="000C6D1A" w:rsidRPr="000C6D1A" w:rsidRDefault="000C6D1A" w:rsidP="000C6D1A">
      <w:pPr>
        <w:spacing w:before="100" w:beforeAutospacing="1" w:after="100" w:afterAutospacing="1" w:line="240" w:lineRule="auto"/>
        <w:rPr>
          <w:rFonts w:ascii="Times New Roman" w:eastAsia="Times New Roman" w:hAnsi="Times New Roman" w:cs="Times New Roman"/>
          <w:sz w:val="24"/>
          <w:szCs w:val="24"/>
        </w:rPr>
      </w:pPr>
      <w:r w:rsidRPr="000C6D1A">
        <w:rPr>
          <w:rFonts w:ascii="Times New Roman" w:eastAsia="Times New Roman" w:hAnsi="Times New Roman" w:cs="Times New Roman"/>
          <w:sz w:val="24"/>
          <w:szCs w:val="24"/>
        </w:rPr>
        <w:t xml:space="preserve">The chemical identity of DOM can be the key to the most urgent questions regarding the cycling of DOM in the ocean. It is known that both seawater and freshwater </w:t>
      </w:r>
      <w:proofErr w:type="spellStart"/>
      <w:r w:rsidRPr="000C6D1A">
        <w:rPr>
          <w:rFonts w:ascii="Times New Roman" w:eastAsia="Times New Roman" w:hAnsi="Times New Roman" w:cs="Times New Roman"/>
          <w:sz w:val="24"/>
          <w:szCs w:val="24"/>
        </w:rPr>
        <w:t>humic</w:t>
      </w:r>
      <w:proofErr w:type="spellEnd"/>
      <w:r w:rsidRPr="000C6D1A">
        <w:rPr>
          <w:rFonts w:ascii="Times New Roman" w:eastAsia="Times New Roman" w:hAnsi="Times New Roman" w:cs="Times New Roman"/>
          <w:sz w:val="24"/>
          <w:szCs w:val="24"/>
        </w:rPr>
        <w:t xml:space="preserve"> substances have predominantly carboxyl and hydroxyl functional groups (Thurman, 1985) and that freshwater substances have higher aromatic contents and more phenolic hydroxyl groups. Molecular level characterization of DOM in original seawater is essentially restricted to carbohydrates (e.g., Benner et al 1992, </w:t>
      </w:r>
      <w:proofErr w:type="spellStart"/>
      <w:r w:rsidRPr="000C6D1A">
        <w:rPr>
          <w:rFonts w:ascii="Times New Roman" w:eastAsia="Times New Roman" w:hAnsi="Times New Roman" w:cs="Times New Roman"/>
          <w:sz w:val="24"/>
          <w:szCs w:val="24"/>
        </w:rPr>
        <w:t>Pakulski</w:t>
      </w:r>
      <w:proofErr w:type="spellEnd"/>
      <w:r w:rsidRPr="000C6D1A">
        <w:rPr>
          <w:rFonts w:ascii="Times New Roman" w:eastAsia="Times New Roman" w:hAnsi="Times New Roman" w:cs="Times New Roman"/>
          <w:sz w:val="24"/>
          <w:szCs w:val="24"/>
        </w:rPr>
        <w:t xml:space="preserve"> and Benner 1992), amino acids (e.g., </w:t>
      </w:r>
      <w:proofErr w:type="spellStart"/>
      <w:r w:rsidRPr="000C6D1A">
        <w:rPr>
          <w:rFonts w:ascii="Times New Roman" w:eastAsia="Times New Roman" w:hAnsi="Times New Roman" w:cs="Times New Roman"/>
          <w:sz w:val="24"/>
          <w:szCs w:val="24"/>
        </w:rPr>
        <w:t>Hubberten</w:t>
      </w:r>
      <w:proofErr w:type="spellEnd"/>
      <w:r w:rsidRPr="000C6D1A">
        <w:rPr>
          <w:rFonts w:ascii="Times New Roman" w:eastAsia="Times New Roman" w:hAnsi="Times New Roman" w:cs="Times New Roman"/>
          <w:sz w:val="24"/>
          <w:szCs w:val="24"/>
        </w:rPr>
        <w:t xml:space="preserve"> et al 1994, McCarthy et al 1998, Dittmar et al 2001a), lipids (e.g., </w:t>
      </w:r>
      <w:proofErr w:type="spellStart"/>
      <w:r w:rsidRPr="000C6D1A">
        <w:rPr>
          <w:rFonts w:ascii="Times New Roman" w:eastAsia="Times New Roman" w:hAnsi="Times New Roman" w:cs="Times New Roman"/>
          <w:sz w:val="24"/>
          <w:szCs w:val="24"/>
        </w:rPr>
        <w:t>Kennicutt</w:t>
      </w:r>
      <w:proofErr w:type="spellEnd"/>
      <w:r w:rsidRPr="000C6D1A">
        <w:rPr>
          <w:rFonts w:ascii="Times New Roman" w:eastAsia="Times New Roman" w:hAnsi="Times New Roman" w:cs="Times New Roman"/>
          <w:sz w:val="24"/>
          <w:szCs w:val="24"/>
        </w:rPr>
        <w:t xml:space="preserve"> and Jeffrey 1981, </w:t>
      </w:r>
      <w:proofErr w:type="spellStart"/>
      <w:r w:rsidRPr="000C6D1A">
        <w:rPr>
          <w:rFonts w:ascii="Times New Roman" w:eastAsia="Times New Roman" w:hAnsi="Times New Roman" w:cs="Times New Roman"/>
          <w:sz w:val="24"/>
          <w:szCs w:val="24"/>
        </w:rPr>
        <w:t>Kattner</w:t>
      </w:r>
      <w:proofErr w:type="spellEnd"/>
      <w:r w:rsidRPr="000C6D1A">
        <w:rPr>
          <w:rFonts w:ascii="Times New Roman" w:eastAsia="Times New Roman" w:hAnsi="Times New Roman" w:cs="Times New Roman"/>
          <w:sz w:val="24"/>
          <w:szCs w:val="24"/>
        </w:rPr>
        <w:t xml:space="preserve"> et al 1983) and </w:t>
      </w:r>
      <w:proofErr w:type="spellStart"/>
      <w:r w:rsidRPr="000C6D1A">
        <w:rPr>
          <w:rFonts w:ascii="Times New Roman" w:eastAsia="Times New Roman" w:hAnsi="Times New Roman" w:cs="Times New Roman"/>
          <w:sz w:val="24"/>
          <w:szCs w:val="24"/>
        </w:rPr>
        <w:t>aminosugars</w:t>
      </w:r>
      <w:proofErr w:type="spellEnd"/>
      <w:r w:rsidRPr="000C6D1A">
        <w:rPr>
          <w:rFonts w:ascii="Times New Roman" w:eastAsia="Times New Roman" w:hAnsi="Times New Roman" w:cs="Times New Roman"/>
          <w:sz w:val="24"/>
          <w:szCs w:val="24"/>
        </w:rPr>
        <w:t xml:space="preserve"> (Benner, 2002). Unfortunately, these compound classes usually represent less than 25% of the </w:t>
      </w:r>
      <w:proofErr w:type="gramStart"/>
      <w:r w:rsidRPr="000C6D1A">
        <w:rPr>
          <w:rFonts w:ascii="Times New Roman" w:eastAsia="Times New Roman" w:hAnsi="Times New Roman" w:cs="Times New Roman"/>
          <w:sz w:val="24"/>
          <w:szCs w:val="24"/>
        </w:rPr>
        <w:t>deep sea</w:t>
      </w:r>
      <w:proofErr w:type="gramEnd"/>
      <w:r w:rsidRPr="000C6D1A">
        <w:rPr>
          <w:rFonts w:ascii="Times New Roman" w:eastAsia="Times New Roman" w:hAnsi="Times New Roman" w:cs="Times New Roman"/>
          <w:sz w:val="24"/>
          <w:szCs w:val="24"/>
        </w:rPr>
        <w:t xml:space="preserve"> DOM (Hedges et al., 2000). Size exclusion chromatography (SEC) can provide bulk information on molecular size and polarity of seawater DOM (Dittmar and </w:t>
      </w:r>
      <w:proofErr w:type="spellStart"/>
      <w:r w:rsidRPr="000C6D1A">
        <w:rPr>
          <w:rFonts w:ascii="Times New Roman" w:eastAsia="Times New Roman" w:hAnsi="Times New Roman" w:cs="Times New Roman"/>
          <w:sz w:val="24"/>
          <w:szCs w:val="24"/>
        </w:rPr>
        <w:t>Kattner</w:t>
      </w:r>
      <w:proofErr w:type="spellEnd"/>
      <w:r w:rsidRPr="000C6D1A">
        <w:rPr>
          <w:rFonts w:ascii="Times New Roman" w:eastAsia="Times New Roman" w:hAnsi="Times New Roman" w:cs="Times New Roman"/>
          <w:sz w:val="24"/>
          <w:szCs w:val="24"/>
        </w:rPr>
        <w:t>, 2003b). Other data on molecular level characterization are obtained by the combination of analytical techniques with various methods of isolation and fractionation such as ultrafiltration and solid phase extraction (e.g., Benner et al 1992, Benner et al 2004, Lara and Thomas 1994, Minor et al 2002).</w:t>
      </w:r>
    </w:p>
    <w:p w:rsidR="000C6D1A" w:rsidRPr="000C6D1A" w:rsidRDefault="000C6D1A" w:rsidP="000C6D1A">
      <w:pPr>
        <w:spacing w:before="100" w:beforeAutospacing="1" w:after="100" w:afterAutospacing="1" w:line="240" w:lineRule="auto"/>
        <w:rPr>
          <w:rFonts w:ascii="Times New Roman" w:eastAsia="Times New Roman" w:hAnsi="Times New Roman" w:cs="Times New Roman"/>
          <w:sz w:val="24"/>
          <w:szCs w:val="24"/>
        </w:rPr>
      </w:pPr>
      <w:r w:rsidRPr="000C6D1A">
        <w:rPr>
          <w:rFonts w:ascii="Times New Roman" w:eastAsia="Times New Roman" w:hAnsi="Times New Roman" w:cs="Times New Roman"/>
          <w:sz w:val="24"/>
          <w:szCs w:val="24"/>
        </w:rPr>
        <w:t>Because of its very high mass resolving power and mass accuracy, Fourier transform ion cyclotron resonance mass spectrometry (FT-ICR-MS; Marshall et al., 1998) at high magnetic fields (&gt; 7 T) offers the promise for advanced chemical characterization of DOM (</w:t>
      </w:r>
      <w:proofErr w:type="spellStart"/>
      <w:r w:rsidRPr="000C6D1A">
        <w:rPr>
          <w:rFonts w:ascii="Times New Roman" w:eastAsia="Times New Roman" w:hAnsi="Times New Roman" w:cs="Times New Roman"/>
          <w:sz w:val="24"/>
          <w:szCs w:val="24"/>
        </w:rPr>
        <w:t>Kujawinski</w:t>
      </w:r>
      <w:proofErr w:type="spellEnd"/>
      <w:r w:rsidRPr="000C6D1A">
        <w:rPr>
          <w:rFonts w:ascii="Times New Roman" w:eastAsia="Times New Roman" w:hAnsi="Times New Roman" w:cs="Times New Roman"/>
          <w:sz w:val="24"/>
          <w:szCs w:val="24"/>
        </w:rPr>
        <w:t xml:space="preserve"> et al 2002, Stenson et al 2002). Mass resolution of &gt;200,000 and mass accuracies with uncertainties of &lt;1 ppm allow complete peak resolution in complex DOM mixtures without chromatographic separations. It has recently been shown by Stenson et al. (2003) that FT-ICR-MS is also suitable for obtaining new compositional information about </w:t>
      </w:r>
      <w:proofErr w:type="spellStart"/>
      <w:r w:rsidRPr="000C6D1A">
        <w:rPr>
          <w:rFonts w:ascii="Times New Roman" w:eastAsia="Times New Roman" w:hAnsi="Times New Roman" w:cs="Times New Roman"/>
          <w:sz w:val="24"/>
          <w:szCs w:val="24"/>
        </w:rPr>
        <w:t>limnic</w:t>
      </w:r>
      <w:proofErr w:type="spellEnd"/>
      <w:r w:rsidRPr="000C6D1A">
        <w:rPr>
          <w:rFonts w:ascii="Times New Roman" w:eastAsia="Times New Roman" w:hAnsi="Times New Roman" w:cs="Times New Roman"/>
          <w:sz w:val="24"/>
          <w:szCs w:val="24"/>
        </w:rPr>
        <w:t xml:space="preserve"> fulvic acids. On the basis of ultrahigh-resolved data, the authors calculated several thousand chemical formulas in the Suwannee River fulvic acid standard (SRFA) and demonstrated that these formulas can be sorted into homologous mass series. This results in new molecular information which can be displayed in element ratio plots (Kim et al., 2003a). Moreover, molecular atomic ratios provide information about the sum of double bonds and rings in each molecule (double-bond equivalents, DBE), especially in relation to the oxygen content.</w:t>
      </w:r>
    </w:p>
    <w:p w:rsidR="000C6D1A" w:rsidRPr="000C6D1A" w:rsidRDefault="000C6D1A" w:rsidP="000C6D1A">
      <w:pPr>
        <w:spacing w:before="100" w:beforeAutospacing="1" w:after="100" w:afterAutospacing="1" w:line="240" w:lineRule="auto"/>
        <w:rPr>
          <w:rFonts w:ascii="Times New Roman" w:eastAsia="Times New Roman" w:hAnsi="Times New Roman" w:cs="Times New Roman"/>
          <w:sz w:val="24"/>
          <w:szCs w:val="24"/>
        </w:rPr>
      </w:pPr>
      <w:r w:rsidRPr="000C6D1A">
        <w:rPr>
          <w:rFonts w:ascii="Times New Roman" w:eastAsia="Times New Roman" w:hAnsi="Times New Roman" w:cs="Times New Roman"/>
          <w:sz w:val="24"/>
          <w:szCs w:val="24"/>
        </w:rPr>
        <w:lastRenderedPageBreak/>
        <w:t xml:space="preserve">Despite the great potential of FT-ICR MS, marine samples have not been characterized to date by this technique. In this work we focus on the molecular composition of solid-phase extracted DOM from the Weddell Sea (Antarctica), a marine environment with almost no terrestrial input. These data are compared with the molecular composition of a terrestrial pore-water sample from the mangrove-fringed tropical coast of North Brazil. The Weddell Sea is an area of extensive </w:t>
      </w:r>
      <w:proofErr w:type="gramStart"/>
      <w:r w:rsidRPr="000C6D1A">
        <w:rPr>
          <w:rFonts w:ascii="Times New Roman" w:eastAsia="Times New Roman" w:hAnsi="Times New Roman" w:cs="Times New Roman"/>
          <w:sz w:val="24"/>
          <w:szCs w:val="24"/>
        </w:rPr>
        <w:t>deep water</w:t>
      </w:r>
      <w:proofErr w:type="gramEnd"/>
      <w:r w:rsidRPr="000C6D1A">
        <w:rPr>
          <w:rFonts w:ascii="Times New Roman" w:eastAsia="Times New Roman" w:hAnsi="Times New Roman" w:cs="Times New Roman"/>
          <w:sz w:val="24"/>
          <w:szCs w:val="24"/>
        </w:rPr>
        <w:t xml:space="preserve"> formation (e.g., </w:t>
      </w:r>
      <w:proofErr w:type="spellStart"/>
      <w:r w:rsidRPr="000C6D1A">
        <w:rPr>
          <w:rFonts w:ascii="Times New Roman" w:eastAsia="Times New Roman" w:hAnsi="Times New Roman" w:cs="Times New Roman"/>
          <w:sz w:val="24"/>
          <w:szCs w:val="24"/>
        </w:rPr>
        <w:t>Hoppema</w:t>
      </w:r>
      <w:proofErr w:type="spellEnd"/>
      <w:r w:rsidRPr="000C6D1A">
        <w:rPr>
          <w:rFonts w:ascii="Times New Roman" w:eastAsia="Times New Roman" w:hAnsi="Times New Roman" w:cs="Times New Roman"/>
          <w:sz w:val="24"/>
          <w:szCs w:val="24"/>
        </w:rPr>
        <w:t xml:space="preserve"> et al 1998, </w:t>
      </w:r>
      <w:proofErr w:type="spellStart"/>
      <w:r w:rsidRPr="000C6D1A">
        <w:rPr>
          <w:rFonts w:ascii="Times New Roman" w:eastAsia="Times New Roman" w:hAnsi="Times New Roman" w:cs="Times New Roman"/>
          <w:sz w:val="24"/>
          <w:szCs w:val="24"/>
        </w:rPr>
        <w:t>Orsi</w:t>
      </w:r>
      <w:proofErr w:type="spellEnd"/>
      <w:r w:rsidRPr="000C6D1A">
        <w:rPr>
          <w:rFonts w:ascii="Times New Roman" w:eastAsia="Times New Roman" w:hAnsi="Times New Roman" w:cs="Times New Roman"/>
          <w:sz w:val="24"/>
          <w:szCs w:val="24"/>
        </w:rPr>
        <w:t xml:space="preserve"> et al 1999) and represents a unique location to study the chemical properties of DOM formed by pure marine sources. It is minimally influenced by terrestrial organic matter due to the lack of aeolian or riverine influx, and the Antarctic Circumpolar Current prevents surface water transport from other areas. The organic matter inventories of the North Brazilian coast, on the other hand, are dominated by terrigenous input, primarily of mangrove origin (Dittmar et al., 2001b). DOM in pore water of the mangrove sediments is mostly derived from terrestrial sources (litter from mangrove trees) although at the same time it is formed under marine conditions, in terms of salinity and </w:t>
      </w:r>
      <w:proofErr w:type="spellStart"/>
      <w:r w:rsidRPr="000C6D1A">
        <w:rPr>
          <w:rFonts w:ascii="Times New Roman" w:eastAsia="Times New Roman" w:hAnsi="Times New Roman" w:cs="Times New Roman"/>
          <w:sz w:val="24"/>
          <w:szCs w:val="24"/>
        </w:rPr>
        <w:t>pH.</w:t>
      </w:r>
      <w:proofErr w:type="spellEnd"/>
      <w:r w:rsidRPr="000C6D1A">
        <w:rPr>
          <w:rFonts w:ascii="Times New Roman" w:eastAsia="Times New Roman" w:hAnsi="Times New Roman" w:cs="Times New Roman"/>
          <w:sz w:val="24"/>
          <w:szCs w:val="24"/>
        </w:rPr>
        <w:t xml:space="preserve"> It has been shown that pH and ionic strength have strong influence on the properties of DOM (e.g., </w:t>
      </w:r>
      <w:proofErr w:type="spellStart"/>
      <w:r w:rsidRPr="000C6D1A">
        <w:rPr>
          <w:rFonts w:ascii="Times New Roman" w:eastAsia="Times New Roman" w:hAnsi="Times New Roman" w:cs="Times New Roman"/>
          <w:sz w:val="24"/>
          <w:szCs w:val="24"/>
        </w:rPr>
        <w:t>Engebretson</w:t>
      </w:r>
      <w:proofErr w:type="spellEnd"/>
      <w:r w:rsidRPr="000C6D1A">
        <w:rPr>
          <w:rFonts w:ascii="Times New Roman" w:eastAsia="Times New Roman" w:hAnsi="Times New Roman" w:cs="Times New Roman"/>
          <w:sz w:val="24"/>
          <w:szCs w:val="24"/>
        </w:rPr>
        <w:t xml:space="preserve"> and Von </w:t>
      </w:r>
      <w:proofErr w:type="spellStart"/>
      <w:r w:rsidRPr="000C6D1A">
        <w:rPr>
          <w:rFonts w:ascii="Times New Roman" w:eastAsia="Times New Roman" w:hAnsi="Times New Roman" w:cs="Times New Roman"/>
          <w:sz w:val="24"/>
          <w:szCs w:val="24"/>
        </w:rPr>
        <w:t>Wandruszka</w:t>
      </w:r>
      <w:proofErr w:type="spellEnd"/>
      <w:r w:rsidRPr="000C6D1A">
        <w:rPr>
          <w:rFonts w:ascii="Times New Roman" w:eastAsia="Times New Roman" w:hAnsi="Times New Roman" w:cs="Times New Roman"/>
          <w:sz w:val="24"/>
          <w:szCs w:val="24"/>
        </w:rPr>
        <w:t>, 1994). Therefore, these two saline locations provide unique sources and are most favorable for molecular-level comparison of terrestrial and marine DOM.</w:t>
      </w:r>
    </w:p>
    <w:p w:rsidR="000C6D1A" w:rsidRPr="000C6D1A" w:rsidRDefault="000C6D1A" w:rsidP="000C6D1A">
      <w:pPr>
        <w:spacing w:before="100" w:beforeAutospacing="1" w:after="100" w:afterAutospacing="1" w:line="240" w:lineRule="auto"/>
        <w:rPr>
          <w:rFonts w:ascii="Times New Roman" w:eastAsia="Times New Roman" w:hAnsi="Times New Roman" w:cs="Times New Roman"/>
          <w:sz w:val="24"/>
          <w:szCs w:val="24"/>
        </w:rPr>
      </w:pPr>
      <w:r w:rsidRPr="000C6D1A">
        <w:rPr>
          <w:rFonts w:ascii="Times New Roman" w:eastAsia="Times New Roman" w:hAnsi="Times New Roman" w:cs="Times New Roman"/>
          <w:sz w:val="24"/>
          <w:szCs w:val="24"/>
        </w:rPr>
        <w:t>In the present study we applied ultrahigh-resolution mass spectrometry to DOM from these contrasting sources, to identify their major characteristics on a molecular level. Molecular differences or similarities may reveal important information on sources, formation processes and the nature of refractory marine DOM which cannot be obtained by conventional analytical techniques.</w:t>
      </w:r>
    </w:p>
    <w:p w:rsidR="000C6D1A" w:rsidRPr="000C6D1A" w:rsidRDefault="000C6D1A" w:rsidP="000C6D1A">
      <w:pPr>
        <w:spacing w:before="100" w:beforeAutospacing="1" w:after="100" w:afterAutospacing="1" w:line="240" w:lineRule="auto"/>
        <w:outlineLvl w:val="1"/>
        <w:rPr>
          <w:rFonts w:ascii="Times New Roman" w:eastAsia="Times New Roman" w:hAnsi="Times New Roman" w:cs="Times New Roman"/>
          <w:b/>
          <w:bCs/>
          <w:sz w:val="36"/>
          <w:szCs w:val="36"/>
        </w:rPr>
      </w:pPr>
      <w:r w:rsidRPr="000C6D1A">
        <w:rPr>
          <w:rFonts w:ascii="Times New Roman" w:eastAsia="Times New Roman" w:hAnsi="Times New Roman" w:cs="Times New Roman"/>
          <w:b/>
          <w:bCs/>
          <w:sz w:val="36"/>
          <w:szCs w:val="36"/>
        </w:rPr>
        <w:t>Section snippets</w:t>
      </w:r>
    </w:p>
    <w:p w:rsidR="000C6D1A" w:rsidRPr="000C6D1A" w:rsidRDefault="000C6D1A" w:rsidP="000C6D1A">
      <w:pPr>
        <w:spacing w:before="100" w:beforeAutospacing="1" w:after="100" w:afterAutospacing="1" w:line="240" w:lineRule="auto"/>
        <w:outlineLvl w:val="1"/>
        <w:rPr>
          <w:rFonts w:ascii="Times New Roman" w:eastAsia="Times New Roman" w:hAnsi="Times New Roman" w:cs="Times New Roman"/>
          <w:b/>
          <w:bCs/>
          <w:sz w:val="36"/>
          <w:szCs w:val="36"/>
        </w:rPr>
      </w:pPr>
      <w:r w:rsidRPr="000C6D1A">
        <w:rPr>
          <w:rFonts w:ascii="Times New Roman" w:eastAsia="Times New Roman" w:hAnsi="Times New Roman" w:cs="Times New Roman"/>
          <w:b/>
          <w:bCs/>
          <w:sz w:val="36"/>
          <w:szCs w:val="36"/>
        </w:rPr>
        <w:t>Sampling</w:t>
      </w:r>
    </w:p>
    <w:p w:rsidR="000C6D1A" w:rsidRPr="000C6D1A" w:rsidRDefault="000C6D1A" w:rsidP="000C6D1A">
      <w:pPr>
        <w:spacing w:before="100" w:beforeAutospacing="1" w:after="100" w:afterAutospacing="1" w:line="240" w:lineRule="auto"/>
        <w:rPr>
          <w:rFonts w:ascii="Times New Roman" w:eastAsia="Times New Roman" w:hAnsi="Times New Roman" w:cs="Times New Roman"/>
          <w:sz w:val="24"/>
          <w:szCs w:val="24"/>
        </w:rPr>
      </w:pPr>
      <w:r w:rsidRPr="000C6D1A">
        <w:rPr>
          <w:rFonts w:ascii="Times New Roman" w:eastAsia="Times New Roman" w:hAnsi="Times New Roman" w:cs="Times New Roman"/>
          <w:sz w:val="24"/>
          <w:szCs w:val="24"/>
        </w:rPr>
        <w:t xml:space="preserve">Antarctic sea water was sampled from a rosette sampler connected to a CTD during the expedition ANT XIX/2 of R/V </w:t>
      </w:r>
      <w:proofErr w:type="spellStart"/>
      <w:r w:rsidRPr="000C6D1A">
        <w:rPr>
          <w:rFonts w:ascii="Times New Roman" w:eastAsia="Times New Roman" w:hAnsi="Times New Roman" w:cs="Times New Roman"/>
          <w:i/>
          <w:iCs/>
          <w:sz w:val="24"/>
          <w:szCs w:val="24"/>
        </w:rPr>
        <w:t>Polarstern</w:t>
      </w:r>
      <w:proofErr w:type="spellEnd"/>
      <w:r w:rsidRPr="000C6D1A">
        <w:rPr>
          <w:rFonts w:ascii="Times New Roman" w:eastAsia="Times New Roman" w:hAnsi="Times New Roman" w:cs="Times New Roman"/>
          <w:sz w:val="24"/>
          <w:szCs w:val="24"/>
        </w:rPr>
        <w:t xml:space="preserve"> in the central and western Weddell Sea. Sampling sites were located on a transect at 69°S at longitudes between 3.7°W and 47.9°W (Fig. 1). Ice cover during this early austral summer was generally moderate.</w:t>
      </w:r>
    </w:p>
    <w:p w:rsidR="000C6D1A" w:rsidRPr="000C6D1A" w:rsidRDefault="000C6D1A" w:rsidP="000C6D1A">
      <w:pPr>
        <w:spacing w:before="100" w:beforeAutospacing="1" w:after="100" w:afterAutospacing="1" w:line="240" w:lineRule="auto"/>
        <w:rPr>
          <w:rFonts w:ascii="Times New Roman" w:eastAsia="Times New Roman" w:hAnsi="Times New Roman" w:cs="Times New Roman"/>
          <w:sz w:val="24"/>
          <w:szCs w:val="24"/>
        </w:rPr>
      </w:pPr>
      <w:r w:rsidRPr="000C6D1A">
        <w:rPr>
          <w:rFonts w:ascii="Times New Roman" w:eastAsia="Times New Roman" w:hAnsi="Times New Roman" w:cs="Times New Roman"/>
          <w:sz w:val="24"/>
          <w:szCs w:val="24"/>
        </w:rPr>
        <w:t xml:space="preserve">Mangrove pore water was sampled from mangroves at the </w:t>
      </w:r>
      <w:proofErr w:type="spellStart"/>
      <w:r w:rsidRPr="000C6D1A">
        <w:rPr>
          <w:rFonts w:ascii="Times New Roman" w:eastAsia="Times New Roman" w:hAnsi="Times New Roman" w:cs="Times New Roman"/>
          <w:sz w:val="24"/>
          <w:szCs w:val="24"/>
        </w:rPr>
        <w:t>Caeté</w:t>
      </w:r>
      <w:proofErr w:type="spellEnd"/>
      <w:r w:rsidRPr="000C6D1A">
        <w:rPr>
          <w:rFonts w:ascii="Times New Roman" w:eastAsia="Times New Roman" w:hAnsi="Times New Roman" w:cs="Times New Roman"/>
          <w:sz w:val="24"/>
          <w:szCs w:val="24"/>
        </w:rPr>
        <w:t xml:space="preserve"> Estuary, near the town of </w:t>
      </w:r>
      <w:proofErr w:type="spellStart"/>
      <w:r w:rsidRPr="000C6D1A">
        <w:rPr>
          <w:rFonts w:ascii="Times New Roman" w:eastAsia="Times New Roman" w:hAnsi="Times New Roman" w:cs="Times New Roman"/>
          <w:sz w:val="24"/>
          <w:szCs w:val="24"/>
        </w:rPr>
        <w:t>Bragança</w:t>
      </w:r>
      <w:proofErr w:type="spellEnd"/>
      <w:r w:rsidRPr="000C6D1A">
        <w:rPr>
          <w:rFonts w:ascii="Times New Roman" w:eastAsia="Times New Roman" w:hAnsi="Times New Roman" w:cs="Times New Roman"/>
          <w:sz w:val="24"/>
          <w:szCs w:val="24"/>
        </w:rPr>
        <w:t xml:space="preserve"> in Northern Brazil (0.9°S, 46.7°W; Fig. 1). This mangrove forest (</w:t>
      </w:r>
    </w:p>
    <w:p w:rsidR="000C6D1A" w:rsidRPr="000C6D1A" w:rsidRDefault="000C6D1A" w:rsidP="000C6D1A">
      <w:pPr>
        <w:spacing w:before="100" w:beforeAutospacing="1" w:after="100" w:afterAutospacing="1" w:line="240" w:lineRule="auto"/>
        <w:outlineLvl w:val="1"/>
        <w:rPr>
          <w:rFonts w:ascii="Times New Roman" w:eastAsia="Times New Roman" w:hAnsi="Times New Roman" w:cs="Times New Roman"/>
          <w:b/>
          <w:bCs/>
          <w:sz w:val="36"/>
          <w:szCs w:val="36"/>
        </w:rPr>
      </w:pPr>
      <w:r w:rsidRPr="000C6D1A">
        <w:rPr>
          <w:rFonts w:ascii="Times New Roman" w:eastAsia="Times New Roman" w:hAnsi="Times New Roman" w:cs="Times New Roman"/>
          <w:b/>
          <w:bCs/>
          <w:sz w:val="36"/>
          <w:szCs w:val="36"/>
        </w:rPr>
        <w:t>Properties of C18-extracted DOM in Electrospray Ionization FT-ICR-MS</w:t>
      </w:r>
    </w:p>
    <w:p w:rsidR="000C6D1A" w:rsidRPr="000C6D1A" w:rsidRDefault="000C6D1A" w:rsidP="000C6D1A">
      <w:pPr>
        <w:spacing w:before="100" w:beforeAutospacing="1" w:after="100" w:afterAutospacing="1" w:line="240" w:lineRule="auto"/>
        <w:rPr>
          <w:rFonts w:ascii="Times New Roman" w:eastAsia="Times New Roman" w:hAnsi="Times New Roman" w:cs="Times New Roman"/>
          <w:sz w:val="24"/>
          <w:szCs w:val="24"/>
        </w:rPr>
      </w:pPr>
      <w:r w:rsidRPr="000C6D1A">
        <w:rPr>
          <w:rFonts w:ascii="Times New Roman" w:eastAsia="Times New Roman" w:hAnsi="Times New Roman" w:cs="Times New Roman"/>
          <w:sz w:val="24"/>
          <w:szCs w:val="24"/>
        </w:rPr>
        <w:t xml:space="preserve">The general mass distributions of compounds which were ionized by ESI were in the range of 300–700 m/z for all marine samples and the terrestrial sample. Figure 2a contains a representative spectrum of deep </w:t>
      </w:r>
      <w:proofErr w:type="spellStart"/>
      <w:r w:rsidRPr="000C6D1A">
        <w:rPr>
          <w:rFonts w:ascii="Times New Roman" w:eastAsia="Times New Roman" w:hAnsi="Times New Roman" w:cs="Times New Roman"/>
          <w:sz w:val="24"/>
          <w:szCs w:val="24"/>
        </w:rPr>
        <w:t>Wedell</w:t>
      </w:r>
      <w:proofErr w:type="spellEnd"/>
      <w:r w:rsidRPr="000C6D1A">
        <w:rPr>
          <w:rFonts w:ascii="Times New Roman" w:eastAsia="Times New Roman" w:hAnsi="Times New Roman" w:cs="Times New Roman"/>
          <w:sz w:val="24"/>
          <w:szCs w:val="24"/>
        </w:rPr>
        <w:t xml:space="preserve"> Sea DOM. The mass resolution in this spectrum was &gt;200,000 (full width half maximum) at 401 m/z and peak spacings were typically determined to accuracies better than ±0.3 </w:t>
      </w:r>
      <w:proofErr w:type="spellStart"/>
      <w:r w:rsidRPr="000C6D1A">
        <w:rPr>
          <w:rFonts w:ascii="Times New Roman" w:eastAsia="Times New Roman" w:hAnsi="Times New Roman" w:cs="Times New Roman"/>
          <w:sz w:val="24"/>
          <w:szCs w:val="24"/>
        </w:rPr>
        <w:t>mDa</w:t>
      </w:r>
      <w:proofErr w:type="spellEnd"/>
      <w:r w:rsidRPr="000C6D1A">
        <w:rPr>
          <w:rFonts w:ascii="Times New Roman" w:eastAsia="Times New Roman" w:hAnsi="Times New Roman" w:cs="Times New Roman"/>
          <w:sz w:val="24"/>
          <w:szCs w:val="24"/>
        </w:rPr>
        <w:t xml:space="preserve"> (0.5 </w:t>
      </w:r>
      <w:proofErr w:type="spellStart"/>
      <w:r w:rsidRPr="000C6D1A">
        <w:rPr>
          <w:rFonts w:ascii="Times New Roman" w:eastAsia="Times New Roman" w:hAnsi="Times New Roman" w:cs="Times New Roman"/>
          <w:sz w:val="24"/>
          <w:szCs w:val="24"/>
        </w:rPr>
        <w:t>mDa</w:t>
      </w:r>
      <w:proofErr w:type="spellEnd"/>
      <w:r w:rsidRPr="000C6D1A">
        <w:rPr>
          <w:rFonts w:ascii="Times New Roman" w:eastAsia="Times New Roman" w:hAnsi="Times New Roman" w:cs="Times New Roman"/>
          <w:sz w:val="24"/>
          <w:szCs w:val="24"/>
        </w:rPr>
        <w:t xml:space="preserve"> is the mass of one electron). As previously observed with fulvic acids (Stenson et al., 2003) all</w:t>
      </w:r>
    </w:p>
    <w:p w:rsidR="000C6D1A" w:rsidRPr="000C6D1A" w:rsidRDefault="000C6D1A" w:rsidP="000C6D1A">
      <w:pPr>
        <w:spacing w:before="100" w:beforeAutospacing="1" w:after="100" w:afterAutospacing="1" w:line="240" w:lineRule="auto"/>
        <w:outlineLvl w:val="1"/>
        <w:rPr>
          <w:rFonts w:ascii="Times New Roman" w:eastAsia="Times New Roman" w:hAnsi="Times New Roman" w:cs="Times New Roman"/>
          <w:b/>
          <w:bCs/>
          <w:sz w:val="36"/>
          <w:szCs w:val="36"/>
        </w:rPr>
      </w:pPr>
      <w:r w:rsidRPr="000C6D1A">
        <w:rPr>
          <w:rFonts w:ascii="Times New Roman" w:eastAsia="Times New Roman" w:hAnsi="Times New Roman" w:cs="Times New Roman"/>
          <w:b/>
          <w:bCs/>
          <w:sz w:val="36"/>
          <w:szCs w:val="36"/>
        </w:rPr>
        <w:t>Conclusions</w:t>
      </w:r>
    </w:p>
    <w:p w:rsidR="000C6D1A" w:rsidRPr="000C6D1A" w:rsidRDefault="000C6D1A" w:rsidP="000C6D1A">
      <w:pPr>
        <w:spacing w:before="100" w:beforeAutospacing="1" w:after="100" w:afterAutospacing="1" w:line="240" w:lineRule="auto"/>
        <w:rPr>
          <w:rFonts w:ascii="Times New Roman" w:eastAsia="Times New Roman" w:hAnsi="Times New Roman" w:cs="Times New Roman"/>
          <w:sz w:val="24"/>
          <w:szCs w:val="24"/>
        </w:rPr>
      </w:pPr>
      <w:r w:rsidRPr="000C6D1A">
        <w:rPr>
          <w:rFonts w:ascii="Times New Roman" w:eastAsia="Times New Roman" w:hAnsi="Times New Roman" w:cs="Times New Roman"/>
          <w:sz w:val="24"/>
          <w:szCs w:val="24"/>
        </w:rPr>
        <w:lastRenderedPageBreak/>
        <w:t xml:space="preserve">Molecular elemental composition obtained using ESI FT-ICR-MS is suitable to distinguish between high saline pore water and marine samples. Only a few molecular formulas occurred exclusively in the marine samples. The number of molecular formulas unique in mangrove DOM was much higher. However, for source identification sufficient stability of these compounds would be a prerequisite. Regarding the molecular elemental </w:t>
      </w:r>
      <w:proofErr w:type="gramStart"/>
      <w:r w:rsidRPr="000C6D1A">
        <w:rPr>
          <w:rFonts w:ascii="Times New Roman" w:eastAsia="Times New Roman" w:hAnsi="Times New Roman" w:cs="Times New Roman"/>
          <w:sz w:val="24"/>
          <w:szCs w:val="24"/>
        </w:rPr>
        <w:t>composition</w:t>
      </w:r>
      <w:proofErr w:type="gramEnd"/>
      <w:r w:rsidRPr="000C6D1A">
        <w:rPr>
          <w:rFonts w:ascii="Times New Roman" w:eastAsia="Times New Roman" w:hAnsi="Times New Roman" w:cs="Times New Roman"/>
          <w:sz w:val="24"/>
          <w:szCs w:val="24"/>
        </w:rPr>
        <w:t xml:space="preserve"> a large fraction of marine DOM compounds was similar to terrestrial </w:t>
      </w:r>
    </w:p>
    <w:p w:rsidR="000C6D1A" w:rsidRPr="000C6D1A" w:rsidRDefault="000C6D1A" w:rsidP="000C6D1A">
      <w:pPr>
        <w:spacing w:before="100" w:beforeAutospacing="1" w:after="100" w:afterAutospacing="1" w:line="240" w:lineRule="auto"/>
        <w:outlineLvl w:val="1"/>
        <w:rPr>
          <w:rFonts w:ascii="Times New Roman" w:eastAsia="Times New Roman" w:hAnsi="Times New Roman" w:cs="Times New Roman"/>
          <w:b/>
          <w:bCs/>
          <w:sz w:val="36"/>
          <w:szCs w:val="36"/>
        </w:rPr>
      </w:pPr>
      <w:r w:rsidRPr="000C6D1A">
        <w:rPr>
          <w:rFonts w:ascii="Times New Roman" w:eastAsia="Times New Roman" w:hAnsi="Times New Roman" w:cs="Times New Roman"/>
          <w:b/>
          <w:bCs/>
          <w:sz w:val="36"/>
          <w:szCs w:val="36"/>
        </w:rPr>
        <w:t>Acknowledgments</w:t>
      </w:r>
    </w:p>
    <w:p w:rsidR="000C6D1A" w:rsidRPr="000C6D1A" w:rsidRDefault="000C6D1A" w:rsidP="000C6D1A">
      <w:pPr>
        <w:spacing w:before="100" w:beforeAutospacing="1" w:after="100" w:afterAutospacing="1" w:line="240" w:lineRule="auto"/>
        <w:rPr>
          <w:rFonts w:ascii="Times New Roman" w:eastAsia="Times New Roman" w:hAnsi="Times New Roman" w:cs="Times New Roman"/>
          <w:sz w:val="24"/>
          <w:szCs w:val="24"/>
        </w:rPr>
      </w:pPr>
      <w:r w:rsidRPr="000C6D1A">
        <w:rPr>
          <w:rFonts w:ascii="Times New Roman" w:eastAsia="Times New Roman" w:hAnsi="Times New Roman" w:cs="Times New Roman"/>
          <w:sz w:val="24"/>
          <w:szCs w:val="24"/>
        </w:rPr>
        <w:t xml:space="preserve">We thank Bruker </w:t>
      </w:r>
      <w:proofErr w:type="spellStart"/>
      <w:r w:rsidRPr="000C6D1A">
        <w:rPr>
          <w:rFonts w:ascii="Times New Roman" w:eastAsia="Times New Roman" w:hAnsi="Times New Roman" w:cs="Times New Roman"/>
          <w:sz w:val="24"/>
          <w:szCs w:val="24"/>
        </w:rPr>
        <w:t>Daltonik</w:t>
      </w:r>
      <w:proofErr w:type="spellEnd"/>
      <w:r w:rsidRPr="000C6D1A">
        <w:rPr>
          <w:rFonts w:ascii="Times New Roman" w:eastAsia="Times New Roman" w:hAnsi="Times New Roman" w:cs="Times New Roman"/>
          <w:sz w:val="24"/>
          <w:szCs w:val="24"/>
        </w:rPr>
        <w:t xml:space="preserve"> GmbH Bremen for FT-ICR-MS measurements. Hanno </w:t>
      </w:r>
      <w:proofErr w:type="spellStart"/>
      <w:r w:rsidRPr="000C6D1A">
        <w:rPr>
          <w:rFonts w:ascii="Times New Roman" w:eastAsia="Times New Roman" w:hAnsi="Times New Roman" w:cs="Times New Roman"/>
          <w:sz w:val="24"/>
          <w:szCs w:val="24"/>
        </w:rPr>
        <w:t>Hildenbrandt</w:t>
      </w:r>
      <w:proofErr w:type="spellEnd"/>
      <w:r w:rsidRPr="000C6D1A">
        <w:rPr>
          <w:rFonts w:ascii="Times New Roman" w:eastAsia="Times New Roman" w:hAnsi="Times New Roman" w:cs="Times New Roman"/>
          <w:sz w:val="24"/>
          <w:szCs w:val="24"/>
        </w:rPr>
        <w:t xml:space="preserve"> is acknowledged for software development. The fieldwork in Brazil would not have been possible without the logistic help of Rubén Lara und </w:t>
      </w:r>
      <w:proofErr w:type="spellStart"/>
      <w:r w:rsidRPr="000C6D1A">
        <w:rPr>
          <w:rFonts w:ascii="Times New Roman" w:eastAsia="Times New Roman" w:hAnsi="Times New Roman" w:cs="Times New Roman"/>
          <w:sz w:val="24"/>
          <w:szCs w:val="24"/>
        </w:rPr>
        <w:t>Heitor</w:t>
      </w:r>
      <w:proofErr w:type="spellEnd"/>
      <w:r w:rsidRPr="000C6D1A">
        <w:rPr>
          <w:rFonts w:ascii="Times New Roman" w:eastAsia="Times New Roman" w:hAnsi="Times New Roman" w:cs="Times New Roman"/>
          <w:sz w:val="24"/>
          <w:szCs w:val="24"/>
        </w:rPr>
        <w:t xml:space="preserve"> </w:t>
      </w:r>
      <w:proofErr w:type="spellStart"/>
      <w:r w:rsidRPr="000C6D1A">
        <w:rPr>
          <w:rFonts w:ascii="Times New Roman" w:eastAsia="Times New Roman" w:hAnsi="Times New Roman" w:cs="Times New Roman"/>
          <w:sz w:val="24"/>
          <w:szCs w:val="24"/>
        </w:rPr>
        <w:t>Tozzi</w:t>
      </w:r>
      <w:proofErr w:type="spellEnd"/>
      <w:r w:rsidRPr="000C6D1A">
        <w:rPr>
          <w:rFonts w:ascii="Times New Roman" w:eastAsia="Times New Roman" w:hAnsi="Times New Roman" w:cs="Times New Roman"/>
          <w:sz w:val="24"/>
          <w:szCs w:val="24"/>
        </w:rPr>
        <w:t xml:space="preserve"> (project MADAM). We also thank the crew and scientists of the R/V </w:t>
      </w:r>
      <w:proofErr w:type="spellStart"/>
      <w:r w:rsidRPr="000C6D1A">
        <w:rPr>
          <w:rFonts w:ascii="Times New Roman" w:eastAsia="Times New Roman" w:hAnsi="Times New Roman" w:cs="Times New Roman"/>
          <w:i/>
          <w:iCs/>
          <w:sz w:val="24"/>
          <w:szCs w:val="24"/>
        </w:rPr>
        <w:t>Polarstern</w:t>
      </w:r>
      <w:proofErr w:type="spellEnd"/>
      <w:r w:rsidRPr="000C6D1A">
        <w:rPr>
          <w:rFonts w:ascii="Times New Roman" w:eastAsia="Times New Roman" w:hAnsi="Times New Roman" w:cs="Times New Roman"/>
          <w:sz w:val="24"/>
          <w:szCs w:val="24"/>
        </w:rPr>
        <w:t xml:space="preserve"> for assistance in the collection of samples. We are grateful to David </w:t>
      </w:r>
      <w:proofErr w:type="spellStart"/>
      <w:r w:rsidRPr="000C6D1A">
        <w:rPr>
          <w:rFonts w:ascii="Times New Roman" w:eastAsia="Times New Roman" w:hAnsi="Times New Roman" w:cs="Times New Roman"/>
          <w:sz w:val="24"/>
          <w:szCs w:val="24"/>
        </w:rPr>
        <w:t>Burdige</w:t>
      </w:r>
      <w:proofErr w:type="spellEnd"/>
      <w:r w:rsidRPr="000C6D1A">
        <w:rPr>
          <w:rFonts w:ascii="Times New Roman" w:eastAsia="Times New Roman" w:hAnsi="Times New Roman" w:cs="Times New Roman"/>
          <w:sz w:val="24"/>
          <w:szCs w:val="24"/>
        </w:rPr>
        <w:t xml:space="preserve">, William Cooper, Walter </w:t>
      </w:r>
      <w:proofErr w:type="spellStart"/>
      <w:r w:rsidRPr="000C6D1A">
        <w:rPr>
          <w:rFonts w:ascii="Times New Roman" w:eastAsia="Times New Roman" w:hAnsi="Times New Roman" w:cs="Times New Roman"/>
          <w:sz w:val="24"/>
          <w:szCs w:val="24"/>
        </w:rPr>
        <w:t>Geibert</w:t>
      </w:r>
      <w:proofErr w:type="spellEnd"/>
      <w:r w:rsidRPr="000C6D1A">
        <w:rPr>
          <w:rFonts w:ascii="Times New Roman" w:eastAsia="Times New Roman" w:hAnsi="Times New Roman" w:cs="Times New Roman"/>
          <w:sz w:val="24"/>
          <w:szCs w:val="24"/>
        </w:rPr>
        <w:t xml:space="preserve"> and three anonymous reviewers for helpful discussions and constructive</w:t>
      </w:r>
    </w:p>
    <w:p w:rsidR="00EC2B93" w:rsidRDefault="00EC2B93"/>
    <w:sectPr w:rsidR="00EC2B93">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6D1A"/>
    <w:rsid w:val="000C6D1A"/>
    <w:rsid w:val="00EC2B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B42598"/>
  <w15:chartTrackingRefBased/>
  <w15:docId w15:val="{9D23E8D7-8B25-4FC0-A045-1C74D5F000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47338472">
      <w:bodyDiv w:val="1"/>
      <w:marLeft w:val="0"/>
      <w:marRight w:val="0"/>
      <w:marTop w:val="0"/>
      <w:marBottom w:val="0"/>
      <w:divBdr>
        <w:top w:val="none" w:sz="0" w:space="0" w:color="auto"/>
        <w:left w:val="none" w:sz="0" w:space="0" w:color="auto"/>
        <w:bottom w:val="none" w:sz="0" w:space="0" w:color="auto"/>
        <w:right w:val="none" w:sz="0" w:space="0" w:color="auto"/>
      </w:divBdr>
      <w:divsChild>
        <w:div w:id="881863227">
          <w:marLeft w:val="0"/>
          <w:marRight w:val="0"/>
          <w:marTop w:val="0"/>
          <w:marBottom w:val="0"/>
          <w:divBdr>
            <w:top w:val="none" w:sz="0" w:space="0" w:color="auto"/>
            <w:left w:val="none" w:sz="0" w:space="0" w:color="auto"/>
            <w:bottom w:val="none" w:sz="0" w:space="0" w:color="auto"/>
            <w:right w:val="none" w:sz="0" w:space="0" w:color="auto"/>
          </w:divBdr>
          <w:divsChild>
            <w:div w:id="1379285060">
              <w:marLeft w:val="0"/>
              <w:marRight w:val="0"/>
              <w:marTop w:val="0"/>
              <w:marBottom w:val="0"/>
              <w:divBdr>
                <w:top w:val="none" w:sz="0" w:space="0" w:color="auto"/>
                <w:left w:val="none" w:sz="0" w:space="0" w:color="auto"/>
                <w:bottom w:val="none" w:sz="0" w:space="0" w:color="auto"/>
                <w:right w:val="none" w:sz="0" w:space="0" w:color="auto"/>
              </w:divBdr>
              <w:divsChild>
                <w:div w:id="867989408">
                  <w:marLeft w:val="0"/>
                  <w:marRight w:val="0"/>
                  <w:marTop w:val="0"/>
                  <w:marBottom w:val="0"/>
                  <w:divBdr>
                    <w:top w:val="none" w:sz="0" w:space="0" w:color="auto"/>
                    <w:left w:val="none" w:sz="0" w:space="0" w:color="auto"/>
                    <w:bottom w:val="none" w:sz="0" w:space="0" w:color="auto"/>
                    <w:right w:val="none" w:sz="0" w:space="0" w:color="auto"/>
                  </w:divBdr>
                  <w:divsChild>
                    <w:div w:id="1883709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096270">
          <w:marLeft w:val="0"/>
          <w:marRight w:val="0"/>
          <w:marTop w:val="0"/>
          <w:marBottom w:val="0"/>
          <w:divBdr>
            <w:top w:val="none" w:sz="0" w:space="0" w:color="auto"/>
            <w:left w:val="none" w:sz="0" w:space="0" w:color="auto"/>
            <w:bottom w:val="none" w:sz="0" w:space="0" w:color="auto"/>
            <w:right w:val="none" w:sz="0" w:space="0" w:color="auto"/>
          </w:divBdr>
          <w:divsChild>
            <w:div w:id="729420996">
              <w:marLeft w:val="0"/>
              <w:marRight w:val="0"/>
              <w:marTop w:val="0"/>
              <w:marBottom w:val="0"/>
              <w:divBdr>
                <w:top w:val="none" w:sz="0" w:space="0" w:color="auto"/>
                <w:left w:val="none" w:sz="0" w:space="0" w:color="auto"/>
                <w:bottom w:val="none" w:sz="0" w:space="0" w:color="auto"/>
                <w:right w:val="none" w:sz="0" w:space="0" w:color="auto"/>
              </w:divBdr>
              <w:divsChild>
                <w:div w:id="2102407473">
                  <w:marLeft w:val="0"/>
                  <w:marRight w:val="0"/>
                  <w:marTop w:val="0"/>
                  <w:marBottom w:val="0"/>
                  <w:divBdr>
                    <w:top w:val="none" w:sz="0" w:space="0" w:color="auto"/>
                    <w:left w:val="none" w:sz="0" w:space="0" w:color="auto"/>
                    <w:bottom w:val="none" w:sz="0" w:space="0" w:color="auto"/>
                    <w:right w:val="none" w:sz="0" w:space="0" w:color="auto"/>
                  </w:divBdr>
                  <w:divsChild>
                    <w:div w:id="559556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6225443">
          <w:marLeft w:val="0"/>
          <w:marRight w:val="0"/>
          <w:marTop w:val="0"/>
          <w:marBottom w:val="0"/>
          <w:divBdr>
            <w:top w:val="none" w:sz="0" w:space="0" w:color="auto"/>
            <w:left w:val="none" w:sz="0" w:space="0" w:color="auto"/>
            <w:bottom w:val="none" w:sz="0" w:space="0" w:color="auto"/>
            <w:right w:val="none" w:sz="0" w:space="0" w:color="auto"/>
          </w:divBdr>
          <w:divsChild>
            <w:div w:id="1638801314">
              <w:marLeft w:val="0"/>
              <w:marRight w:val="0"/>
              <w:marTop w:val="0"/>
              <w:marBottom w:val="0"/>
              <w:divBdr>
                <w:top w:val="none" w:sz="0" w:space="0" w:color="auto"/>
                <w:left w:val="none" w:sz="0" w:space="0" w:color="auto"/>
                <w:bottom w:val="none" w:sz="0" w:space="0" w:color="auto"/>
                <w:right w:val="none" w:sz="0" w:space="0" w:color="auto"/>
              </w:divBdr>
            </w:div>
          </w:divsChild>
        </w:div>
        <w:div w:id="1479107497">
          <w:marLeft w:val="0"/>
          <w:marRight w:val="0"/>
          <w:marTop w:val="0"/>
          <w:marBottom w:val="0"/>
          <w:divBdr>
            <w:top w:val="none" w:sz="0" w:space="0" w:color="auto"/>
            <w:left w:val="none" w:sz="0" w:space="0" w:color="auto"/>
            <w:bottom w:val="none" w:sz="0" w:space="0" w:color="auto"/>
            <w:right w:val="none" w:sz="0" w:space="0" w:color="auto"/>
          </w:divBdr>
          <w:divsChild>
            <w:div w:id="475420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sciencedirect.com/topics/earth-and-planetary-sciences/mangrov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porewater" TargetMode="External"/><Relationship Id="rId5" Type="http://schemas.openxmlformats.org/officeDocument/2006/relationships/hyperlink" Target="https://www.sciencedirect.com/topics/earth-and-planetary-sciences/cyclotron-resonance" TargetMode="External"/><Relationship Id="rId4" Type="http://schemas.openxmlformats.org/officeDocument/2006/relationships/hyperlink" Target="https://doi.org/10.1016/j.gca.2005.02.027"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1769</Words>
  <Characters>10087</Characters>
  <Application>Microsoft Office Word</Application>
  <DocSecurity>0</DocSecurity>
  <Lines>84</Lines>
  <Paragraphs>23</Paragraphs>
  <ScaleCrop>false</ScaleCrop>
  <Company/>
  <LinksUpToDate>false</LinksUpToDate>
  <CharactersWithSpaces>11833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2023-11-18T07:57:00Z</dcterms:created>
  <dcterms:modified xsi:type="dcterms:W3CDTF">2023-11-18T07:57:00Z</dcterms:modified>
</cp:coreProperties>
</file>