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7317D" w:rsidRPr="0007317D" w:rsidRDefault="0007317D" w:rsidP="0007317D">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07317D">
        <w:rPr>
          <w:rFonts w:ascii="Times New Roman" w:eastAsia="Times New Roman" w:hAnsi="Times New Roman" w:cs="Times New Roman"/>
          <w:b/>
          <w:bCs/>
          <w:kern w:val="36"/>
          <w:sz w:val="48"/>
          <w:szCs w:val="48"/>
        </w:rPr>
        <w:t>Kinetics of zinc and arsenate co-sorption at the goethite–water interface</w:t>
      </w:r>
    </w:p>
    <w:p w:rsidR="0007317D" w:rsidRPr="0007317D" w:rsidRDefault="0007317D" w:rsidP="0007317D">
      <w:pPr>
        <w:spacing w:after="0"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Author links open overlay panel</w:t>
      </w:r>
    </w:p>
    <w:p w:rsidR="0007317D" w:rsidRPr="0007317D" w:rsidRDefault="0007317D" w:rsidP="0007317D">
      <w:pPr>
        <w:spacing w:after="0"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 xml:space="preserve">, </w:t>
      </w:r>
    </w:p>
    <w:p w:rsidR="0007317D" w:rsidRPr="0007317D" w:rsidRDefault="0007317D" w:rsidP="0007317D">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07317D">
          <w:rPr>
            <w:rFonts w:ascii="Times New Roman" w:eastAsia="Times New Roman" w:hAnsi="Times New Roman" w:cs="Times New Roman"/>
            <w:color w:val="0000FF"/>
            <w:sz w:val="24"/>
            <w:szCs w:val="24"/>
            <w:u w:val="single"/>
          </w:rPr>
          <w:t>https://doi.org/10.1016/j.gca.2005.04.016</w:t>
        </w:r>
      </w:hyperlink>
      <w:bookmarkStart w:id="0" w:name="_GoBack"/>
      <w:bookmarkEnd w:id="0"/>
      <w:r w:rsidRPr="0007317D">
        <w:rPr>
          <w:rFonts w:ascii="Times New Roman" w:eastAsia="Times New Roman" w:hAnsi="Times New Roman" w:cs="Times New Roman"/>
          <w:sz w:val="24"/>
          <w:szCs w:val="24"/>
        </w:rPr>
        <w:t xml:space="preserve"> </w:t>
      </w:r>
    </w:p>
    <w:p w:rsidR="0007317D" w:rsidRPr="0007317D" w:rsidRDefault="0007317D" w:rsidP="0007317D">
      <w:pPr>
        <w:spacing w:before="100" w:beforeAutospacing="1" w:after="100" w:afterAutospacing="1" w:line="240" w:lineRule="auto"/>
        <w:outlineLvl w:val="1"/>
        <w:rPr>
          <w:rFonts w:ascii="Times New Roman" w:eastAsia="Times New Roman" w:hAnsi="Times New Roman" w:cs="Times New Roman"/>
          <w:b/>
          <w:bCs/>
          <w:sz w:val="36"/>
          <w:szCs w:val="36"/>
        </w:rPr>
      </w:pPr>
      <w:r w:rsidRPr="0007317D">
        <w:rPr>
          <w:rFonts w:ascii="Times New Roman" w:eastAsia="Times New Roman" w:hAnsi="Times New Roman" w:cs="Times New Roman"/>
          <w:b/>
          <w:bCs/>
          <w:sz w:val="36"/>
          <w:szCs w:val="36"/>
        </w:rPr>
        <w:t>Abstract</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Little or no information is available in the literature about reaction processes of co-</w:t>
      </w:r>
      <w:proofErr w:type="spellStart"/>
      <w:r w:rsidRPr="0007317D">
        <w:rPr>
          <w:rFonts w:ascii="Times New Roman" w:eastAsia="Times New Roman" w:hAnsi="Times New Roman" w:cs="Times New Roman"/>
          <w:sz w:val="24"/>
          <w:szCs w:val="24"/>
        </w:rPr>
        <w:t>sorbing</w:t>
      </w:r>
      <w:proofErr w:type="spellEnd"/>
      <w:r w:rsidRPr="0007317D">
        <w:rPr>
          <w:rFonts w:ascii="Times New Roman" w:eastAsia="Times New Roman" w:hAnsi="Times New Roman" w:cs="Times New Roman"/>
          <w:sz w:val="24"/>
          <w:szCs w:val="24"/>
        </w:rPr>
        <w:t xml:space="preserve"> metals and arsenate [As(V)] on variable-charged surfaces or factors influencing these reactions. Arsenic and metal contamination are, however, a common co-occurrence in many contaminated environments. In this study, we investigated the co-sorption kinetics of 250 </w:t>
      </w:r>
      <w:proofErr w:type="spellStart"/>
      <w:r w:rsidRPr="0007317D">
        <w:rPr>
          <w:rFonts w:ascii="Times New Roman" w:eastAsia="Times New Roman" w:hAnsi="Times New Roman" w:cs="Times New Roman"/>
          <w:sz w:val="24"/>
          <w:szCs w:val="24"/>
        </w:rPr>
        <w:t>μM</w:t>
      </w:r>
      <w:proofErr w:type="spellEnd"/>
      <w:r w:rsidRPr="0007317D">
        <w:rPr>
          <w:rFonts w:ascii="Times New Roman" w:eastAsia="Times New Roman" w:hAnsi="Times New Roman" w:cs="Times New Roman"/>
          <w:sz w:val="24"/>
          <w:szCs w:val="24"/>
        </w:rPr>
        <w:t xml:space="preserve"> As(V) and zinc [Zn(II)] in 10, 100, and 1000 mg </w:t>
      </w:r>
      <w:hyperlink r:id="rId5" w:tooltip="Learn more about goethite from ScienceDirect's AI-generated Topic Pages" w:history="1">
        <w:r w:rsidRPr="0007317D">
          <w:rPr>
            <w:rFonts w:ascii="Times New Roman" w:eastAsia="Times New Roman" w:hAnsi="Times New Roman" w:cs="Times New Roman"/>
            <w:color w:val="0000FF"/>
            <w:sz w:val="24"/>
            <w:szCs w:val="24"/>
            <w:u w:val="single"/>
          </w:rPr>
          <w:t>goethite</w:t>
        </w:r>
      </w:hyperlink>
      <w:r w:rsidRPr="0007317D">
        <w:rPr>
          <w:rFonts w:ascii="Times New Roman" w:eastAsia="Times New Roman" w:hAnsi="Times New Roman" w:cs="Times New Roman"/>
          <w:sz w:val="24"/>
          <w:szCs w:val="24"/>
        </w:rPr>
        <w:t xml:space="preserve"> L</w:t>
      </w:r>
      <w:r w:rsidRPr="0007317D">
        <w:rPr>
          <w:rFonts w:ascii="Times New Roman" w:eastAsia="Times New Roman" w:hAnsi="Times New Roman" w:cs="Times New Roman"/>
          <w:sz w:val="24"/>
          <w:szCs w:val="24"/>
          <w:vertAlign w:val="superscript"/>
        </w:rPr>
        <w:t>−1</w:t>
      </w:r>
      <w:r w:rsidRPr="0007317D">
        <w:rPr>
          <w:rFonts w:ascii="Times New Roman" w:eastAsia="Times New Roman" w:hAnsi="Times New Roman" w:cs="Times New Roman"/>
          <w:sz w:val="24"/>
          <w:szCs w:val="24"/>
        </w:rPr>
        <w:t xml:space="preserve"> 0.01 M NaCl solution at pH 7, collected complementary As and Zn K-edge extended X-ray absorption fine structure (EXAFS) data after various aging times, and performed a </w:t>
      </w:r>
      <w:hyperlink r:id="rId6" w:tooltip="Learn more about replenishment from ScienceDirect's AI-generated Topic Pages" w:history="1">
        <w:r w:rsidRPr="0007317D">
          <w:rPr>
            <w:rFonts w:ascii="Times New Roman" w:eastAsia="Times New Roman" w:hAnsi="Times New Roman" w:cs="Times New Roman"/>
            <w:color w:val="0000FF"/>
            <w:sz w:val="24"/>
            <w:szCs w:val="24"/>
            <w:u w:val="single"/>
          </w:rPr>
          <w:t>replenishment</w:t>
        </w:r>
      </w:hyperlink>
      <w:r w:rsidRPr="0007317D">
        <w:rPr>
          <w:rFonts w:ascii="Times New Roman" w:eastAsia="Times New Roman" w:hAnsi="Times New Roman" w:cs="Times New Roman"/>
          <w:sz w:val="24"/>
          <w:szCs w:val="24"/>
        </w:rPr>
        <w:t xml:space="preserve"> desorption/dissolution study at pH 4 and 5.5 after 6 months of aging time. Arsenate and </w:t>
      </w:r>
      <w:proofErr w:type="gramStart"/>
      <w:r w:rsidRPr="0007317D">
        <w:rPr>
          <w:rFonts w:ascii="Times New Roman" w:eastAsia="Times New Roman" w:hAnsi="Times New Roman" w:cs="Times New Roman"/>
          <w:sz w:val="24"/>
          <w:szCs w:val="24"/>
        </w:rPr>
        <w:t>Zn(</w:t>
      </w:r>
      <w:proofErr w:type="gramEnd"/>
      <w:r w:rsidRPr="0007317D">
        <w:rPr>
          <w:rFonts w:ascii="Times New Roman" w:eastAsia="Times New Roman" w:hAnsi="Times New Roman" w:cs="Times New Roman"/>
          <w:sz w:val="24"/>
          <w:szCs w:val="24"/>
        </w:rPr>
        <w:t xml:space="preserve">II) formed adamite-like and </w:t>
      </w:r>
      <w:proofErr w:type="spellStart"/>
      <w:r w:rsidRPr="0007317D">
        <w:rPr>
          <w:rFonts w:ascii="Times New Roman" w:eastAsia="Times New Roman" w:hAnsi="Times New Roman" w:cs="Times New Roman"/>
          <w:sz w:val="24"/>
          <w:szCs w:val="24"/>
        </w:rPr>
        <w:t>koritnigite</w:t>
      </w:r>
      <w:proofErr w:type="spellEnd"/>
      <w:r w:rsidRPr="0007317D">
        <w:rPr>
          <w:rFonts w:ascii="Times New Roman" w:eastAsia="Times New Roman" w:hAnsi="Times New Roman" w:cs="Times New Roman"/>
          <w:sz w:val="24"/>
          <w:szCs w:val="24"/>
        </w:rPr>
        <w:t xml:space="preserve">-like precipitates on goethite in 100- and 10-ppm goethite suspensions, respectively, whereas in 1000-ppm goethite suspensions, As(V) formed mostly double-corner sharing complexes and Zn(II) formed a solid solution on goethite according to EXAFS spectroscopic analyses. In all goethite suspension densities, surface adsorption reactions were part of the initial reaction processes. In 10- and 100-ppm goethite suspensions, a heterogeneous nucleation reaction occurred in which adamite-like precipitates began to form 48 h earlier than </w:t>
      </w:r>
      <w:proofErr w:type="spellStart"/>
      <w:r w:rsidRPr="0007317D">
        <w:rPr>
          <w:rFonts w:ascii="Times New Roman" w:eastAsia="Times New Roman" w:hAnsi="Times New Roman" w:cs="Times New Roman"/>
          <w:sz w:val="24"/>
          <w:szCs w:val="24"/>
        </w:rPr>
        <w:t>koritnigite</w:t>
      </w:r>
      <w:proofErr w:type="spellEnd"/>
      <w:r w:rsidRPr="0007317D">
        <w:rPr>
          <w:rFonts w:ascii="Times New Roman" w:eastAsia="Times New Roman" w:hAnsi="Times New Roman" w:cs="Times New Roman"/>
          <w:sz w:val="24"/>
          <w:szCs w:val="24"/>
        </w:rPr>
        <w:t xml:space="preserve">-like surface precipitates. Arsenate and </w:t>
      </w:r>
      <w:proofErr w:type="gramStart"/>
      <w:r w:rsidRPr="0007317D">
        <w:rPr>
          <w:rFonts w:ascii="Times New Roman" w:eastAsia="Times New Roman" w:hAnsi="Times New Roman" w:cs="Times New Roman"/>
          <w:sz w:val="24"/>
          <w:szCs w:val="24"/>
        </w:rPr>
        <w:t>Zn(</w:t>
      </w:r>
      <w:proofErr w:type="gramEnd"/>
      <w:r w:rsidRPr="0007317D">
        <w:rPr>
          <w:rFonts w:ascii="Times New Roman" w:eastAsia="Times New Roman" w:hAnsi="Times New Roman" w:cs="Times New Roman"/>
          <w:sz w:val="24"/>
          <w:szCs w:val="24"/>
        </w:rPr>
        <w:t xml:space="preserve">II) uptake from solution decreased after 4 weeks. Replenishment desorption studies showed that the precipitates and surface adsorbed complexes on goethite were susceptible to proton-promoted dissolution resulting in many cases in more than 80% loss of </w:t>
      </w:r>
      <w:proofErr w:type="gramStart"/>
      <w:r w:rsidRPr="0007317D">
        <w:rPr>
          <w:rFonts w:ascii="Times New Roman" w:eastAsia="Times New Roman" w:hAnsi="Times New Roman" w:cs="Times New Roman"/>
          <w:sz w:val="24"/>
          <w:szCs w:val="24"/>
        </w:rPr>
        <w:t>Zn(</w:t>
      </w:r>
      <w:proofErr w:type="gramEnd"/>
      <w:r w:rsidRPr="0007317D">
        <w:rPr>
          <w:rFonts w:ascii="Times New Roman" w:eastAsia="Times New Roman" w:hAnsi="Times New Roman" w:cs="Times New Roman"/>
          <w:sz w:val="24"/>
          <w:szCs w:val="24"/>
        </w:rPr>
        <w:t xml:space="preserve">II) and </w:t>
      </w:r>
      <w:r w:rsidRPr="0007317D">
        <w:rPr>
          <w:rFonts w:ascii="Cambria Math" w:eastAsia="Times New Roman" w:hAnsi="Cambria Math" w:cs="Cambria Math"/>
          <w:sz w:val="24"/>
          <w:szCs w:val="24"/>
        </w:rPr>
        <w:t>∼</w:t>
      </w:r>
      <w:r w:rsidRPr="0007317D">
        <w:rPr>
          <w:rFonts w:ascii="Times New Roman" w:eastAsia="Times New Roman" w:hAnsi="Times New Roman" w:cs="Times New Roman"/>
          <w:sz w:val="24"/>
          <w:szCs w:val="24"/>
        </w:rPr>
        <w:t xml:space="preserve"> 60% to 70% loss of arsenate. The molar </w:t>
      </w:r>
      <w:proofErr w:type="spellStart"/>
      <w:proofErr w:type="gramStart"/>
      <w:r w:rsidRPr="0007317D">
        <w:rPr>
          <w:rFonts w:ascii="Times New Roman" w:eastAsia="Times New Roman" w:hAnsi="Times New Roman" w:cs="Times New Roman"/>
          <w:sz w:val="24"/>
          <w:szCs w:val="24"/>
        </w:rPr>
        <w:t>Zn:As</w:t>
      </w:r>
      <w:proofErr w:type="spellEnd"/>
      <w:proofErr w:type="gramEnd"/>
      <w:r w:rsidRPr="0007317D">
        <w:rPr>
          <w:rFonts w:ascii="Times New Roman" w:eastAsia="Times New Roman" w:hAnsi="Times New Roman" w:cs="Times New Roman"/>
          <w:sz w:val="24"/>
          <w:szCs w:val="24"/>
        </w:rPr>
        <w:t xml:space="preserve"> dissolution ratio was dependent on the structure of the precipitate and was cyclic for the adamite and </w:t>
      </w:r>
      <w:proofErr w:type="spellStart"/>
      <w:r w:rsidRPr="0007317D">
        <w:rPr>
          <w:rFonts w:ascii="Times New Roman" w:eastAsia="Times New Roman" w:hAnsi="Times New Roman" w:cs="Times New Roman"/>
          <w:sz w:val="24"/>
          <w:szCs w:val="24"/>
        </w:rPr>
        <w:t>koritnigite</w:t>
      </w:r>
      <w:proofErr w:type="spellEnd"/>
      <w:r w:rsidRPr="0007317D">
        <w:rPr>
          <w:rFonts w:ascii="Times New Roman" w:eastAsia="Times New Roman" w:hAnsi="Times New Roman" w:cs="Times New Roman"/>
          <w:sz w:val="24"/>
          <w:szCs w:val="24"/>
        </w:rPr>
        <w:t xml:space="preserve">-like surface precipitates, reflecting the concentric and plane-layered structures of adamite and </w:t>
      </w:r>
      <w:proofErr w:type="spellStart"/>
      <w:r w:rsidRPr="0007317D">
        <w:rPr>
          <w:rFonts w:ascii="Times New Roman" w:eastAsia="Times New Roman" w:hAnsi="Times New Roman" w:cs="Times New Roman"/>
          <w:sz w:val="24"/>
          <w:szCs w:val="24"/>
        </w:rPr>
        <w:t>koritnigite</w:t>
      </w:r>
      <w:proofErr w:type="spellEnd"/>
      <w:r w:rsidRPr="0007317D">
        <w:rPr>
          <w:rFonts w:ascii="Times New Roman" w:eastAsia="Times New Roman" w:hAnsi="Times New Roman" w:cs="Times New Roman"/>
          <w:sz w:val="24"/>
          <w:szCs w:val="24"/>
        </w:rPr>
        <w:t>, respectively.</w:t>
      </w:r>
    </w:p>
    <w:p w:rsidR="0007317D" w:rsidRPr="0007317D" w:rsidRDefault="0007317D" w:rsidP="0007317D">
      <w:pPr>
        <w:spacing w:before="100" w:beforeAutospacing="1" w:after="100" w:afterAutospacing="1" w:line="240" w:lineRule="auto"/>
        <w:outlineLvl w:val="1"/>
        <w:rPr>
          <w:rFonts w:ascii="Times New Roman" w:eastAsia="Times New Roman" w:hAnsi="Times New Roman" w:cs="Times New Roman"/>
          <w:b/>
          <w:bCs/>
          <w:sz w:val="36"/>
          <w:szCs w:val="36"/>
        </w:rPr>
      </w:pPr>
      <w:r w:rsidRPr="0007317D">
        <w:rPr>
          <w:rFonts w:ascii="Times New Roman" w:eastAsia="Times New Roman" w:hAnsi="Times New Roman" w:cs="Times New Roman"/>
          <w:b/>
          <w:bCs/>
          <w:sz w:val="36"/>
          <w:szCs w:val="36"/>
        </w:rPr>
        <w:t>Introduction</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Little or no information is available in the literature about reaction processes and mechanisms of co-</w:t>
      </w:r>
      <w:proofErr w:type="spellStart"/>
      <w:r w:rsidRPr="0007317D">
        <w:rPr>
          <w:rFonts w:ascii="Times New Roman" w:eastAsia="Times New Roman" w:hAnsi="Times New Roman" w:cs="Times New Roman"/>
          <w:sz w:val="24"/>
          <w:szCs w:val="24"/>
        </w:rPr>
        <w:t>sorbing</w:t>
      </w:r>
      <w:proofErr w:type="spellEnd"/>
      <w:r w:rsidRPr="0007317D">
        <w:rPr>
          <w:rFonts w:ascii="Times New Roman" w:eastAsia="Times New Roman" w:hAnsi="Times New Roman" w:cs="Times New Roman"/>
          <w:sz w:val="24"/>
          <w:szCs w:val="24"/>
        </w:rPr>
        <w:t xml:space="preserve"> metals and arsenate (As(V)) on variable-charged surfaces or factors influencing these reactions. Arsenic and metal contamination are, however, a common co-occurrence in many contaminated environments (Carlson et al 2002, Williams 2001), and it is reasonable to assume that precipitated metal–arsenate phases may exist in co-contaminated soils and sediments. Little or no research has been conducted on the formation and stability of such precipitates. Understanding the mobility and fate of two or more co-occurring contaminants of differing chemical properties is of great importance to make appropriate decisions concerning the stabilization and remediation of such sites.</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proofErr w:type="spellStart"/>
      <w:r w:rsidRPr="0007317D">
        <w:rPr>
          <w:rFonts w:ascii="Times New Roman" w:eastAsia="Times New Roman" w:hAnsi="Times New Roman" w:cs="Times New Roman"/>
          <w:sz w:val="24"/>
          <w:szCs w:val="24"/>
        </w:rPr>
        <w:t>Waychunas</w:t>
      </w:r>
      <w:proofErr w:type="spellEnd"/>
      <w:r w:rsidRPr="0007317D">
        <w:rPr>
          <w:rFonts w:ascii="Times New Roman" w:eastAsia="Times New Roman" w:hAnsi="Times New Roman" w:cs="Times New Roman"/>
          <w:sz w:val="24"/>
          <w:szCs w:val="24"/>
        </w:rPr>
        <w:t xml:space="preserve"> et al. (1993) investigated the effects of arsenate (As(V) = H</w:t>
      </w:r>
      <w:r w:rsidRPr="0007317D">
        <w:rPr>
          <w:rFonts w:ascii="Times New Roman" w:eastAsia="Times New Roman" w:hAnsi="Times New Roman" w:cs="Times New Roman"/>
          <w:sz w:val="24"/>
          <w:szCs w:val="24"/>
          <w:vertAlign w:val="subscript"/>
        </w:rPr>
        <w:t>3-n</w:t>
      </w:r>
      <w:r w:rsidRPr="0007317D">
        <w:rPr>
          <w:rFonts w:ascii="Times New Roman" w:eastAsia="Times New Roman" w:hAnsi="Times New Roman" w:cs="Times New Roman"/>
          <w:sz w:val="24"/>
          <w:szCs w:val="24"/>
        </w:rPr>
        <w:t>AsO</w:t>
      </w:r>
      <w:r w:rsidRPr="0007317D">
        <w:rPr>
          <w:rFonts w:ascii="Times New Roman" w:eastAsia="Times New Roman" w:hAnsi="Times New Roman" w:cs="Times New Roman"/>
          <w:sz w:val="24"/>
          <w:szCs w:val="24"/>
          <w:vertAlign w:val="subscript"/>
        </w:rPr>
        <w:t>4</w:t>
      </w:r>
      <w:r w:rsidRPr="0007317D">
        <w:rPr>
          <w:rFonts w:ascii="Times New Roman" w:eastAsia="Times New Roman" w:hAnsi="Times New Roman" w:cs="Times New Roman"/>
          <w:sz w:val="24"/>
          <w:szCs w:val="24"/>
          <w:vertAlign w:val="superscript"/>
        </w:rPr>
        <w:t>0-n</w:t>
      </w:r>
      <w:r w:rsidRPr="0007317D">
        <w:rPr>
          <w:rFonts w:ascii="Times New Roman" w:eastAsia="Times New Roman" w:hAnsi="Times New Roman" w:cs="Times New Roman"/>
          <w:sz w:val="24"/>
          <w:szCs w:val="24"/>
        </w:rPr>
        <w:t xml:space="preserve">) on ferrihydrite precipitation using extended X-ray absorption fine structure (EXAFS) spectroscopy and concluded that </w:t>
      </w:r>
      <w:proofErr w:type="gramStart"/>
      <w:r w:rsidRPr="0007317D">
        <w:rPr>
          <w:rFonts w:ascii="Times New Roman" w:eastAsia="Times New Roman" w:hAnsi="Times New Roman" w:cs="Times New Roman"/>
          <w:sz w:val="24"/>
          <w:szCs w:val="24"/>
        </w:rPr>
        <w:t>As</w:t>
      </w:r>
      <w:proofErr w:type="gramEnd"/>
      <w:r w:rsidRPr="0007317D">
        <w:rPr>
          <w:rFonts w:ascii="Times New Roman" w:eastAsia="Times New Roman" w:hAnsi="Times New Roman" w:cs="Times New Roman"/>
          <w:sz w:val="24"/>
          <w:szCs w:val="24"/>
        </w:rPr>
        <w:t xml:space="preserve">(V) inhibited ferrihydrite precipitation by binding to growth sites on the precipitate. </w:t>
      </w:r>
      <w:proofErr w:type="spellStart"/>
      <w:r w:rsidRPr="0007317D">
        <w:rPr>
          <w:rFonts w:ascii="Times New Roman" w:eastAsia="Times New Roman" w:hAnsi="Times New Roman" w:cs="Times New Roman"/>
          <w:sz w:val="24"/>
          <w:szCs w:val="24"/>
        </w:rPr>
        <w:t>Tournassat</w:t>
      </w:r>
      <w:proofErr w:type="spellEnd"/>
      <w:r w:rsidRPr="0007317D">
        <w:rPr>
          <w:rFonts w:ascii="Times New Roman" w:eastAsia="Times New Roman" w:hAnsi="Times New Roman" w:cs="Times New Roman"/>
          <w:sz w:val="24"/>
          <w:szCs w:val="24"/>
        </w:rPr>
        <w:t xml:space="preserve"> et al. (2002) observed the precipitation of a </w:t>
      </w:r>
      <w:proofErr w:type="gramStart"/>
      <w:r w:rsidRPr="0007317D">
        <w:rPr>
          <w:rFonts w:ascii="Times New Roman" w:eastAsia="Times New Roman" w:hAnsi="Times New Roman" w:cs="Times New Roman"/>
          <w:sz w:val="24"/>
          <w:szCs w:val="24"/>
        </w:rPr>
        <w:t>manganese(</w:t>
      </w:r>
      <w:proofErr w:type="gramEnd"/>
      <w:r w:rsidRPr="0007317D">
        <w:rPr>
          <w:rFonts w:ascii="Times New Roman" w:eastAsia="Times New Roman" w:hAnsi="Times New Roman" w:cs="Times New Roman"/>
          <w:sz w:val="24"/>
          <w:szCs w:val="24"/>
        </w:rPr>
        <w:t xml:space="preserve">II)–arsenate precipitate at the </w:t>
      </w:r>
      <w:proofErr w:type="spellStart"/>
      <w:r w:rsidRPr="0007317D">
        <w:rPr>
          <w:rFonts w:ascii="Times New Roman" w:eastAsia="Times New Roman" w:hAnsi="Times New Roman" w:cs="Times New Roman"/>
          <w:sz w:val="24"/>
          <w:szCs w:val="24"/>
        </w:rPr>
        <w:lastRenderedPageBreak/>
        <w:t>birnessite</w:t>
      </w:r>
      <w:proofErr w:type="spellEnd"/>
      <w:r w:rsidRPr="0007317D">
        <w:rPr>
          <w:rFonts w:ascii="Times New Roman" w:eastAsia="Times New Roman" w:hAnsi="Times New Roman" w:cs="Times New Roman"/>
          <w:sz w:val="24"/>
          <w:szCs w:val="24"/>
        </w:rPr>
        <w:t xml:space="preserve">–water interface after the oxidation of an 11 mM </w:t>
      </w:r>
      <w:proofErr w:type="spellStart"/>
      <w:r w:rsidRPr="0007317D">
        <w:rPr>
          <w:rFonts w:ascii="Times New Roman" w:eastAsia="Times New Roman" w:hAnsi="Times New Roman" w:cs="Times New Roman"/>
          <w:sz w:val="24"/>
          <w:szCs w:val="24"/>
        </w:rPr>
        <w:t>arsenite</w:t>
      </w:r>
      <w:proofErr w:type="spellEnd"/>
      <w:r w:rsidRPr="0007317D">
        <w:rPr>
          <w:rFonts w:ascii="Times New Roman" w:eastAsia="Times New Roman" w:hAnsi="Times New Roman" w:cs="Times New Roman"/>
          <w:sz w:val="24"/>
          <w:szCs w:val="24"/>
        </w:rPr>
        <w:t xml:space="preserve"> (As(III)) solution at the </w:t>
      </w:r>
      <w:proofErr w:type="spellStart"/>
      <w:r w:rsidRPr="0007317D">
        <w:rPr>
          <w:rFonts w:ascii="Times New Roman" w:eastAsia="Times New Roman" w:hAnsi="Times New Roman" w:cs="Times New Roman"/>
          <w:sz w:val="24"/>
          <w:szCs w:val="24"/>
        </w:rPr>
        <w:t>birnessite</w:t>
      </w:r>
      <w:proofErr w:type="spellEnd"/>
      <w:r w:rsidRPr="0007317D">
        <w:rPr>
          <w:rFonts w:ascii="Times New Roman" w:eastAsia="Times New Roman" w:hAnsi="Times New Roman" w:cs="Times New Roman"/>
          <w:sz w:val="24"/>
          <w:szCs w:val="24"/>
        </w:rPr>
        <w:t xml:space="preserve">–water interface. In natural environments, </w:t>
      </w:r>
      <w:proofErr w:type="spellStart"/>
      <w:r w:rsidRPr="0007317D">
        <w:rPr>
          <w:rFonts w:ascii="Times New Roman" w:eastAsia="Times New Roman" w:hAnsi="Times New Roman" w:cs="Times New Roman"/>
          <w:sz w:val="24"/>
          <w:szCs w:val="24"/>
        </w:rPr>
        <w:t>Langner</w:t>
      </w:r>
      <w:proofErr w:type="spellEnd"/>
      <w:r w:rsidRPr="0007317D">
        <w:rPr>
          <w:rFonts w:ascii="Times New Roman" w:eastAsia="Times New Roman" w:hAnsi="Times New Roman" w:cs="Times New Roman"/>
          <w:sz w:val="24"/>
          <w:szCs w:val="24"/>
        </w:rPr>
        <w:t xml:space="preserve"> et al. (2001) observed ferric–arsenate precipitation following the oxidation of </w:t>
      </w:r>
      <w:proofErr w:type="gramStart"/>
      <w:r w:rsidRPr="0007317D">
        <w:rPr>
          <w:rFonts w:ascii="Times New Roman" w:eastAsia="Times New Roman" w:hAnsi="Times New Roman" w:cs="Times New Roman"/>
          <w:sz w:val="24"/>
          <w:szCs w:val="24"/>
        </w:rPr>
        <w:t>As(</w:t>
      </w:r>
      <w:proofErr w:type="gramEnd"/>
      <w:r w:rsidRPr="0007317D">
        <w:rPr>
          <w:rFonts w:ascii="Times New Roman" w:eastAsia="Times New Roman" w:hAnsi="Times New Roman" w:cs="Times New Roman"/>
          <w:sz w:val="24"/>
          <w:szCs w:val="24"/>
        </w:rPr>
        <w:t>III) in hot sulfur springs. Sadiq (1997) concluded from thermodynamic data that the solubility of arsenic in acidic environments was controlled by iron and aluminum–arsenates and at alkaline pH by calcium–arsenates. Other metal–arsenates such as copper, zinc, nickel, or cadmium–arsenates were considered less soluble and could accumulate in the environment. First row transition metals form thermodynamically very stable arsenate complexes (</w:t>
      </w:r>
      <w:proofErr w:type="spellStart"/>
      <w:r w:rsidRPr="0007317D">
        <w:rPr>
          <w:rFonts w:ascii="Times New Roman" w:eastAsia="Times New Roman" w:hAnsi="Times New Roman" w:cs="Times New Roman"/>
          <w:sz w:val="24"/>
          <w:szCs w:val="24"/>
        </w:rPr>
        <w:t>K</w:t>
      </w:r>
      <w:r w:rsidRPr="0007317D">
        <w:rPr>
          <w:rFonts w:ascii="Times New Roman" w:eastAsia="Times New Roman" w:hAnsi="Times New Roman" w:cs="Times New Roman"/>
          <w:sz w:val="24"/>
          <w:szCs w:val="24"/>
          <w:vertAlign w:val="subscript"/>
        </w:rPr>
        <w:t>so</w:t>
      </w:r>
      <w:proofErr w:type="spellEnd"/>
      <w:r w:rsidRPr="0007317D">
        <w:rPr>
          <w:rFonts w:ascii="Times New Roman" w:eastAsia="Times New Roman" w:hAnsi="Times New Roman" w:cs="Times New Roman"/>
          <w:sz w:val="24"/>
          <w:szCs w:val="24"/>
        </w:rPr>
        <w:t xml:space="preserve"> of ≥10</w:t>
      </w:r>
      <w:r w:rsidRPr="0007317D">
        <w:rPr>
          <w:rFonts w:ascii="Times New Roman" w:eastAsia="Times New Roman" w:hAnsi="Times New Roman" w:cs="Times New Roman"/>
          <w:sz w:val="24"/>
          <w:szCs w:val="24"/>
          <w:vertAlign w:val="superscript"/>
        </w:rPr>
        <w:t>19</w:t>
      </w:r>
      <w:r w:rsidRPr="0007317D">
        <w:rPr>
          <w:rFonts w:ascii="Times New Roman" w:eastAsia="Times New Roman" w:hAnsi="Times New Roman" w:cs="Times New Roman"/>
          <w:sz w:val="24"/>
          <w:szCs w:val="24"/>
        </w:rPr>
        <w:t>, Gustafsson, 2004). In mineralogy, several phosphate/arsenate mineral classes are recognized (Gaines et al., 1997). The formation of a solid phase that contains environmentally critical elements, that has low solubility, and that increases in stability over time is favorable from an environmental remediation standpoint. Reaction processes/mechanisms and factors that contribute and inhibit the formation of such solid phases should be understood well to make appropriate decisions for contaminated sites.</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 xml:space="preserve">Recently, we reported on As(V) and </w:t>
      </w:r>
      <w:proofErr w:type="gramStart"/>
      <w:r w:rsidRPr="0007317D">
        <w:rPr>
          <w:rFonts w:ascii="Times New Roman" w:eastAsia="Times New Roman" w:hAnsi="Times New Roman" w:cs="Times New Roman"/>
          <w:sz w:val="24"/>
          <w:szCs w:val="24"/>
        </w:rPr>
        <w:t>Zn(</w:t>
      </w:r>
      <w:proofErr w:type="gramEnd"/>
      <w:r w:rsidRPr="0007317D">
        <w:rPr>
          <w:rFonts w:ascii="Times New Roman" w:eastAsia="Times New Roman" w:hAnsi="Times New Roman" w:cs="Times New Roman"/>
          <w:sz w:val="24"/>
          <w:szCs w:val="24"/>
        </w:rPr>
        <w:t xml:space="preserve">II) co-sorption at the goethite–water interface as a function of pH (4 and 7). Arsenate and </w:t>
      </w:r>
      <w:proofErr w:type="gramStart"/>
      <w:r w:rsidRPr="0007317D">
        <w:rPr>
          <w:rFonts w:ascii="Times New Roman" w:eastAsia="Times New Roman" w:hAnsi="Times New Roman" w:cs="Times New Roman"/>
          <w:sz w:val="24"/>
          <w:szCs w:val="24"/>
        </w:rPr>
        <w:t>Zn(</w:t>
      </w:r>
      <w:proofErr w:type="gramEnd"/>
      <w:r w:rsidRPr="0007317D">
        <w:rPr>
          <w:rFonts w:ascii="Times New Roman" w:eastAsia="Times New Roman" w:hAnsi="Times New Roman" w:cs="Times New Roman"/>
          <w:sz w:val="24"/>
          <w:szCs w:val="24"/>
        </w:rPr>
        <w:t xml:space="preserve">II) </w:t>
      </w:r>
      <w:proofErr w:type="spellStart"/>
      <w:r w:rsidRPr="0007317D">
        <w:rPr>
          <w:rFonts w:ascii="Times New Roman" w:eastAsia="Times New Roman" w:hAnsi="Times New Roman" w:cs="Times New Roman"/>
          <w:sz w:val="24"/>
          <w:szCs w:val="24"/>
        </w:rPr>
        <w:t>sorbing</w:t>
      </w:r>
      <w:proofErr w:type="spellEnd"/>
      <w:r w:rsidRPr="0007317D">
        <w:rPr>
          <w:rFonts w:ascii="Times New Roman" w:eastAsia="Times New Roman" w:hAnsi="Times New Roman" w:cs="Times New Roman"/>
          <w:sz w:val="24"/>
          <w:szCs w:val="24"/>
        </w:rPr>
        <w:t xml:space="preserve"> on goethite above site saturation resulted in the formation of an adamite-like (Zn</w:t>
      </w:r>
      <w:r w:rsidRPr="0007317D">
        <w:rPr>
          <w:rFonts w:ascii="Times New Roman" w:eastAsia="Times New Roman" w:hAnsi="Times New Roman" w:cs="Times New Roman"/>
          <w:sz w:val="24"/>
          <w:szCs w:val="24"/>
          <w:vertAlign w:val="subscript"/>
        </w:rPr>
        <w:t>2</w:t>
      </w:r>
      <w:r w:rsidRPr="0007317D">
        <w:rPr>
          <w:rFonts w:ascii="Times New Roman" w:eastAsia="Times New Roman" w:hAnsi="Times New Roman" w:cs="Times New Roman"/>
          <w:sz w:val="24"/>
          <w:szCs w:val="24"/>
        </w:rPr>
        <w:t>(AsO</w:t>
      </w:r>
      <w:r w:rsidRPr="0007317D">
        <w:rPr>
          <w:rFonts w:ascii="Times New Roman" w:eastAsia="Times New Roman" w:hAnsi="Times New Roman" w:cs="Times New Roman"/>
          <w:sz w:val="24"/>
          <w:szCs w:val="24"/>
          <w:vertAlign w:val="subscript"/>
        </w:rPr>
        <w:t>4</w:t>
      </w:r>
      <w:r w:rsidRPr="0007317D">
        <w:rPr>
          <w:rFonts w:ascii="Times New Roman" w:eastAsia="Times New Roman" w:hAnsi="Times New Roman" w:cs="Times New Roman"/>
          <w:sz w:val="24"/>
          <w:szCs w:val="24"/>
        </w:rPr>
        <w:t>)OH) surface precipitate at pH 7 (</w:t>
      </w:r>
      <w:proofErr w:type="spellStart"/>
      <w:r w:rsidRPr="0007317D">
        <w:rPr>
          <w:rFonts w:ascii="Times New Roman" w:eastAsia="Times New Roman" w:hAnsi="Times New Roman" w:cs="Times New Roman"/>
          <w:sz w:val="24"/>
          <w:szCs w:val="24"/>
        </w:rPr>
        <w:t>Gräfe</w:t>
      </w:r>
      <w:proofErr w:type="spellEnd"/>
      <w:r w:rsidRPr="0007317D">
        <w:rPr>
          <w:rFonts w:ascii="Times New Roman" w:eastAsia="Times New Roman" w:hAnsi="Times New Roman" w:cs="Times New Roman"/>
          <w:sz w:val="24"/>
          <w:szCs w:val="24"/>
        </w:rPr>
        <w:t xml:space="preserve"> et al., 2004). Extended XAFS spectroscopy analyses showed that an adamite-like precipitate formed on the goethite surface at pH 7, while at pH 4, As(V) and </w:t>
      </w:r>
      <w:proofErr w:type="gramStart"/>
      <w:r w:rsidRPr="0007317D">
        <w:rPr>
          <w:rFonts w:ascii="Times New Roman" w:eastAsia="Times New Roman" w:hAnsi="Times New Roman" w:cs="Times New Roman"/>
          <w:sz w:val="24"/>
          <w:szCs w:val="24"/>
        </w:rPr>
        <w:t>Zn(</w:t>
      </w:r>
      <w:proofErr w:type="gramEnd"/>
      <w:r w:rsidRPr="0007317D">
        <w:rPr>
          <w:rFonts w:ascii="Times New Roman" w:eastAsia="Times New Roman" w:hAnsi="Times New Roman" w:cs="Times New Roman"/>
          <w:sz w:val="24"/>
          <w:szCs w:val="24"/>
        </w:rPr>
        <w:t>II) existed as co-</w:t>
      </w:r>
      <w:proofErr w:type="spellStart"/>
      <w:r w:rsidRPr="0007317D">
        <w:rPr>
          <w:rFonts w:ascii="Times New Roman" w:eastAsia="Times New Roman" w:hAnsi="Times New Roman" w:cs="Times New Roman"/>
          <w:sz w:val="24"/>
          <w:szCs w:val="24"/>
        </w:rPr>
        <w:t>sorbed</w:t>
      </w:r>
      <w:proofErr w:type="spellEnd"/>
      <w:r w:rsidRPr="0007317D">
        <w:rPr>
          <w:rFonts w:ascii="Times New Roman" w:eastAsia="Times New Roman" w:hAnsi="Times New Roman" w:cs="Times New Roman"/>
          <w:sz w:val="24"/>
          <w:szCs w:val="24"/>
        </w:rPr>
        <w:t xml:space="preserve"> species on the goethite surface. The study suggested that the amount of surface area (and therefore the number of reactive surface sites) may control the precipitation of a zinc–arsenate solid phase. In the current study, we hypothesize that for a given aqueous, undersaturated (Zn</w:t>
      </w:r>
      <w:r w:rsidRPr="0007317D">
        <w:rPr>
          <w:rFonts w:ascii="Times New Roman" w:eastAsia="Times New Roman" w:hAnsi="Times New Roman" w:cs="Times New Roman"/>
          <w:sz w:val="24"/>
          <w:szCs w:val="24"/>
          <w:vertAlign w:val="subscript"/>
        </w:rPr>
        <w:t>3</w:t>
      </w:r>
      <w:r w:rsidRPr="0007317D">
        <w:rPr>
          <w:rFonts w:ascii="Times New Roman" w:eastAsia="Times New Roman" w:hAnsi="Times New Roman" w:cs="Times New Roman"/>
          <w:sz w:val="24"/>
          <w:szCs w:val="24"/>
        </w:rPr>
        <w:t>(AsO</w:t>
      </w:r>
      <w:r w:rsidRPr="0007317D">
        <w:rPr>
          <w:rFonts w:ascii="Times New Roman" w:eastAsia="Times New Roman" w:hAnsi="Times New Roman" w:cs="Times New Roman"/>
          <w:sz w:val="24"/>
          <w:szCs w:val="24"/>
          <w:vertAlign w:val="subscript"/>
        </w:rPr>
        <w:t>4</w:t>
      </w:r>
      <w:r w:rsidRPr="0007317D">
        <w:rPr>
          <w:rFonts w:ascii="Times New Roman" w:eastAsia="Times New Roman" w:hAnsi="Times New Roman" w:cs="Times New Roman"/>
          <w:sz w:val="24"/>
          <w:szCs w:val="24"/>
        </w:rPr>
        <w:t>)</w:t>
      </w:r>
      <w:r w:rsidRPr="0007317D">
        <w:rPr>
          <w:rFonts w:ascii="Times New Roman" w:eastAsia="Times New Roman" w:hAnsi="Times New Roman" w:cs="Times New Roman"/>
          <w:sz w:val="24"/>
          <w:szCs w:val="24"/>
          <w:vertAlign w:val="subscript"/>
        </w:rPr>
        <w:t>2</w:t>
      </w:r>
      <w:r w:rsidRPr="0007317D">
        <w:rPr>
          <w:rFonts w:ascii="Times New Roman" w:eastAsia="Times New Roman" w:hAnsi="Times New Roman" w:cs="Times New Roman"/>
          <w:sz w:val="24"/>
          <w:szCs w:val="24"/>
        </w:rPr>
        <w:t>: log ion activity product (IAP)/</w:t>
      </w:r>
      <w:proofErr w:type="spellStart"/>
      <w:r w:rsidRPr="0007317D">
        <w:rPr>
          <w:rFonts w:ascii="Times New Roman" w:eastAsia="Times New Roman" w:hAnsi="Times New Roman" w:cs="Times New Roman"/>
          <w:sz w:val="24"/>
          <w:szCs w:val="24"/>
        </w:rPr>
        <w:t>K</w:t>
      </w:r>
      <w:r w:rsidRPr="0007317D">
        <w:rPr>
          <w:rFonts w:ascii="Times New Roman" w:eastAsia="Times New Roman" w:hAnsi="Times New Roman" w:cs="Times New Roman"/>
          <w:sz w:val="24"/>
          <w:szCs w:val="24"/>
          <w:vertAlign w:val="subscript"/>
        </w:rPr>
        <w:t>so</w:t>
      </w:r>
      <w:proofErr w:type="spellEnd"/>
      <w:r w:rsidRPr="0007317D">
        <w:rPr>
          <w:rFonts w:ascii="Times New Roman" w:eastAsia="Times New Roman" w:hAnsi="Times New Roman" w:cs="Times New Roman"/>
          <w:sz w:val="24"/>
          <w:szCs w:val="24"/>
        </w:rPr>
        <w:t xml:space="preserve">&lt;0) concentration of Zn(II) and As(V) at a favorable pH (e.g., pH </w:t>
      </w:r>
      <w:r w:rsidRPr="0007317D">
        <w:rPr>
          <w:rFonts w:ascii="Cambria Math" w:eastAsia="Times New Roman" w:hAnsi="Cambria Math" w:cs="Cambria Math"/>
          <w:sz w:val="24"/>
          <w:szCs w:val="24"/>
        </w:rPr>
        <w:t>∼</w:t>
      </w:r>
      <w:r w:rsidRPr="0007317D">
        <w:rPr>
          <w:rFonts w:ascii="Times New Roman" w:eastAsia="Times New Roman" w:hAnsi="Times New Roman" w:cs="Times New Roman"/>
          <w:sz w:val="24"/>
          <w:szCs w:val="24"/>
        </w:rPr>
        <w:t xml:space="preserve"> 7), a greater solid–solution ratio will result in the formation of mostly two dimensional or inner-sphere adsorbed species. In lower solid–solution ratios, a precipitation reaction may occur facilitated by the presence of the goethite surface. The objectives of this study were (</w:t>
      </w:r>
      <w:proofErr w:type="spellStart"/>
      <w:r w:rsidRPr="0007317D">
        <w:rPr>
          <w:rFonts w:ascii="Times New Roman" w:eastAsia="Times New Roman" w:hAnsi="Times New Roman" w:cs="Times New Roman"/>
          <w:sz w:val="24"/>
          <w:szCs w:val="24"/>
        </w:rPr>
        <w:t>i</w:t>
      </w:r>
      <w:proofErr w:type="spellEnd"/>
      <w:r w:rsidRPr="0007317D">
        <w:rPr>
          <w:rFonts w:ascii="Times New Roman" w:eastAsia="Times New Roman" w:hAnsi="Times New Roman" w:cs="Times New Roman"/>
          <w:sz w:val="24"/>
          <w:szCs w:val="24"/>
        </w:rPr>
        <w:t>) to investigate the co-sorption kinetics of zinc and arsenate at the goethite–water interface at pH 7 as a function of the solid–solution ratio, (ii) to determine the bonding environment of As(V) and Zn(II) on goethite for certain periods of reaction time using EXAFS spectroscopy, and (iii) to evaluate the stability of the solid phases against background electrolyte adjusted to pH 5.5 and 4.0.</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Information gleaned from this study may be useful in predicting the fate and mobility of co-occurring metals and oxyanions and in devising remediation strategies to lower their bioavailability at co-contaminated sites, in ground and surface-waters, and in other applicable situations.</w:t>
      </w:r>
    </w:p>
    <w:p w:rsidR="0007317D" w:rsidRPr="0007317D" w:rsidRDefault="0007317D" w:rsidP="0007317D">
      <w:pPr>
        <w:spacing w:before="100" w:beforeAutospacing="1" w:after="100" w:afterAutospacing="1" w:line="240" w:lineRule="auto"/>
        <w:outlineLvl w:val="1"/>
        <w:rPr>
          <w:rFonts w:ascii="Times New Roman" w:eastAsia="Times New Roman" w:hAnsi="Times New Roman" w:cs="Times New Roman"/>
          <w:b/>
          <w:bCs/>
          <w:sz w:val="36"/>
          <w:szCs w:val="36"/>
        </w:rPr>
      </w:pPr>
      <w:r w:rsidRPr="0007317D">
        <w:rPr>
          <w:rFonts w:ascii="Times New Roman" w:eastAsia="Times New Roman" w:hAnsi="Times New Roman" w:cs="Times New Roman"/>
          <w:b/>
          <w:bCs/>
          <w:sz w:val="36"/>
          <w:szCs w:val="36"/>
        </w:rPr>
        <w:t>Section snippets</w:t>
      </w:r>
    </w:p>
    <w:p w:rsidR="0007317D" w:rsidRPr="0007317D" w:rsidRDefault="0007317D" w:rsidP="0007317D">
      <w:pPr>
        <w:spacing w:before="100" w:beforeAutospacing="1" w:after="100" w:afterAutospacing="1" w:line="240" w:lineRule="auto"/>
        <w:outlineLvl w:val="1"/>
        <w:rPr>
          <w:rFonts w:ascii="Times New Roman" w:eastAsia="Times New Roman" w:hAnsi="Times New Roman" w:cs="Times New Roman"/>
          <w:b/>
          <w:bCs/>
          <w:sz w:val="36"/>
          <w:szCs w:val="36"/>
        </w:rPr>
      </w:pPr>
      <w:r w:rsidRPr="0007317D">
        <w:rPr>
          <w:rFonts w:ascii="Times New Roman" w:eastAsia="Times New Roman" w:hAnsi="Times New Roman" w:cs="Times New Roman"/>
          <w:b/>
          <w:bCs/>
          <w:sz w:val="36"/>
          <w:szCs w:val="36"/>
        </w:rPr>
        <w:t>Materials</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The preparation and characterization of goethite (α-</w:t>
      </w:r>
      <w:proofErr w:type="spellStart"/>
      <w:r w:rsidRPr="0007317D">
        <w:rPr>
          <w:rFonts w:ascii="Times New Roman" w:eastAsia="Times New Roman" w:hAnsi="Times New Roman" w:cs="Times New Roman"/>
          <w:sz w:val="24"/>
          <w:szCs w:val="24"/>
        </w:rPr>
        <w:t>FeOOH</w:t>
      </w:r>
      <w:proofErr w:type="spellEnd"/>
      <w:r w:rsidRPr="0007317D">
        <w:rPr>
          <w:rFonts w:ascii="Times New Roman" w:eastAsia="Times New Roman" w:hAnsi="Times New Roman" w:cs="Times New Roman"/>
          <w:sz w:val="24"/>
          <w:szCs w:val="24"/>
        </w:rPr>
        <w:t>) was reported elsewhere (</w:t>
      </w:r>
      <w:proofErr w:type="spellStart"/>
      <w:r w:rsidRPr="0007317D">
        <w:rPr>
          <w:rFonts w:ascii="Times New Roman" w:eastAsia="Times New Roman" w:hAnsi="Times New Roman" w:cs="Times New Roman"/>
          <w:sz w:val="24"/>
          <w:szCs w:val="24"/>
        </w:rPr>
        <w:t>Gräfe</w:t>
      </w:r>
      <w:proofErr w:type="spellEnd"/>
      <w:r w:rsidRPr="0007317D">
        <w:rPr>
          <w:rFonts w:ascii="Times New Roman" w:eastAsia="Times New Roman" w:hAnsi="Times New Roman" w:cs="Times New Roman"/>
          <w:sz w:val="24"/>
          <w:szCs w:val="24"/>
        </w:rPr>
        <w:t xml:space="preserve"> et al., 2004). Briefly, the specific surface area of the goethite is </w:t>
      </w:r>
      <w:r w:rsidRPr="0007317D">
        <w:rPr>
          <w:rFonts w:ascii="Cambria Math" w:eastAsia="Times New Roman" w:hAnsi="Cambria Math" w:cs="Cambria Math"/>
          <w:sz w:val="24"/>
          <w:szCs w:val="24"/>
        </w:rPr>
        <w:t>∼</w:t>
      </w:r>
      <w:r w:rsidRPr="0007317D">
        <w:rPr>
          <w:rFonts w:ascii="Times New Roman" w:eastAsia="Times New Roman" w:hAnsi="Times New Roman" w:cs="Times New Roman"/>
          <w:sz w:val="24"/>
          <w:szCs w:val="24"/>
        </w:rPr>
        <w:t>70 m</w:t>
      </w:r>
      <w:r w:rsidRPr="0007317D">
        <w:rPr>
          <w:rFonts w:ascii="Times New Roman" w:eastAsia="Times New Roman" w:hAnsi="Times New Roman" w:cs="Times New Roman"/>
          <w:sz w:val="24"/>
          <w:szCs w:val="24"/>
          <w:vertAlign w:val="superscript"/>
        </w:rPr>
        <w:t>2</w:t>
      </w:r>
      <w:r w:rsidRPr="0007317D">
        <w:rPr>
          <w:rFonts w:ascii="Times New Roman" w:eastAsia="Times New Roman" w:hAnsi="Times New Roman" w:cs="Times New Roman"/>
          <w:sz w:val="24"/>
          <w:szCs w:val="24"/>
        </w:rPr>
        <w:t xml:space="preserve"> g</w:t>
      </w:r>
      <w:r w:rsidRPr="0007317D">
        <w:rPr>
          <w:rFonts w:ascii="Times New Roman" w:eastAsia="Times New Roman" w:hAnsi="Times New Roman" w:cs="Times New Roman"/>
          <w:sz w:val="24"/>
          <w:szCs w:val="24"/>
          <w:vertAlign w:val="superscript"/>
        </w:rPr>
        <w:t>−1</w:t>
      </w:r>
      <w:r w:rsidRPr="0007317D">
        <w:rPr>
          <w:rFonts w:ascii="Times New Roman" w:eastAsia="Times New Roman" w:hAnsi="Times New Roman" w:cs="Times New Roman"/>
          <w:sz w:val="24"/>
          <w:szCs w:val="24"/>
        </w:rPr>
        <w:t xml:space="preserve">, with 2.4% porosity. The average particle size is </w:t>
      </w:r>
      <w:r w:rsidRPr="0007317D">
        <w:rPr>
          <w:rFonts w:ascii="Cambria Math" w:eastAsia="Times New Roman" w:hAnsi="Cambria Math" w:cs="Cambria Math"/>
          <w:sz w:val="24"/>
          <w:szCs w:val="24"/>
        </w:rPr>
        <w:t>∼</w:t>
      </w:r>
      <w:r w:rsidRPr="0007317D">
        <w:rPr>
          <w:rFonts w:ascii="Times New Roman" w:eastAsia="Times New Roman" w:hAnsi="Times New Roman" w:cs="Times New Roman"/>
          <w:sz w:val="24"/>
          <w:szCs w:val="24"/>
        </w:rPr>
        <w:t xml:space="preserve"> 30–200 nm. All reagents used in the study were ACS grade. A 799 GPT </w:t>
      </w:r>
      <w:proofErr w:type="spellStart"/>
      <w:r w:rsidRPr="0007317D">
        <w:rPr>
          <w:rFonts w:ascii="Times New Roman" w:eastAsia="Times New Roman" w:hAnsi="Times New Roman" w:cs="Times New Roman"/>
          <w:sz w:val="24"/>
          <w:szCs w:val="24"/>
        </w:rPr>
        <w:t>Titrino</w:t>
      </w:r>
      <w:proofErr w:type="spellEnd"/>
      <w:r w:rsidRPr="0007317D">
        <w:rPr>
          <w:rFonts w:ascii="Times New Roman" w:eastAsia="Times New Roman" w:hAnsi="Times New Roman" w:cs="Times New Roman"/>
          <w:sz w:val="24"/>
          <w:szCs w:val="24"/>
        </w:rPr>
        <w:t xml:space="preserve"> automated titrator (</w:t>
      </w:r>
      <w:proofErr w:type="spellStart"/>
      <w:r w:rsidRPr="0007317D">
        <w:rPr>
          <w:rFonts w:ascii="Times New Roman" w:eastAsia="Times New Roman" w:hAnsi="Times New Roman" w:cs="Times New Roman"/>
          <w:sz w:val="24"/>
          <w:szCs w:val="24"/>
        </w:rPr>
        <w:t>Metrohm</w:t>
      </w:r>
      <w:proofErr w:type="spellEnd"/>
      <w:r w:rsidRPr="0007317D">
        <w:rPr>
          <w:rFonts w:ascii="Times New Roman" w:eastAsia="Times New Roman" w:hAnsi="Times New Roman" w:cs="Times New Roman"/>
          <w:sz w:val="24"/>
          <w:szCs w:val="24"/>
        </w:rPr>
        <w:t xml:space="preserve">, </w:t>
      </w:r>
      <w:proofErr w:type="spellStart"/>
      <w:r w:rsidRPr="0007317D">
        <w:rPr>
          <w:rFonts w:ascii="Times New Roman" w:eastAsia="Times New Roman" w:hAnsi="Times New Roman" w:cs="Times New Roman"/>
          <w:sz w:val="24"/>
          <w:szCs w:val="24"/>
        </w:rPr>
        <w:t>Herisau</w:t>
      </w:r>
      <w:proofErr w:type="spellEnd"/>
      <w:r w:rsidRPr="0007317D">
        <w:rPr>
          <w:rFonts w:ascii="Times New Roman" w:eastAsia="Times New Roman" w:hAnsi="Times New Roman" w:cs="Times New Roman"/>
          <w:sz w:val="24"/>
          <w:szCs w:val="24"/>
        </w:rPr>
        <w:t>, Switzerland) was used to control the pH of the kinetic reactions for the first 8 h. The setup of the kinetic studies is similar to the one reported earlier (</w:t>
      </w:r>
      <w:proofErr w:type="spellStart"/>
      <w:r w:rsidRPr="0007317D">
        <w:rPr>
          <w:rFonts w:ascii="Times New Roman" w:eastAsia="Times New Roman" w:hAnsi="Times New Roman" w:cs="Times New Roman"/>
          <w:sz w:val="24"/>
          <w:szCs w:val="24"/>
        </w:rPr>
        <w:t>Gräfe</w:t>
      </w:r>
      <w:proofErr w:type="spellEnd"/>
    </w:p>
    <w:p w:rsidR="0007317D" w:rsidRPr="0007317D" w:rsidRDefault="0007317D" w:rsidP="0007317D">
      <w:pPr>
        <w:spacing w:before="100" w:beforeAutospacing="1" w:after="100" w:afterAutospacing="1" w:line="240" w:lineRule="auto"/>
        <w:outlineLvl w:val="1"/>
        <w:rPr>
          <w:rFonts w:ascii="Times New Roman" w:eastAsia="Times New Roman" w:hAnsi="Times New Roman" w:cs="Times New Roman"/>
          <w:b/>
          <w:bCs/>
          <w:sz w:val="36"/>
          <w:szCs w:val="36"/>
        </w:rPr>
      </w:pPr>
      <w:r w:rsidRPr="0007317D">
        <w:rPr>
          <w:rFonts w:ascii="Times New Roman" w:eastAsia="Times New Roman" w:hAnsi="Times New Roman" w:cs="Times New Roman"/>
          <w:b/>
          <w:bCs/>
          <w:sz w:val="36"/>
          <w:szCs w:val="36"/>
        </w:rPr>
        <w:t>Sorption Kinetics</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lastRenderedPageBreak/>
        <w:t xml:space="preserve">Common, biphasic sorption reactions were observed in both single and co-sorption experiments of As(V) and </w:t>
      </w:r>
      <w:proofErr w:type="gramStart"/>
      <w:r w:rsidRPr="0007317D">
        <w:rPr>
          <w:rFonts w:ascii="Times New Roman" w:eastAsia="Times New Roman" w:hAnsi="Times New Roman" w:cs="Times New Roman"/>
          <w:sz w:val="24"/>
          <w:szCs w:val="24"/>
        </w:rPr>
        <w:t>Zn(</w:t>
      </w:r>
      <w:proofErr w:type="gramEnd"/>
      <w:r w:rsidRPr="0007317D">
        <w:rPr>
          <w:rFonts w:ascii="Times New Roman" w:eastAsia="Times New Roman" w:hAnsi="Times New Roman" w:cs="Times New Roman"/>
          <w:sz w:val="24"/>
          <w:szCs w:val="24"/>
        </w:rPr>
        <w:t>II) in 1000-ppm goethite suspensions (</w:t>
      </w:r>
      <w:proofErr w:type="spellStart"/>
      <w:r w:rsidRPr="0007317D">
        <w:rPr>
          <w:rFonts w:ascii="Times New Roman" w:eastAsia="Times New Roman" w:hAnsi="Times New Roman" w:cs="Times New Roman"/>
          <w:sz w:val="24"/>
          <w:szCs w:val="24"/>
        </w:rPr>
        <w:t>Gräfe</w:t>
      </w:r>
      <w:proofErr w:type="spellEnd"/>
      <w:r w:rsidRPr="0007317D">
        <w:rPr>
          <w:rFonts w:ascii="Times New Roman" w:eastAsia="Times New Roman" w:hAnsi="Times New Roman" w:cs="Times New Roman"/>
          <w:sz w:val="24"/>
          <w:szCs w:val="24"/>
        </w:rPr>
        <w:t xml:space="preserve"> et al 2001, </w:t>
      </w:r>
      <w:proofErr w:type="spellStart"/>
      <w:r w:rsidRPr="0007317D">
        <w:rPr>
          <w:rFonts w:ascii="Times New Roman" w:eastAsia="Times New Roman" w:hAnsi="Times New Roman" w:cs="Times New Roman"/>
          <w:sz w:val="24"/>
          <w:szCs w:val="24"/>
        </w:rPr>
        <w:t>Grossl</w:t>
      </w:r>
      <w:proofErr w:type="spellEnd"/>
      <w:r w:rsidRPr="0007317D">
        <w:rPr>
          <w:rFonts w:ascii="Times New Roman" w:eastAsia="Times New Roman" w:hAnsi="Times New Roman" w:cs="Times New Roman"/>
          <w:sz w:val="24"/>
          <w:szCs w:val="24"/>
        </w:rPr>
        <w:t xml:space="preserve"> and Sparks 1995, McBride 1994, O’Reilly et al 2001, Sparks 2002, Strawn et al 1998, </w:t>
      </w:r>
      <w:proofErr w:type="spellStart"/>
      <w:r w:rsidRPr="0007317D">
        <w:rPr>
          <w:rFonts w:ascii="Times New Roman" w:eastAsia="Times New Roman" w:hAnsi="Times New Roman" w:cs="Times New Roman"/>
          <w:sz w:val="24"/>
          <w:szCs w:val="24"/>
        </w:rPr>
        <w:t>Xue</w:t>
      </w:r>
      <w:proofErr w:type="spellEnd"/>
      <w:r w:rsidRPr="0007317D">
        <w:rPr>
          <w:rFonts w:ascii="Times New Roman" w:eastAsia="Times New Roman" w:hAnsi="Times New Roman" w:cs="Times New Roman"/>
          <w:sz w:val="24"/>
          <w:szCs w:val="24"/>
        </w:rPr>
        <w:t xml:space="preserve"> and Huang 1995). Approximately 95% As(V) and 72% </w:t>
      </w:r>
      <w:proofErr w:type="gramStart"/>
      <w:r w:rsidRPr="0007317D">
        <w:rPr>
          <w:rFonts w:ascii="Times New Roman" w:eastAsia="Times New Roman" w:hAnsi="Times New Roman" w:cs="Times New Roman"/>
          <w:sz w:val="24"/>
          <w:szCs w:val="24"/>
        </w:rPr>
        <w:t>Zn(</w:t>
      </w:r>
      <w:proofErr w:type="gramEnd"/>
      <w:r w:rsidRPr="0007317D">
        <w:rPr>
          <w:rFonts w:ascii="Times New Roman" w:eastAsia="Times New Roman" w:hAnsi="Times New Roman" w:cs="Times New Roman"/>
          <w:sz w:val="24"/>
          <w:szCs w:val="24"/>
        </w:rPr>
        <w:t xml:space="preserve">II) </w:t>
      </w:r>
      <w:proofErr w:type="spellStart"/>
      <w:r w:rsidRPr="0007317D">
        <w:rPr>
          <w:rFonts w:ascii="Times New Roman" w:eastAsia="Times New Roman" w:hAnsi="Times New Roman" w:cs="Times New Roman"/>
          <w:sz w:val="24"/>
          <w:szCs w:val="24"/>
        </w:rPr>
        <w:t>sorbed</w:t>
      </w:r>
      <w:proofErr w:type="spellEnd"/>
      <w:r w:rsidRPr="0007317D">
        <w:rPr>
          <w:rFonts w:ascii="Times New Roman" w:eastAsia="Times New Roman" w:hAnsi="Times New Roman" w:cs="Times New Roman"/>
          <w:sz w:val="24"/>
          <w:szCs w:val="24"/>
        </w:rPr>
        <w:t xml:space="preserve"> on goethite in the first 8 h (Fig. 1A,B). The initial sorption rates (0–8 h) increased by one order of magnitude with every order of magnitude increase in goethite suspension</w:t>
      </w:r>
    </w:p>
    <w:p w:rsidR="0007317D" w:rsidRPr="0007317D" w:rsidRDefault="0007317D" w:rsidP="0007317D">
      <w:pPr>
        <w:spacing w:before="100" w:beforeAutospacing="1" w:after="100" w:afterAutospacing="1" w:line="240" w:lineRule="auto"/>
        <w:outlineLvl w:val="1"/>
        <w:rPr>
          <w:rFonts w:ascii="Times New Roman" w:eastAsia="Times New Roman" w:hAnsi="Times New Roman" w:cs="Times New Roman"/>
          <w:b/>
          <w:bCs/>
          <w:sz w:val="36"/>
          <w:szCs w:val="36"/>
        </w:rPr>
      </w:pPr>
      <w:r w:rsidRPr="0007317D">
        <w:rPr>
          <w:rFonts w:ascii="Times New Roman" w:eastAsia="Times New Roman" w:hAnsi="Times New Roman" w:cs="Times New Roman"/>
          <w:b/>
          <w:bCs/>
          <w:sz w:val="36"/>
          <w:szCs w:val="36"/>
        </w:rPr>
        <w:t>Heterogeneous Nucleation</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The literature recognizes two types of nucleation reactions: homogeneous and heterogeneous (</w:t>
      </w:r>
      <w:proofErr w:type="spellStart"/>
      <w:r w:rsidRPr="0007317D">
        <w:rPr>
          <w:rFonts w:ascii="Times New Roman" w:eastAsia="Times New Roman" w:hAnsi="Times New Roman" w:cs="Times New Roman"/>
          <w:sz w:val="24"/>
          <w:szCs w:val="24"/>
        </w:rPr>
        <w:t>Stumm</w:t>
      </w:r>
      <w:proofErr w:type="spellEnd"/>
      <w:r w:rsidRPr="0007317D">
        <w:rPr>
          <w:rFonts w:ascii="Times New Roman" w:eastAsia="Times New Roman" w:hAnsi="Times New Roman" w:cs="Times New Roman"/>
          <w:sz w:val="24"/>
          <w:szCs w:val="24"/>
        </w:rPr>
        <w:t xml:space="preserve">, 1992). In the absence of a sorbent, a </w:t>
      </w:r>
      <w:r w:rsidRPr="0007317D">
        <w:rPr>
          <w:rFonts w:ascii="Times New Roman" w:eastAsia="Times New Roman" w:hAnsi="Times New Roman" w:cs="Times New Roman"/>
          <w:i/>
          <w:iCs/>
          <w:sz w:val="24"/>
          <w:szCs w:val="24"/>
        </w:rPr>
        <w:t>homogeneous</w:t>
      </w:r>
      <w:r w:rsidRPr="0007317D">
        <w:rPr>
          <w:rFonts w:ascii="Times New Roman" w:eastAsia="Times New Roman" w:hAnsi="Times New Roman" w:cs="Times New Roman"/>
          <w:sz w:val="24"/>
          <w:szCs w:val="24"/>
        </w:rPr>
        <w:t xml:space="preserve"> nucleation reaction may occur when the solution is saturated with the precipitating ions (i.e., log IAP/ </w:t>
      </w:r>
      <w:proofErr w:type="spellStart"/>
      <w:r w:rsidRPr="0007317D">
        <w:rPr>
          <w:rFonts w:ascii="Times New Roman" w:eastAsia="Times New Roman" w:hAnsi="Times New Roman" w:cs="Times New Roman"/>
          <w:sz w:val="24"/>
          <w:szCs w:val="24"/>
        </w:rPr>
        <w:t>K</w:t>
      </w:r>
      <w:r w:rsidRPr="0007317D">
        <w:rPr>
          <w:rFonts w:ascii="Times New Roman" w:eastAsia="Times New Roman" w:hAnsi="Times New Roman" w:cs="Times New Roman"/>
          <w:sz w:val="24"/>
          <w:szCs w:val="24"/>
          <w:vertAlign w:val="subscript"/>
        </w:rPr>
        <w:t>so</w:t>
      </w:r>
      <w:proofErr w:type="spellEnd"/>
      <w:r w:rsidRPr="0007317D">
        <w:rPr>
          <w:rFonts w:ascii="Times New Roman" w:eastAsia="Times New Roman" w:hAnsi="Times New Roman" w:cs="Times New Roman"/>
          <w:sz w:val="24"/>
          <w:szCs w:val="24"/>
        </w:rPr>
        <w:t xml:space="preserve"> = 1), but is kinetically limited until a critical oversaturation (log IAP/</w:t>
      </w:r>
      <w:proofErr w:type="spellStart"/>
      <w:r w:rsidRPr="0007317D">
        <w:rPr>
          <w:rFonts w:ascii="Times New Roman" w:eastAsia="Times New Roman" w:hAnsi="Times New Roman" w:cs="Times New Roman"/>
          <w:sz w:val="24"/>
          <w:szCs w:val="24"/>
        </w:rPr>
        <w:t>K</w:t>
      </w:r>
      <w:r w:rsidRPr="0007317D">
        <w:rPr>
          <w:rFonts w:ascii="Times New Roman" w:eastAsia="Times New Roman" w:hAnsi="Times New Roman" w:cs="Times New Roman"/>
          <w:sz w:val="24"/>
          <w:szCs w:val="24"/>
          <w:vertAlign w:val="subscript"/>
        </w:rPr>
        <w:t>so</w:t>
      </w:r>
      <w:proofErr w:type="spellEnd"/>
      <w:r w:rsidRPr="0007317D">
        <w:rPr>
          <w:rFonts w:ascii="Times New Roman" w:eastAsia="Times New Roman" w:hAnsi="Times New Roman" w:cs="Times New Roman"/>
          <w:sz w:val="24"/>
          <w:szCs w:val="24"/>
        </w:rPr>
        <w:t xml:space="preserve"> &gt;1) of the solution has occurred. The Gibbs free energy of the precipitation reaction (</w:t>
      </w:r>
      <w:proofErr w:type="spellStart"/>
      <w:r w:rsidRPr="0007317D">
        <w:rPr>
          <w:rFonts w:ascii="Times New Roman" w:eastAsia="Times New Roman" w:hAnsi="Times New Roman" w:cs="Times New Roman"/>
          <w:sz w:val="24"/>
          <w:szCs w:val="24"/>
        </w:rPr>
        <w:t>ΔG</w:t>
      </w:r>
      <w:r w:rsidRPr="0007317D">
        <w:rPr>
          <w:rFonts w:ascii="Times New Roman" w:eastAsia="Times New Roman" w:hAnsi="Times New Roman" w:cs="Times New Roman"/>
          <w:sz w:val="24"/>
          <w:szCs w:val="24"/>
          <w:vertAlign w:val="subscript"/>
        </w:rPr>
        <w:t>rxn</w:t>
      </w:r>
      <w:proofErr w:type="spellEnd"/>
      <w:r w:rsidRPr="0007317D">
        <w:rPr>
          <w:rFonts w:ascii="Times New Roman" w:eastAsia="Times New Roman" w:hAnsi="Times New Roman" w:cs="Times New Roman"/>
          <w:sz w:val="24"/>
          <w:szCs w:val="24"/>
        </w:rPr>
        <w:t>) is dependent on the energy gained from making bonds (</w:t>
      </w:r>
      <w:proofErr w:type="spellStart"/>
      <w:r w:rsidRPr="0007317D">
        <w:rPr>
          <w:rFonts w:ascii="Times New Roman" w:eastAsia="Times New Roman" w:hAnsi="Times New Roman" w:cs="Times New Roman"/>
          <w:sz w:val="24"/>
          <w:szCs w:val="24"/>
        </w:rPr>
        <w:t>ΔG</w:t>
      </w:r>
      <w:r w:rsidRPr="0007317D">
        <w:rPr>
          <w:rFonts w:ascii="Times New Roman" w:eastAsia="Times New Roman" w:hAnsi="Times New Roman" w:cs="Times New Roman"/>
          <w:sz w:val="24"/>
          <w:szCs w:val="24"/>
          <w:vertAlign w:val="subscript"/>
        </w:rPr>
        <w:t>bulk</w:t>
      </w:r>
      <w:proofErr w:type="spellEnd"/>
      <w:r w:rsidRPr="0007317D">
        <w:rPr>
          <w:rFonts w:ascii="Times New Roman" w:eastAsia="Times New Roman" w:hAnsi="Times New Roman" w:cs="Times New Roman"/>
          <w:sz w:val="24"/>
          <w:szCs w:val="24"/>
        </w:rPr>
        <w:t>) and the</w:t>
      </w:r>
    </w:p>
    <w:p w:rsidR="0007317D" w:rsidRPr="0007317D" w:rsidRDefault="0007317D" w:rsidP="0007317D">
      <w:pPr>
        <w:spacing w:before="100" w:beforeAutospacing="1" w:after="100" w:afterAutospacing="1" w:line="240" w:lineRule="auto"/>
        <w:outlineLvl w:val="1"/>
        <w:rPr>
          <w:rFonts w:ascii="Times New Roman" w:eastAsia="Times New Roman" w:hAnsi="Times New Roman" w:cs="Times New Roman"/>
          <w:b/>
          <w:bCs/>
          <w:sz w:val="36"/>
          <w:szCs w:val="36"/>
        </w:rPr>
      </w:pPr>
      <w:r w:rsidRPr="0007317D">
        <w:rPr>
          <w:rFonts w:ascii="Times New Roman" w:eastAsia="Times New Roman" w:hAnsi="Times New Roman" w:cs="Times New Roman"/>
          <w:b/>
          <w:bCs/>
          <w:sz w:val="36"/>
          <w:szCs w:val="36"/>
        </w:rPr>
        <w:t>Conclusions</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 xml:space="preserve">Heterogeneous nucleation reactions and possibly the formation of poly-nuclear zinc–arsenate solution species near the goethite surface are likely responsible for the reactions that are presented in this study. Four different zinc–arsenate solid phases formed depending on the solid–solution ratio of goethite: koettigite-like precipitates (0-ppm goethite, log (IAP/Ks) = 6.49), </w:t>
      </w:r>
      <w:proofErr w:type="spellStart"/>
      <w:r w:rsidRPr="0007317D">
        <w:rPr>
          <w:rFonts w:ascii="Times New Roman" w:eastAsia="Times New Roman" w:hAnsi="Times New Roman" w:cs="Times New Roman"/>
          <w:sz w:val="24"/>
          <w:szCs w:val="24"/>
        </w:rPr>
        <w:t>koritnigite</w:t>
      </w:r>
      <w:proofErr w:type="spellEnd"/>
      <w:r w:rsidRPr="0007317D">
        <w:rPr>
          <w:rFonts w:ascii="Times New Roman" w:eastAsia="Times New Roman" w:hAnsi="Times New Roman" w:cs="Times New Roman"/>
          <w:sz w:val="24"/>
          <w:szCs w:val="24"/>
        </w:rPr>
        <w:t>-like precipitates (10-ppm goethite, log (IAP/Ks) = −0.92), adamite-like precipitates (100-ppm goethite, log</w:t>
      </w:r>
    </w:p>
    <w:p w:rsidR="0007317D" w:rsidRPr="0007317D" w:rsidRDefault="0007317D" w:rsidP="0007317D">
      <w:pPr>
        <w:spacing w:before="100" w:beforeAutospacing="1" w:after="100" w:afterAutospacing="1" w:line="240" w:lineRule="auto"/>
        <w:outlineLvl w:val="1"/>
        <w:rPr>
          <w:rFonts w:ascii="Times New Roman" w:eastAsia="Times New Roman" w:hAnsi="Times New Roman" w:cs="Times New Roman"/>
          <w:b/>
          <w:bCs/>
          <w:sz w:val="36"/>
          <w:szCs w:val="36"/>
        </w:rPr>
      </w:pPr>
      <w:r w:rsidRPr="0007317D">
        <w:rPr>
          <w:rFonts w:ascii="Times New Roman" w:eastAsia="Times New Roman" w:hAnsi="Times New Roman" w:cs="Times New Roman"/>
          <w:b/>
          <w:bCs/>
          <w:sz w:val="36"/>
          <w:szCs w:val="36"/>
        </w:rPr>
        <w:t>Acknowledgments</w:t>
      </w:r>
    </w:p>
    <w:p w:rsidR="0007317D" w:rsidRPr="0007317D" w:rsidRDefault="0007317D" w:rsidP="0007317D">
      <w:pPr>
        <w:spacing w:before="100" w:beforeAutospacing="1" w:after="100" w:afterAutospacing="1" w:line="240" w:lineRule="auto"/>
        <w:rPr>
          <w:rFonts w:ascii="Times New Roman" w:eastAsia="Times New Roman" w:hAnsi="Times New Roman" w:cs="Times New Roman"/>
          <w:sz w:val="24"/>
          <w:szCs w:val="24"/>
        </w:rPr>
      </w:pPr>
      <w:r w:rsidRPr="0007317D">
        <w:rPr>
          <w:rFonts w:ascii="Times New Roman" w:eastAsia="Times New Roman" w:hAnsi="Times New Roman" w:cs="Times New Roman"/>
          <w:sz w:val="24"/>
          <w:szCs w:val="24"/>
        </w:rPr>
        <w:t xml:space="preserve">The authors would like to thank the Environmental Soil Chemistry Research Group for useful discussions about the project. Specifically, we would like to thank Cathy Dowding, Jennifer Seiter, Ryan </w:t>
      </w:r>
      <w:proofErr w:type="spellStart"/>
      <w:r w:rsidRPr="0007317D">
        <w:rPr>
          <w:rFonts w:ascii="Times New Roman" w:eastAsia="Times New Roman" w:hAnsi="Times New Roman" w:cs="Times New Roman"/>
          <w:sz w:val="24"/>
          <w:szCs w:val="24"/>
        </w:rPr>
        <w:t>Tappero</w:t>
      </w:r>
      <w:proofErr w:type="spellEnd"/>
      <w:r w:rsidRPr="0007317D">
        <w:rPr>
          <w:rFonts w:ascii="Times New Roman" w:eastAsia="Times New Roman" w:hAnsi="Times New Roman" w:cs="Times New Roman"/>
          <w:sz w:val="24"/>
          <w:szCs w:val="24"/>
        </w:rPr>
        <w:t xml:space="preserve">, Gerald Hendricks, and Dr. Peltier for their help during EXAFS data and macroscopic data collection. We are grateful for the assistance from Dr. K. Pandya during the EXAFS data collection at beamline X-11A and to Kirk </w:t>
      </w:r>
      <w:proofErr w:type="spellStart"/>
      <w:r w:rsidRPr="0007317D">
        <w:rPr>
          <w:rFonts w:ascii="Times New Roman" w:eastAsia="Times New Roman" w:hAnsi="Times New Roman" w:cs="Times New Roman"/>
          <w:sz w:val="24"/>
          <w:szCs w:val="24"/>
        </w:rPr>
        <w:t>Czymek</w:t>
      </w:r>
      <w:proofErr w:type="spellEnd"/>
      <w:r w:rsidRPr="0007317D">
        <w:rPr>
          <w:rFonts w:ascii="Times New Roman" w:eastAsia="Times New Roman" w:hAnsi="Times New Roman" w:cs="Times New Roman"/>
          <w:sz w:val="24"/>
          <w:szCs w:val="24"/>
        </w:rPr>
        <w:t xml:space="preserve"> and Deborah Powell from the Delaware Biotechnology Institute for field </w:t>
      </w:r>
    </w:p>
    <w:p w:rsidR="006F1100" w:rsidRDefault="006F1100"/>
    <w:sectPr w:rsidR="006F110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17D"/>
    <w:rsid w:val="0007317D"/>
    <w:rsid w:val="006F11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508C2"/>
  <w15:chartTrackingRefBased/>
  <w15:docId w15:val="{0B6D363F-F419-4687-8A45-05EA4123B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57853845">
      <w:bodyDiv w:val="1"/>
      <w:marLeft w:val="0"/>
      <w:marRight w:val="0"/>
      <w:marTop w:val="0"/>
      <w:marBottom w:val="0"/>
      <w:divBdr>
        <w:top w:val="none" w:sz="0" w:space="0" w:color="auto"/>
        <w:left w:val="none" w:sz="0" w:space="0" w:color="auto"/>
        <w:bottom w:val="none" w:sz="0" w:space="0" w:color="auto"/>
        <w:right w:val="none" w:sz="0" w:space="0" w:color="auto"/>
      </w:divBdr>
      <w:divsChild>
        <w:div w:id="805854540">
          <w:marLeft w:val="0"/>
          <w:marRight w:val="0"/>
          <w:marTop w:val="0"/>
          <w:marBottom w:val="0"/>
          <w:divBdr>
            <w:top w:val="none" w:sz="0" w:space="0" w:color="auto"/>
            <w:left w:val="none" w:sz="0" w:space="0" w:color="auto"/>
            <w:bottom w:val="none" w:sz="0" w:space="0" w:color="auto"/>
            <w:right w:val="none" w:sz="0" w:space="0" w:color="auto"/>
          </w:divBdr>
          <w:divsChild>
            <w:div w:id="1494760340">
              <w:marLeft w:val="0"/>
              <w:marRight w:val="0"/>
              <w:marTop w:val="0"/>
              <w:marBottom w:val="0"/>
              <w:divBdr>
                <w:top w:val="none" w:sz="0" w:space="0" w:color="auto"/>
                <w:left w:val="none" w:sz="0" w:space="0" w:color="auto"/>
                <w:bottom w:val="none" w:sz="0" w:space="0" w:color="auto"/>
                <w:right w:val="none" w:sz="0" w:space="0" w:color="auto"/>
              </w:divBdr>
              <w:divsChild>
                <w:div w:id="488326798">
                  <w:marLeft w:val="0"/>
                  <w:marRight w:val="0"/>
                  <w:marTop w:val="0"/>
                  <w:marBottom w:val="0"/>
                  <w:divBdr>
                    <w:top w:val="none" w:sz="0" w:space="0" w:color="auto"/>
                    <w:left w:val="none" w:sz="0" w:space="0" w:color="auto"/>
                    <w:bottom w:val="none" w:sz="0" w:space="0" w:color="auto"/>
                    <w:right w:val="none" w:sz="0" w:space="0" w:color="auto"/>
                  </w:divBdr>
                  <w:divsChild>
                    <w:div w:id="66205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115664">
          <w:marLeft w:val="0"/>
          <w:marRight w:val="0"/>
          <w:marTop w:val="0"/>
          <w:marBottom w:val="0"/>
          <w:divBdr>
            <w:top w:val="none" w:sz="0" w:space="0" w:color="auto"/>
            <w:left w:val="none" w:sz="0" w:space="0" w:color="auto"/>
            <w:bottom w:val="none" w:sz="0" w:space="0" w:color="auto"/>
            <w:right w:val="none" w:sz="0" w:space="0" w:color="auto"/>
          </w:divBdr>
          <w:divsChild>
            <w:div w:id="938946923">
              <w:marLeft w:val="0"/>
              <w:marRight w:val="0"/>
              <w:marTop w:val="0"/>
              <w:marBottom w:val="0"/>
              <w:divBdr>
                <w:top w:val="none" w:sz="0" w:space="0" w:color="auto"/>
                <w:left w:val="none" w:sz="0" w:space="0" w:color="auto"/>
                <w:bottom w:val="none" w:sz="0" w:space="0" w:color="auto"/>
                <w:right w:val="none" w:sz="0" w:space="0" w:color="auto"/>
              </w:divBdr>
              <w:divsChild>
                <w:div w:id="1032658244">
                  <w:marLeft w:val="0"/>
                  <w:marRight w:val="0"/>
                  <w:marTop w:val="0"/>
                  <w:marBottom w:val="0"/>
                  <w:divBdr>
                    <w:top w:val="none" w:sz="0" w:space="0" w:color="auto"/>
                    <w:left w:val="none" w:sz="0" w:space="0" w:color="auto"/>
                    <w:bottom w:val="none" w:sz="0" w:space="0" w:color="auto"/>
                    <w:right w:val="none" w:sz="0" w:space="0" w:color="auto"/>
                  </w:divBdr>
                  <w:divsChild>
                    <w:div w:id="1273978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78707">
          <w:marLeft w:val="0"/>
          <w:marRight w:val="0"/>
          <w:marTop w:val="0"/>
          <w:marBottom w:val="0"/>
          <w:divBdr>
            <w:top w:val="none" w:sz="0" w:space="0" w:color="auto"/>
            <w:left w:val="none" w:sz="0" w:space="0" w:color="auto"/>
            <w:bottom w:val="none" w:sz="0" w:space="0" w:color="auto"/>
            <w:right w:val="none" w:sz="0" w:space="0" w:color="auto"/>
          </w:divBdr>
          <w:divsChild>
            <w:div w:id="1706564353">
              <w:marLeft w:val="0"/>
              <w:marRight w:val="0"/>
              <w:marTop w:val="0"/>
              <w:marBottom w:val="0"/>
              <w:divBdr>
                <w:top w:val="none" w:sz="0" w:space="0" w:color="auto"/>
                <w:left w:val="none" w:sz="0" w:space="0" w:color="auto"/>
                <w:bottom w:val="none" w:sz="0" w:space="0" w:color="auto"/>
                <w:right w:val="none" w:sz="0" w:space="0" w:color="auto"/>
              </w:divBdr>
            </w:div>
          </w:divsChild>
        </w:div>
        <w:div w:id="149374736">
          <w:marLeft w:val="0"/>
          <w:marRight w:val="0"/>
          <w:marTop w:val="0"/>
          <w:marBottom w:val="0"/>
          <w:divBdr>
            <w:top w:val="none" w:sz="0" w:space="0" w:color="auto"/>
            <w:left w:val="none" w:sz="0" w:space="0" w:color="auto"/>
            <w:bottom w:val="none" w:sz="0" w:space="0" w:color="auto"/>
            <w:right w:val="none" w:sz="0" w:space="0" w:color="auto"/>
          </w:divBdr>
          <w:divsChild>
            <w:div w:id="3855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replenishment" TargetMode="External"/><Relationship Id="rId5" Type="http://schemas.openxmlformats.org/officeDocument/2006/relationships/hyperlink" Target="https://www.sciencedirect.com/topics/earth-and-planetary-sciences/goethite" TargetMode="External"/><Relationship Id="rId4" Type="http://schemas.openxmlformats.org/officeDocument/2006/relationships/hyperlink" Target="https://doi.org/10.1016/j.gca.2005.04.0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1387</Words>
  <Characters>7910</Characters>
  <Application>Microsoft Office Word</Application>
  <DocSecurity>0</DocSecurity>
  <Lines>65</Lines>
  <Paragraphs>18</Paragraphs>
  <ScaleCrop>false</ScaleCrop>
  <Company/>
  <LinksUpToDate>false</LinksUpToDate>
  <CharactersWithSpaces>9279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2023-11-18T00:24:00Z</dcterms:created>
  <dcterms:modified xsi:type="dcterms:W3CDTF">2023-11-18T00:25:00Z</dcterms:modified>
</cp:coreProperties>
</file>