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D23FF" w:rsidRPr="008D23FF" w:rsidRDefault="008D23FF" w:rsidP="008D23FF">
      <w:pPr>
        <w:spacing w:beforeAutospacing="1" w:after="0" w:afterAutospacing="1" w:line="240" w:lineRule="auto"/>
        <w:outlineLvl w:val="0"/>
        <w:rPr>
          <w:rFonts w:ascii="Times New Roman" w:eastAsia="Times New Roman" w:hAnsi="Times New Roman" w:cs="Times New Roman"/>
          <w:b/>
          <w:bCs/>
          <w:color w:val="1F1F1F"/>
          <w:kern w:val="36"/>
          <w:sz w:val="48"/>
          <w:szCs w:val="48"/>
          <w:lang w:val="en-US" w:eastAsia="ru-RU"/>
        </w:rPr>
      </w:pPr>
      <w:r w:rsidRPr="008D23FF">
        <w:rPr>
          <w:rFonts w:ascii="Times New Roman" w:eastAsia="Times New Roman" w:hAnsi="Times New Roman" w:cs="Times New Roman"/>
          <w:b/>
          <w:bCs/>
          <w:color w:val="1F1F1F"/>
          <w:kern w:val="36"/>
          <w:sz w:val="48"/>
          <w:szCs w:val="48"/>
          <w:lang w:val="en-US" w:eastAsia="ru-RU"/>
        </w:rPr>
        <w:t>Cryosphere of the earth and its influence on electromagnetic processes in seismoactive mountainous areas</w:t>
      </w:r>
    </w:p>
    <w:p w:rsidR="008D23FF" w:rsidRPr="008D23FF" w:rsidRDefault="008D23FF" w:rsidP="008D23FF">
      <w:pPr>
        <w:spacing w:after="0" w:line="240" w:lineRule="auto"/>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bdr w:val="none" w:sz="0" w:space="0" w:color="auto" w:frame="1"/>
          <w:lang w:val="en-US" w:eastAsia="ru-RU"/>
        </w:rPr>
        <w:t>Author links open overlay panel</w:t>
      </w:r>
      <w:r w:rsidRPr="008D23FF">
        <w:rPr>
          <w:rFonts w:ascii="Arial" w:eastAsia="Times New Roman" w:hAnsi="Arial" w:cs="Arial"/>
          <w:color w:val="1F1F1F"/>
          <w:sz w:val="24"/>
          <w:szCs w:val="24"/>
          <w:lang w:val="en-US" w:eastAsia="ru-RU"/>
        </w:rPr>
        <w:t>Yu.B. Bashkuev </w:t>
      </w:r>
      <w:r w:rsidRPr="008D23FF">
        <w:rPr>
          <w:rFonts w:ascii="Arial" w:eastAsia="Times New Roman" w:hAnsi="Arial" w:cs="Arial"/>
          <w:color w:val="1F1F1F"/>
          <w:sz w:val="18"/>
          <w:szCs w:val="18"/>
          <w:vertAlign w:val="superscript"/>
          <w:lang w:val="en-US" w:eastAsia="ru-RU"/>
        </w:rPr>
        <w:t>a</w:t>
      </w:r>
      <w:r w:rsidRPr="008D23FF">
        <w:rPr>
          <w:rFonts w:ascii="Arial" w:eastAsia="Times New Roman" w:hAnsi="Arial" w:cs="Arial"/>
          <w:color w:val="1F1F1F"/>
          <w:sz w:val="24"/>
          <w:szCs w:val="24"/>
          <w:lang w:val="en-US" w:eastAsia="ru-RU"/>
        </w:rPr>
        <w:t>, V.P. Melchinov </w:t>
      </w:r>
      <w:r w:rsidRPr="008D23FF">
        <w:rPr>
          <w:rFonts w:ascii="Arial" w:eastAsia="Times New Roman" w:hAnsi="Arial" w:cs="Arial"/>
          <w:color w:val="1F1F1F"/>
          <w:sz w:val="18"/>
          <w:szCs w:val="18"/>
          <w:vertAlign w:val="superscript"/>
          <w:lang w:val="en-US" w:eastAsia="ru-RU"/>
        </w:rPr>
        <w:t>b</w:t>
      </w:r>
      <w:r w:rsidRPr="008D23FF">
        <w:rPr>
          <w:rFonts w:ascii="Arial" w:eastAsia="Times New Roman" w:hAnsi="Arial" w:cs="Arial"/>
          <w:color w:val="1F1F1F"/>
          <w:sz w:val="24"/>
          <w:szCs w:val="24"/>
          <w:lang w:val="en-US" w:eastAsia="ru-RU"/>
        </w:rPr>
        <w:t>, D.G. Buyanova </w:t>
      </w:r>
      <w:r w:rsidRPr="008D23FF">
        <w:rPr>
          <w:rFonts w:ascii="Arial" w:eastAsia="Times New Roman" w:hAnsi="Arial" w:cs="Arial"/>
          <w:color w:val="1F1F1F"/>
          <w:sz w:val="18"/>
          <w:szCs w:val="18"/>
          <w:vertAlign w:val="superscript"/>
          <w:lang w:val="en-US" w:eastAsia="ru-RU"/>
        </w:rPr>
        <w:t>a</w:t>
      </w:r>
      <w:r w:rsidRPr="008D23FF">
        <w:rPr>
          <w:rFonts w:ascii="Arial" w:eastAsia="Times New Roman" w:hAnsi="Arial" w:cs="Arial"/>
          <w:color w:val="1F1F1F"/>
          <w:sz w:val="24"/>
          <w:szCs w:val="24"/>
          <w:lang w:val="en-US" w:eastAsia="ru-RU"/>
        </w:rPr>
        <w:t>, L.Kh. Angarkhaeva </w:t>
      </w:r>
      <w:r w:rsidRPr="008D23FF">
        <w:rPr>
          <w:rFonts w:ascii="Arial" w:eastAsia="Times New Roman" w:hAnsi="Arial" w:cs="Arial"/>
          <w:color w:val="1F1F1F"/>
          <w:sz w:val="18"/>
          <w:szCs w:val="18"/>
          <w:vertAlign w:val="superscript"/>
          <w:lang w:val="en-US" w:eastAsia="ru-RU"/>
        </w:rPr>
        <w:t>a</w:t>
      </w:r>
      <w:r w:rsidRPr="008D23FF">
        <w:rPr>
          <w:rFonts w:ascii="Arial" w:eastAsia="Times New Roman" w:hAnsi="Arial" w:cs="Arial"/>
          <w:color w:val="1F1F1F"/>
          <w:sz w:val="24"/>
          <w:szCs w:val="24"/>
          <w:lang w:val="en-US" w:eastAsia="ru-RU"/>
        </w:rPr>
        <w:t>, M.G. Dembelov </w:t>
      </w:r>
      <w:r w:rsidRPr="008D23FF">
        <w:rPr>
          <w:rFonts w:ascii="Arial" w:eastAsia="Times New Roman" w:hAnsi="Arial" w:cs="Arial"/>
          <w:color w:val="1F1F1F"/>
          <w:sz w:val="18"/>
          <w:szCs w:val="18"/>
          <w:vertAlign w:val="superscript"/>
          <w:lang w:val="en-US" w:eastAsia="ru-RU"/>
        </w:rPr>
        <w:t>a</w:t>
      </w:r>
      <w:r w:rsidRPr="008D23FF">
        <w:rPr>
          <w:rFonts w:ascii="Arial" w:eastAsia="Times New Roman" w:hAnsi="Arial" w:cs="Arial"/>
          <w:color w:val="1F1F1F"/>
          <w:sz w:val="24"/>
          <w:szCs w:val="24"/>
          <w:lang w:val="en-US" w:eastAsia="ru-RU"/>
        </w:rPr>
        <w:t>, V.B. Khaptanov </w:t>
      </w:r>
      <w:r w:rsidRPr="008D23FF">
        <w:rPr>
          <w:rFonts w:ascii="Arial" w:eastAsia="Times New Roman" w:hAnsi="Arial" w:cs="Arial"/>
          <w:color w:val="1F1F1F"/>
          <w:sz w:val="18"/>
          <w:szCs w:val="18"/>
          <w:vertAlign w:val="superscript"/>
          <w:lang w:val="en-US" w:eastAsia="ru-RU"/>
        </w:rPr>
        <w:t>a</w:t>
      </w:r>
      <w:r w:rsidRPr="008D23FF">
        <w:rPr>
          <w:rFonts w:ascii="Arial" w:eastAsia="Times New Roman" w:hAnsi="Arial" w:cs="Arial"/>
          <w:color w:val="1F1F1F"/>
          <w:sz w:val="24"/>
          <w:szCs w:val="24"/>
          <w:lang w:val="en-US" w:eastAsia="ru-RU"/>
        </w:rPr>
        <w:t>, M. Hayakawa </w:t>
      </w:r>
      <w:r w:rsidRPr="008D23FF">
        <w:rPr>
          <w:rFonts w:ascii="Arial" w:eastAsia="Times New Roman" w:hAnsi="Arial" w:cs="Arial"/>
          <w:color w:val="1F1F1F"/>
          <w:sz w:val="18"/>
          <w:szCs w:val="18"/>
          <w:vertAlign w:val="superscript"/>
          <w:lang w:val="en-US" w:eastAsia="ru-RU"/>
        </w:rPr>
        <w:t>c</w:t>
      </w: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val="en" w:eastAsia="ru-RU"/>
        </w:rPr>
      </w:pPr>
      <w:bookmarkStart w:id="0" w:name="_GoBack"/>
      <w:bookmarkEnd w:id="0"/>
      <w:r w:rsidRPr="008D23FF">
        <w:rPr>
          <w:rFonts w:ascii="Arial" w:eastAsia="Times New Roman" w:hAnsi="Arial" w:cs="Arial"/>
          <w:b/>
          <w:bCs/>
          <w:color w:val="1F1F1F"/>
          <w:sz w:val="36"/>
          <w:szCs w:val="36"/>
          <w:lang w:val="en" w:eastAsia="ru-RU"/>
        </w:rPr>
        <w:t>Abstract</w:t>
      </w:r>
    </w:p>
    <w:p w:rsidR="008D23FF" w:rsidRPr="008D23FF" w:rsidRDefault="008D23FF" w:rsidP="008D23FF">
      <w:pPr>
        <w:spacing w:after="120" w:line="390" w:lineRule="atLeast"/>
        <w:rPr>
          <w:rFonts w:ascii="Arial" w:eastAsia="Times New Roman" w:hAnsi="Arial" w:cs="Arial"/>
          <w:color w:val="1F1F1F"/>
          <w:sz w:val="24"/>
          <w:szCs w:val="24"/>
          <w:lang w:val="en" w:eastAsia="ru-RU"/>
        </w:rPr>
      </w:pPr>
      <w:r w:rsidRPr="008D23FF">
        <w:rPr>
          <w:rFonts w:ascii="Arial" w:eastAsia="Times New Roman" w:hAnsi="Arial" w:cs="Arial"/>
          <w:color w:val="1F1F1F"/>
          <w:sz w:val="24"/>
          <w:szCs w:val="24"/>
          <w:lang w:val="en" w:eastAsia="ru-RU"/>
        </w:rPr>
        <w:t>The purpose of this paper is to present a detailed physical description and classification of electrical properties, construction and structure of the cryolitozone at the depth of skin-layer in VLF range for Aldan plateau, central part of the Yakutia and tundra regions not far from the </w:t>
      </w:r>
      <w:hyperlink r:id="rId5" w:tooltip="Learn more about Arctic Ocean from ScienceDirect's AI-generated Topic Pages" w:history="1">
        <w:r w:rsidRPr="008D23FF">
          <w:rPr>
            <w:rFonts w:ascii="Arial" w:eastAsia="Times New Roman" w:hAnsi="Arial" w:cs="Arial"/>
            <w:color w:val="1F1F1F"/>
            <w:sz w:val="24"/>
            <w:szCs w:val="24"/>
            <w:u w:val="single"/>
            <w:lang w:val="en" w:eastAsia="ru-RU"/>
          </w:rPr>
          <w:t>Arctic Ocean</w:t>
        </w:r>
      </w:hyperlink>
      <w:r w:rsidRPr="008D23FF">
        <w:rPr>
          <w:rFonts w:ascii="Arial" w:eastAsia="Times New Roman" w:hAnsi="Arial" w:cs="Arial"/>
          <w:color w:val="1F1F1F"/>
          <w:sz w:val="24"/>
          <w:szCs w:val="24"/>
          <w:lang w:val="en" w:eastAsia="ru-RU"/>
        </w:rPr>
        <w:t>. Electrical characteristics of the regions studied are typical for the cryolitozone. The frequency dispersion of some types of permafrost zones is experimentally studied. It is then shown that the frequency dispersion of the electric resistance of the layer of frozen friable sediments over the frequency from direct current to VLF–MF ranges is a peculiarity of electrical properties of the cryolitozone. A complex interpretation of the data of radioimpedance and electric soundings for permafrost rocks is carried out on the basis of developed automated </w:t>
      </w:r>
      <w:hyperlink r:id="rId6" w:tooltip="Learn more about numerical methods from ScienceDirect's AI-generated Topic Pages" w:history="1">
        <w:r w:rsidRPr="008D23FF">
          <w:rPr>
            <w:rFonts w:ascii="Arial" w:eastAsia="Times New Roman" w:hAnsi="Arial" w:cs="Arial"/>
            <w:color w:val="1F1F1F"/>
            <w:sz w:val="24"/>
            <w:szCs w:val="24"/>
            <w:u w:val="single"/>
            <w:lang w:val="en" w:eastAsia="ru-RU"/>
          </w:rPr>
          <w:t>numerical methods</w:t>
        </w:r>
      </w:hyperlink>
      <w:r w:rsidRPr="008D23FF">
        <w:rPr>
          <w:rFonts w:ascii="Arial" w:eastAsia="Times New Roman" w:hAnsi="Arial" w:cs="Arial"/>
          <w:color w:val="1F1F1F"/>
          <w:sz w:val="24"/>
          <w:szCs w:val="24"/>
          <w:lang w:val="en" w:eastAsia="ru-RU"/>
        </w:rPr>
        <w:t> of direct and </w:t>
      </w:r>
      <w:hyperlink r:id="rId7" w:tooltip="Learn more about inverse problems from ScienceDirect's AI-generated Topic Pages" w:history="1">
        <w:r w:rsidRPr="008D23FF">
          <w:rPr>
            <w:rFonts w:ascii="Arial" w:eastAsia="Times New Roman" w:hAnsi="Arial" w:cs="Arial"/>
            <w:color w:val="1F1F1F"/>
            <w:sz w:val="24"/>
            <w:szCs w:val="24"/>
            <w:u w:val="single"/>
            <w:lang w:val="en" w:eastAsia="ru-RU"/>
          </w:rPr>
          <w:t>inverse problems</w:t>
        </w:r>
      </w:hyperlink>
      <w:r w:rsidRPr="008D23FF">
        <w:rPr>
          <w:rFonts w:ascii="Arial" w:eastAsia="Times New Roman" w:hAnsi="Arial" w:cs="Arial"/>
          <w:color w:val="1F1F1F"/>
          <w:sz w:val="24"/>
          <w:szCs w:val="24"/>
          <w:lang w:val="en" w:eastAsia="ru-RU"/>
        </w:rPr>
        <w:t> for the radioimpedance sounding. It is determined that geoelectrical sections with the type of K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1</w:t>
      </w:r>
      <w:r w:rsidRPr="008D23FF">
        <w:rPr>
          <w:rFonts w:ascii="Arial" w:eastAsia="Times New Roman" w:hAnsi="Arial" w:cs="Arial"/>
          <w:color w:val="1F1F1F"/>
          <w:sz w:val="24"/>
          <w:szCs w:val="24"/>
          <w:lang w:val="en" w:eastAsia="ru-RU"/>
        </w:rPr>
        <w:t> &lt;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2</w:t>
      </w:r>
      <w:r w:rsidRPr="008D23FF">
        <w:rPr>
          <w:rFonts w:ascii="Arial" w:eastAsia="Times New Roman" w:hAnsi="Arial" w:cs="Arial"/>
          <w:color w:val="1F1F1F"/>
          <w:sz w:val="24"/>
          <w:szCs w:val="24"/>
          <w:lang w:val="en" w:eastAsia="ru-RU"/>
        </w:rPr>
        <w:t> &gt;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3</w:t>
      </w:r>
      <w:r w:rsidRPr="008D23FF">
        <w:rPr>
          <w:rFonts w:ascii="Arial" w:eastAsia="Times New Roman" w:hAnsi="Arial" w:cs="Arial"/>
          <w:color w:val="1F1F1F"/>
          <w:sz w:val="24"/>
          <w:szCs w:val="24"/>
          <w:lang w:val="en" w:eastAsia="ru-RU"/>
        </w:rPr>
        <w:t>) and the type of Q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1</w:t>
      </w:r>
      <w:r w:rsidRPr="008D23FF">
        <w:rPr>
          <w:rFonts w:ascii="Arial" w:eastAsia="Times New Roman" w:hAnsi="Arial" w:cs="Arial"/>
          <w:color w:val="1F1F1F"/>
          <w:sz w:val="24"/>
          <w:szCs w:val="24"/>
          <w:lang w:val="en" w:eastAsia="ru-RU"/>
        </w:rPr>
        <w:t> &gt;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2</w:t>
      </w:r>
      <w:r w:rsidRPr="008D23FF">
        <w:rPr>
          <w:rFonts w:ascii="Arial" w:eastAsia="Times New Roman" w:hAnsi="Arial" w:cs="Arial"/>
          <w:color w:val="1F1F1F"/>
          <w:sz w:val="24"/>
          <w:szCs w:val="24"/>
          <w:lang w:val="en" w:eastAsia="ru-RU"/>
        </w:rPr>
        <w:t> &gt;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3</w:t>
      </w:r>
      <w:r w:rsidRPr="008D23FF">
        <w:rPr>
          <w:rFonts w:ascii="Arial" w:eastAsia="Times New Roman" w:hAnsi="Arial" w:cs="Arial"/>
          <w:color w:val="1F1F1F"/>
          <w:sz w:val="24"/>
          <w:szCs w:val="24"/>
          <w:lang w:val="en" w:eastAsia="ru-RU"/>
        </w:rPr>
        <w:t>) are most typical for sediment rocks of the cryolitozone at the depth of 100 m of the Northern-East part of Russia. Geoelectrical section A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1</w:t>
      </w:r>
      <w:r w:rsidRPr="008D23FF">
        <w:rPr>
          <w:rFonts w:ascii="Arial" w:eastAsia="Times New Roman" w:hAnsi="Arial" w:cs="Arial"/>
          <w:color w:val="1F1F1F"/>
          <w:sz w:val="24"/>
          <w:szCs w:val="24"/>
          <w:lang w:val="en" w:eastAsia="ru-RU"/>
        </w:rPr>
        <w:t> &lt;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2</w:t>
      </w:r>
      <w:r w:rsidRPr="008D23FF">
        <w:rPr>
          <w:rFonts w:ascii="Arial" w:eastAsia="Times New Roman" w:hAnsi="Arial" w:cs="Arial"/>
          <w:color w:val="1F1F1F"/>
          <w:sz w:val="24"/>
          <w:szCs w:val="24"/>
          <w:lang w:val="en" w:eastAsia="ru-RU"/>
        </w:rPr>
        <w:t> &lt; </w:t>
      </w:r>
      <w:r w:rsidRPr="008D23FF">
        <w:rPr>
          <w:rFonts w:ascii="Arial" w:eastAsia="Times New Roman" w:hAnsi="Arial" w:cs="Arial"/>
          <w:i/>
          <w:iCs/>
          <w:color w:val="1F1F1F"/>
          <w:sz w:val="24"/>
          <w:szCs w:val="24"/>
          <w:lang w:val="en" w:eastAsia="ru-RU"/>
        </w:rPr>
        <w:t>ρ</w:t>
      </w:r>
      <w:r w:rsidRPr="008D23FF">
        <w:rPr>
          <w:rFonts w:ascii="Arial" w:eastAsia="Times New Roman" w:hAnsi="Arial" w:cs="Arial"/>
          <w:color w:val="1F1F1F"/>
          <w:sz w:val="18"/>
          <w:szCs w:val="18"/>
          <w:vertAlign w:val="subscript"/>
          <w:lang w:val="en" w:eastAsia="ru-RU"/>
        </w:rPr>
        <w:t>3</w:t>
      </w:r>
      <w:r w:rsidRPr="008D23FF">
        <w:rPr>
          <w:rFonts w:ascii="Arial" w:eastAsia="Times New Roman" w:hAnsi="Arial" w:cs="Arial"/>
          <w:color w:val="1F1F1F"/>
          <w:sz w:val="24"/>
          <w:szCs w:val="24"/>
          <w:lang w:val="en" w:eastAsia="ru-RU"/>
        </w:rPr>
        <w:t>) is the basic for ancient crystal rocks of the Aldan shield. Electrical properties of the cryolitozone are changed appropriately in space and in time and depend on the complex of the crystal and sediment rocks. The surface impedance shows inductive and capacitive nature and is changed in a wide range from minimum for saline lands to maximum for </w:t>
      </w:r>
      <w:hyperlink r:id="rId8" w:tooltip="Learn more about granitoids from ScienceDirect's AI-generated Topic Pages" w:history="1">
        <w:r w:rsidRPr="008D23FF">
          <w:rPr>
            <w:rFonts w:ascii="Arial" w:eastAsia="Times New Roman" w:hAnsi="Arial" w:cs="Arial"/>
            <w:color w:val="1F1F1F"/>
            <w:sz w:val="24"/>
            <w:szCs w:val="24"/>
            <w:u w:val="single"/>
            <w:lang w:val="en" w:eastAsia="ru-RU"/>
          </w:rPr>
          <w:t>granitoids</w:t>
        </w:r>
      </w:hyperlink>
      <w:r w:rsidRPr="008D23FF">
        <w:rPr>
          <w:rFonts w:ascii="Arial" w:eastAsia="Times New Roman" w:hAnsi="Arial" w:cs="Arial"/>
          <w:color w:val="1F1F1F"/>
          <w:sz w:val="24"/>
          <w:szCs w:val="24"/>
          <w:lang w:val="en" w:eastAsia="ru-RU"/>
        </w:rPr>
        <w:t>.</w:t>
      </w:r>
    </w:p>
    <w:p w:rsidR="008D23FF" w:rsidRPr="008D23FF" w:rsidRDefault="008D23FF" w:rsidP="008D23FF">
      <w:pPr>
        <w:spacing w:after="100" w:afterAutospacing="1" w:line="390" w:lineRule="atLeast"/>
        <w:outlineLvl w:val="1"/>
        <w:rPr>
          <w:rFonts w:ascii="Arial" w:eastAsia="Times New Roman" w:hAnsi="Arial" w:cs="Arial"/>
          <w:b/>
          <w:bCs/>
          <w:color w:val="1F1F1F"/>
          <w:sz w:val="36"/>
          <w:szCs w:val="36"/>
          <w:lang w:val="en-US" w:eastAsia="ru-RU"/>
        </w:rPr>
      </w:pPr>
      <w:r w:rsidRPr="008D23FF">
        <w:rPr>
          <w:rFonts w:ascii="Arial" w:eastAsia="Times New Roman" w:hAnsi="Arial" w:cs="Arial"/>
          <w:b/>
          <w:bCs/>
          <w:color w:val="1F1F1F"/>
          <w:sz w:val="36"/>
          <w:szCs w:val="36"/>
          <w:lang w:val="en-US" w:eastAsia="ru-RU"/>
        </w:rPr>
        <w:t>Introduction</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Permafrost rocks (cryosphere of the Earth) are widely distributed in areas with subpolar and cold-temperate climate. They constitute 24% of all lands of the Earth, i.e. more than 35 million km</w:t>
      </w:r>
      <w:r w:rsidRPr="008D23FF">
        <w:rPr>
          <w:rFonts w:ascii="Arial" w:eastAsia="Times New Roman" w:hAnsi="Arial" w:cs="Arial"/>
          <w:color w:val="1F1F1F"/>
          <w:sz w:val="18"/>
          <w:szCs w:val="18"/>
          <w:vertAlign w:val="superscript"/>
          <w:lang w:val="en-US" w:eastAsia="ru-RU"/>
        </w:rPr>
        <w:t>2</w:t>
      </w:r>
      <w:r w:rsidRPr="008D23FF">
        <w:rPr>
          <w:rFonts w:ascii="Arial" w:eastAsia="Times New Roman" w:hAnsi="Arial" w:cs="Arial"/>
          <w:color w:val="1F1F1F"/>
          <w:sz w:val="24"/>
          <w:szCs w:val="24"/>
          <w:lang w:val="en-US" w:eastAsia="ru-RU"/>
        </w:rPr>
        <w:t xml:space="preserve">. The thickness of the layer of permafrost rocks grows from the south to the north from several meters up to 1500 m and more. Investigations of electromagnetic processes and of the phenomena in the cryosphere are carried out in a number of countries including Russia, Canada and USA. However, in seismoelectromagnetics works there are no data at all on the influence of the physical characteristics of the </w:t>
      </w:r>
      <w:r w:rsidRPr="008D23FF">
        <w:rPr>
          <w:rFonts w:ascii="Arial" w:eastAsia="Times New Roman" w:hAnsi="Arial" w:cs="Arial"/>
          <w:color w:val="1F1F1F"/>
          <w:sz w:val="24"/>
          <w:szCs w:val="24"/>
          <w:lang w:val="en-US" w:eastAsia="ru-RU"/>
        </w:rPr>
        <w:lastRenderedPageBreak/>
        <w:t>cryogenic environment on the processes of excitation and propagation of electromagnetic waves. It is necessary to note that the seismoactive area of Alaska and the north of Canada, northeast of Eurasia, high mountains of Pamir, Tien Shan, the Himalaya and the Andes belong to the cryosphere of the Earth. Thus, cryogenic areas with very low electrical conductivity are one of the most poorly investigated objects in seismoelectromagnetics. Resistivity of a permafrost at direct current reaches 10</w:t>
      </w:r>
      <w:r w:rsidRPr="008D23FF">
        <w:rPr>
          <w:rFonts w:ascii="Arial" w:eastAsia="Times New Roman" w:hAnsi="Arial" w:cs="Arial"/>
          <w:color w:val="1F1F1F"/>
          <w:sz w:val="18"/>
          <w:szCs w:val="18"/>
          <w:vertAlign w:val="superscript"/>
          <w:lang w:val="en-US" w:eastAsia="ru-RU"/>
        </w:rPr>
        <w:t>4</w:t>
      </w:r>
      <w:r w:rsidRPr="008D23FF">
        <w:rPr>
          <w:rFonts w:ascii="Arial" w:eastAsia="Times New Roman" w:hAnsi="Arial" w:cs="Arial"/>
          <w:color w:val="1F1F1F"/>
          <w:sz w:val="24"/>
          <w:szCs w:val="24"/>
          <w:lang w:val="en-US" w:eastAsia="ru-RU"/>
        </w:rPr>
        <w:t>–2.5 × 10</w:t>
      </w:r>
      <w:r w:rsidRPr="008D23FF">
        <w:rPr>
          <w:rFonts w:ascii="Arial" w:eastAsia="Times New Roman" w:hAnsi="Arial" w:cs="Arial"/>
          <w:color w:val="1F1F1F"/>
          <w:sz w:val="18"/>
          <w:szCs w:val="18"/>
          <w:vertAlign w:val="superscript"/>
          <w:lang w:val="en-US" w:eastAsia="ru-RU"/>
        </w:rPr>
        <w:t>6</w:t>
      </w:r>
      <w:r w:rsidRPr="008D23FF">
        <w:rPr>
          <w:rFonts w:ascii="Arial" w:eastAsia="Times New Roman" w:hAnsi="Arial" w:cs="Arial"/>
          <w:color w:val="1F1F1F"/>
          <w:sz w:val="24"/>
          <w:szCs w:val="24"/>
          <w:lang w:val="en-US" w:eastAsia="ru-RU"/>
        </w:rPr>
        <w:t> </w:t>
      </w:r>
      <w:r w:rsidRPr="008D23FF">
        <w:rPr>
          <w:rFonts w:ascii="Arial" w:eastAsia="Times New Roman" w:hAnsi="Arial" w:cs="Arial"/>
          <w:color w:val="1F1F1F"/>
          <w:sz w:val="24"/>
          <w:szCs w:val="24"/>
          <w:lang w:eastAsia="ru-RU"/>
        </w:rPr>
        <w:t>Ω</w:t>
      </w:r>
      <w:r w:rsidRPr="008D23FF">
        <w:rPr>
          <w:rFonts w:ascii="Arial" w:eastAsia="Times New Roman" w:hAnsi="Arial" w:cs="Arial"/>
          <w:color w:val="1F1F1F"/>
          <w:sz w:val="24"/>
          <w:szCs w:val="24"/>
          <w:lang w:val="en-US" w:eastAsia="ru-RU"/>
        </w:rPr>
        <w:t> m. As a whole, very few works are devoted to electromagnetic properties of cryolitozone. We shall also notice that monitoring of radon in cryolitozone for the purpose of the forecast of earthquakes is not effective because of the strong shielding influence of a layer of permafrost rocks with thickness up to 1500 m.</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In this paper we present the detailed physical description and classification of electric properties, construction and structures of the cryolitozone for northeast of Eurasia (Aldan plateau, the central Yakutia and tundra areas near the coast of the Arctic ocean). As a result of experiments it is established that electric properties of the cryolitozone change regularly with space and time and they depend on the complexities of crystal and sedimentary rocks. Electric characteristics of the regions investigated are typical for the cryolitozone.</w:t>
      </w:r>
    </w:p>
    <w:p w:rsidR="008D23FF" w:rsidRPr="008D23FF" w:rsidRDefault="008D23FF" w:rsidP="008D23FF">
      <w:pPr>
        <w:spacing w:after="0" w:line="240" w:lineRule="auto"/>
        <w:rPr>
          <w:rFonts w:ascii="Arial" w:eastAsia="Times New Roman" w:hAnsi="Arial" w:cs="Arial"/>
          <w:color w:val="1F1F1F"/>
          <w:sz w:val="24"/>
          <w:szCs w:val="24"/>
          <w:lang w:val="en-US" w:eastAsia="ru-RU"/>
        </w:rPr>
      </w:pP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8D23FF">
        <w:rPr>
          <w:rFonts w:ascii="Arial" w:eastAsia="Times New Roman" w:hAnsi="Arial" w:cs="Arial"/>
          <w:b/>
          <w:bCs/>
          <w:color w:val="1F1F1F"/>
          <w:sz w:val="36"/>
          <w:szCs w:val="36"/>
          <w:lang w:val="en-US" w:eastAsia="ru-RU"/>
        </w:rPr>
        <w:t>Section snippets</w:t>
      </w: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8D23FF">
        <w:rPr>
          <w:rFonts w:ascii="Arial" w:eastAsia="Times New Roman" w:hAnsi="Arial" w:cs="Arial"/>
          <w:b/>
          <w:bCs/>
          <w:color w:val="1F1F1F"/>
          <w:sz w:val="36"/>
          <w:szCs w:val="36"/>
          <w:lang w:val="en-US" w:eastAsia="ru-RU"/>
        </w:rPr>
        <w:t>Frequency dispersion</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The cryolitozone frequency dispersion is experimentally studied. It is established that the main feature of the electric properties of cryolitozone is the frequency dispersion of electric resistance of a layer of frozen loose sediments (FLS) in the frequency from direct current to VLF–MF ranges. For a geoelectric section (GES) containing “low-temperature” frozen loose sediments, the distinction of their electric resistivity (ER) between direct and alternating currents is established. ER values</w:t>
      </w: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8D23FF">
        <w:rPr>
          <w:rFonts w:ascii="Arial" w:eastAsia="Times New Roman" w:hAnsi="Arial" w:cs="Arial"/>
          <w:b/>
          <w:bCs/>
          <w:color w:val="1F1F1F"/>
          <w:sz w:val="36"/>
          <w:szCs w:val="36"/>
          <w:lang w:val="en-US" w:eastAsia="ru-RU"/>
        </w:rPr>
        <w:t>Surface impedance</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 xml:space="preserve">The analysis of numerous measurements of surface impedance of various types of cryogenic rocks (more than 2000 measurements of </w:t>
      </w:r>
      <w:r w:rsidRPr="008D23FF">
        <w:rPr>
          <w:rFonts w:ascii="Cambria Math" w:eastAsia="Times New Roman" w:hAnsi="Cambria Math" w:cs="Cambria Math"/>
          <w:color w:val="1F1F1F"/>
          <w:sz w:val="24"/>
          <w:szCs w:val="24"/>
          <w:lang w:val="en-US" w:eastAsia="ru-RU"/>
        </w:rPr>
        <w:t>∣</w:t>
      </w:r>
      <w:r w:rsidRPr="008D23FF">
        <w:rPr>
          <w:rFonts w:ascii="Arial" w:eastAsia="Times New Roman" w:hAnsi="Arial" w:cs="Arial"/>
          <w:i/>
          <w:iCs/>
          <w:color w:val="1F1F1F"/>
          <w:sz w:val="24"/>
          <w:szCs w:val="24"/>
          <w:lang w:eastAsia="ru-RU"/>
        </w:rPr>
        <w:t>δ</w:t>
      </w:r>
      <w:r w:rsidRPr="008D23FF">
        <w:rPr>
          <w:rFonts w:ascii="Cambria Math" w:eastAsia="Times New Roman" w:hAnsi="Cambria Math" w:cs="Cambria Math"/>
          <w:color w:val="1F1F1F"/>
          <w:sz w:val="24"/>
          <w:szCs w:val="24"/>
          <w:lang w:val="en-US" w:eastAsia="ru-RU"/>
        </w:rPr>
        <w:t>∣</w:t>
      </w:r>
      <w:r w:rsidRPr="008D23FF">
        <w:rPr>
          <w:rFonts w:ascii="Arial" w:eastAsia="Times New Roman" w:hAnsi="Arial" w:cs="Arial"/>
          <w:color w:val="1F1F1F"/>
          <w:sz w:val="24"/>
          <w:szCs w:val="24"/>
          <w:lang w:val="en-US" w:eastAsia="ru-RU"/>
        </w:rPr>
        <w:t xml:space="preserve"> and of </w:t>
      </w:r>
      <w:r w:rsidRPr="008D23FF">
        <w:rPr>
          <w:rFonts w:ascii="Arial" w:eastAsia="Times New Roman" w:hAnsi="Arial" w:cs="Arial"/>
          <w:i/>
          <w:iCs/>
          <w:color w:val="1F1F1F"/>
          <w:sz w:val="24"/>
          <w:szCs w:val="24"/>
          <w:lang w:eastAsia="ru-RU"/>
        </w:rPr>
        <w:t>ϕ</w:t>
      </w:r>
      <w:r w:rsidRPr="008D23FF">
        <w:rPr>
          <w:rFonts w:ascii="Arial" w:eastAsia="Times New Roman" w:hAnsi="Arial" w:cs="Arial"/>
          <w:i/>
          <w:iCs/>
          <w:color w:val="1F1F1F"/>
          <w:sz w:val="18"/>
          <w:szCs w:val="18"/>
          <w:vertAlign w:val="subscript"/>
          <w:lang w:eastAsia="ru-RU"/>
        </w:rPr>
        <w:t>δ</w:t>
      </w:r>
      <w:r w:rsidRPr="008D23FF">
        <w:rPr>
          <w:rFonts w:ascii="Arial" w:eastAsia="Times New Roman" w:hAnsi="Arial" w:cs="Arial"/>
          <w:color w:val="1F1F1F"/>
          <w:sz w:val="24"/>
          <w:szCs w:val="24"/>
          <w:lang w:val="en-US" w:eastAsia="ru-RU"/>
        </w:rPr>
        <w:t> in 16–864 kHz range) has shown that the module of impedance changes within the limits of 0.006–0.32. The impedance shows inductive and capacitive nature and it changes over a wide range from minimal for salines up to maximum for granitoids (Bashkuev, 1996). The variation of </w:t>
      </w:r>
      <w:r w:rsidRPr="008D23FF">
        <w:rPr>
          <w:rFonts w:ascii="Arial" w:eastAsia="Times New Roman" w:hAnsi="Arial" w:cs="Arial"/>
          <w:i/>
          <w:iCs/>
          <w:color w:val="1F1F1F"/>
          <w:sz w:val="24"/>
          <w:szCs w:val="24"/>
          <w:lang w:eastAsia="ru-RU"/>
        </w:rPr>
        <w:t>ϕ</w:t>
      </w:r>
      <w:r w:rsidRPr="008D23FF">
        <w:rPr>
          <w:rFonts w:ascii="Arial" w:eastAsia="Times New Roman" w:hAnsi="Arial" w:cs="Arial"/>
          <w:i/>
          <w:iCs/>
          <w:color w:val="1F1F1F"/>
          <w:sz w:val="18"/>
          <w:szCs w:val="18"/>
          <w:vertAlign w:val="subscript"/>
          <w:lang w:eastAsia="ru-RU"/>
        </w:rPr>
        <w:t>δ</w:t>
      </w:r>
      <w:r w:rsidRPr="008D23FF">
        <w:rPr>
          <w:rFonts w:ascii="Arial" w:eastAsia="Times New Roman" w:hAnsi="Arial" w:cs="Arial"/>
          <w:color w:val="1F1F1F"/>
          <w:sz w:val="24"/>
          <w:szCs w:val="24"/>
          <w:lang w:val="en-US" w:eastAsia="ru-RU"/>
        </w:rPr>
        <w:t> is in the range of −82° </w:t>
      </w:r>
      <w:r w:rsidRPr="008D23FF">
        <w:rPr>
          <w:rFonts w:ascii="Cambria Math" w:eastAsia="Times New Roman" w:hAnsi="Cambria Math" w:cs="Cambria Math"/>
          <w:color w:val="1F1F1F"/>
          <w:sz w:val="24"/>
          <w:szCs w:val="24"/>
          <w:lang w:val="en-US" w:eastAsia="ru-RU"/>
        </w:rPr>
        <w:t>∼</w:t>
      </w:r>
      <w:r w:rsidRPr="008D23FF">
        <w:rPr>
          <w:rFonts w:ascii="Arial" w:eastAsia="Times New Roman" w:hAnsi="Arial" w:cs="Arial"/>
          <w:color w:val="1F1F1F"/>
          <w:sz w:val="24"/>
          <w:szCs w:val="24"/>
          <w:lang w:val="en-US" w:eastAsia="ru-RU"/>
        </w:rPr>
        <w:t> +16° i.e. from strong-inductive up to loose-capacitive</w:t>
      </w: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eastAsia="ru-RU"/>
        </w:rPr>
      </w:pPr>
      <w:r w:rsidRPr="008D23FF">
        <w:rPr>
          <w:rFonts w:ascii="Arial" w:eastAsia="Times New Roman" w:hAnsi="Arial" w:cs="Arial"/>
          <w:b/>
          <w:bCs/>
          <w:color w:val="1F1F1F"/>
          <w:sz w:val="36"/>
          <w:szCs w:val="36"/>
          <w:lang w:eastAsia="ru-RU"/>
        </w:rPr>
        <w:lastRenderedPageBreak/>
        <w:t>Geoelectrical section</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We have carried out a complex interpretation of the data of radioimpedance and electric soundings for permafrost rocks of the Central and Northern Yakutia, Aldan plateau and Vitim plateau on the basis of developed automated numerical methods for decision of direct and inverse problems of radioimpedance sounding. The software package “Impedance” created on the basis of A.N. Tikhonov’s regularization method is used for the interpretation of radioimpedance soundings (Angarkhaeva et al., 1997). It</w:t>
      </w: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8D23FF">
        <w:rPr>
          <w:rFonts w:ascii="Arial" w:eastAsia="Times New Roman" w:hAnsi="Arial" w:cs="Arial"/>
          <w:b/>
          <w:bCs/>
          <w:color w:val="1F1F1F"/>
          <w:sz w:val="36"/>
          <w:szCs w:val="36"/>
          <w:lang w:val="en-US" w:eastAsia="ru-RU"/>
        </w:rPr>
        <w:t>Electromagnetic field</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Modeling of processes of propagation of electromagnetic waves in the cryolitozone was carried out for mountainous seismoactive areas of the northern part of Eurasia. The source is a vertical electric dipole that is situated on the Earth and emits radio waves propagating along the spherical surface. The observed LF–MF vertical component of electrical field </w:t>
      </w:r>
      <w:r w:rsidRPr="008D23FF">
        <w:rPr>
          <w:rFonts w:ascii="Arial" w:eastAsia="Times New Roman" w:hAnsi="Arial" w:cs="Arial"/>
          <w:i/>
          <w:iCs/>
          <w:color w:val="1F1F1F"/>
          <w:sz w:val="24"/>
          <w:szCs w:val="24"/>
          <w:lang w:val="en-US" w:eastAsia="ru-RU"/>
        </w:rPr>
        <w:t>E</w:t>
      </w:r>
      <w:r w:rsidRPr="008D23FF">
        <w:rPr>
          <w:rFonts w:ascii="Arial" w:eastAsia="Times New Roman" w:hAnsi="Arial" w:cs="Arial"/>
          <w:i/>
          <w:iCs/>
          <w:color w:val="1F1F1F"/>
          <w:sz w:val="18"/>
          <w:szCs w:val="18"/>
          <w:vertAlign w:val="subscript"/>
          <w:lang w:val="en-US" w:eastAsia="ru-RU"/>
        </w:rPr>
        <w:t>z</w:t>
      </w:r>
      <w:r w:rsidRPr="008D23FF">
        <w:rPr>
          <w:rFonts w:ascii="Arial" w:eastAsia="Times New Roman" w:hAnsi="Arial" w:cs="Arial"/>
          <w:color w:val="1F1F1F"/>
          <w:sz w:val="24"/>
          <w:szCs w:val="24"/>
          <w:lang w:val="en-US" w:eastAsia="ru-RU"/>
        </w:rPr>
        <w:t> is given as </w:t>
      </w:r>
      <w:r w:rsidRPr="008D23FF">
        <w:rPr>
          <w:rFonts w:ascii="Arial" w:eastAsia="Times New Roman" w:hAnsi="Arial" w:cs="Arial"/>
          <w:i/>
          <w:iCs/>
          <w:color w:val="1F1F1F"/>
          <w:sz w:val="24"/>
          <w:szCs w:val="24"/>
          <w:lang w:val="en-US" w:eastAsia="ru-RU"/>
        </w:rPr>
        <w:t>E</w:t>
      </w:r>
      <w:r w:rsidRPr="008D23FF">
        <w:rPr>
          <w:rFonts w:ascii="Arial" w:eastAsia="Times New Roman" w:hAnsi="Arial" w:cs="Arial"/>
          <w:i/>
          <w:iCs/>
          <w:color w:val="1F1F1F"/>
          <w:sz w:val="18"/>
          <w:szCs w:val="18"/>
          <w:vertAlign w:val="subscript"/>
          <w:lang w:val="en-US" w:eastAsia="ru-RU"/>
        </w:rPr>
        <w:t>z</w:t>
      </w:r>
      <w:r w:rsidRPr="008D23FF">
        <w:rPr>
          <w:rFonts w:ascii="Arial" w:eastAsia="Times New Roman" w:hAnsi="Arial" w:cs="Arial"/>
          <w:color w:val="1F1F1F"/>
          <w:sz w:val="24"/>
          <w:szCs w:val="24"/>
          <w:lang w:val="en-US" w:eastAsia="ru-RU"/>
        </w:rPr>
        <w:t> = </w:t>
      </w:r>
      <w:r w:rsidRPr="008D23FF">
        <w:rPr>
          <w:rFonts w:ascii="Arial" w:eastAsia="Times New Roman" w:hAnsi="Arial" w:cs="Arial"/>
          <w:i/>
          <w:iCs/>
          <w:color w:val="1F1F1F"/>
          <w:sz w:val="24"/>
          <w:szCs w:val="24"/>
          <w:lang w:val="en-US" w:eastAsia="ru-RU"/>
        </w:rPr>
        <w:t>W</w:t>
      </w:r>
      <w:r w:rsidRPr="008D23FF">
        <w:rPr>
          <w:rFonts w:ascii="Arial" w:eastAsia="Times New Roman" w:hAnsi="Arial" w:cs="Arial"/>
          <w:color w:val="1F1F1F"/>
          <w:sz w:val="24"/>
          <w:szCs w:val="24"/>
          <w:lang w:val="en-US" w:eastAsia="ru-RU"/>
        </w:rPr>
        <w:t> · </w:t>
      </w:r>
      <w:r w:rsidRPr="008D23FF">
        <w:rPr>
          <w:rFonts w:ascii="Arial" w:eastAsia="Times New Roman" w:hAnsi="Arial" w:cs="Arial"/>
          <w:i/>
          <w:iCs/>
          <w:color w:val="1F1F1F"/>
          <w:sz w:val="24"/>
          <w:szCs w:val="24"/>
          <w:lang w:val="en-US" w:eastAsia="ru-RU"/>
        </w:rPr>
        <w:t>E</w:t>
      </w:r>
      <w:r w:rsidRPr="008D23FF">
        <w:rPr>
          <w:rFonts w:ascii="Arial" w:eastAsia="Times New Roman" w:hAnsi="Arial" w:cs="Arial"/>
          <w:color w:val="1F1F1F"/>
          <w:sz w:val="18"/>
          <w:szCs w:val="18"/>
          <w:vertAlign w:val="subscript"/>
          <w:lang w:val="en-US" w:eastAsia="ru-RU"/>
        </w:rPr>
        <w:t>0</w:t>
      </w:r>
      <w:r w:rsidRPr="008D23FF">
        <w:rPr>
          <w:rFonts w:ascii="Arial" w:eastAsia="Times New Roman" w:hAnsi="Arial" w:cs="Arial"/>
          <w:color w:val="1F1F1F"/>
          <w:sz w:val="24"/>
          <w:szCs w:val="24"/>
          <w:lang w:val="en-US" w:eastAsia="ru-RU"/>
        </w:rPr>
        <w:t>, where </w:t>
      </w:r>
      <w:r w:rsidRPr="008D23FF">
        <w:rPr>
          <w:rFonts w:ascii="Arial" w:eastAsia="Times New Roman" w:hAnsi="Arial" w:cs="Arial"/>
          <w:i/>
          <w:iCs/>
          <w:color w:val="1F1F1F"/>
          <w:sz w:val="24"/>
          <w:szCs w:val="24"/>
          <w:lang w:val="en-US" w:eastAsia="ru-RU"/>
        </w:rPr>
        <w:t>E</w:t>
      </w:r>
      <w:r w:rsidRPr="008D23FF">
        <w:rPr>
          <w:rFonts w:ascii="Arial" w:eastAsia="Times New Roman" w:hAnsi="Arial" w:cs="Arial"/>
          <w:color w:val="1F1F1F"/>
          <w:sz w:val="18"/>
          <w:szCs w:val="18"/>
          <w:vertAlign w:val="subscript"/>
          <w:lang w:val="en-US" w:eastAsia="ru-RU"/>
        </w:rPr>
        <w:t>0</w:t>
      </w:r>
      <w:r w:rsidRPr="008D23FF">
        <w:rPr>
          <w:rFonts w:ascii="Arial" w:eastAsia="Times New Roman" w:hAnsi="Arial" w:cs="Arial"/>
          <w:color w:val="1F1F1F"/>
          <w:sz w:val="24"/>
          <w:szCs w:val="24"/>
          <w:lang w:val="en-US" w:eastAsia="ru-RU"/>
        </w:rPr>
        <w:t> is the field in free space and </w:t>
      </w:r>
      <w:r w:rsidRPr="008D23FF">
        <w:rPr>
          <w:rFonts w:ascii="Arial" w:eastAsia="Times New Roman" w:hAnsi="Arial" w:cs="Arial"/>
          <w:i/>
          <w:iCs/>
          <w:color w:val="1F1F1F"/>
          <w:sz w:val="24"/>
          <w:szCs w:val="24"/>
          <w:lang w:val="en-US" w:eastAsia="ru-RU"/>
        </w:rPr>
        <w:t>W</w:t>
      </w:r>
      <w:r w:rsidRPr="008D23FF">
        <w:rPr>
          <w:rFonts w:ascii="Arial" w:eastAsia="Times New Roman" w:hAnsi="Arial" w:cs="Arial"/>
          <w:color w:val="1F1F1F"/>
          <w:sz w:val="24"/>
          <w:szCs w:val="24"/>
          <w:lang w:val="en-US" w:eastAsia="ru-RU"/>
        </w:rPr>
        <w:t> is an attenuation function associated with underlying medium properties.</w:t>
      </w:r>
    </w:p>
    <w:p w:rsidR="008D23FF" w:rsidRPr="008D23FF" w:rsidRDefault="008D23FF" w:rsidP="008D23FF">
      <w:pPr>
        <w:spacing w:before="100" w:beforeAutospacing="1" w:after="100" w:afterAutospacing="1" w:line="390" w:lineRule="atLeast"/>
        <w:outlineLvl w:val="1"/>
        <w:rPr>
          <w:rFonts w:ascii="Arial" w:eastAsia="Times New Roman" w:hAnsi="Arial" w:cs="Arial"/>
          <w:b/>
          <w:bCs/>
          <w:color w:val="1F1F1F"/>
          <w:sz w:val="36"/>
          <w:szCs w:val="36"/>
          <w:lang w:val="en-US" w:eastAsia="ru-RU"/>
        </w:rPr>
      </w:pPr>
      <w:r w:rsidRPr="008D23FF">
        <w:rPr>
          <w:rFonts w:ascii="Arial" w:eastAsia="Times New Roman" w:hAnsi="Arial" w:cs="Arial"/>
          <w:b/>
          <w:bCs/>
          <w:color w:val="1F1F1F"/>
          <w:sz w:val="36"/>
          <w:szCs w:val="36"/>
          <w:lang w:val="en-US" w:eastAsia="ru-RU"/>
        </w:rPr>
        <w:t>Conclusions</w:t>
      </w:r>
    </w:p>
    <w:p w:rsidR="008D23FF" w:rsidRPr="008D23FF" w:rsidRDefault="008D23FF" w:rsidP="008D23FF">
      <w:pPr>
        <w:spacing w:after="0" w:line="390" w:lineRule="atLeast"/>
        <w:rPr>
          <w:rFonts w:ascii="Arial" w:eastAsia="Times New Roman" w:hAnsi="Arial" w:cs="Arial"/>
          <w:color w:val="1F1F1F"/>
          <w:sz w:val="24"/>
          <w:szCs w:val="24"/>
          <w:lang w:val="en-US" w:eastAsia="ru-RU"/>
        </w:rPr>
      </w:pPr>
      <w:r w:rsidRPr="008D23FF">
        <w:rPr>
          <w:rFonts w:ascii="Arial" w:eastAsia="Times New Roman" w:hAnsi="Arial" w:cs="Arial"/>
          <w:color w:val="1F1F1F"/>
          <w:sz w:val="24"/>
          <w:szCs w:val="24"/>
          <w:lang w:val="en-US" w:eastAsia="ru-RU"/>
        </w:rPr>
        <w:t>Scientific results obtained are summarized as follows:</w:t>
      </w:r>
    </w:p>
    <w:p w:rsidR="008D23FF" w:rsidRPr="008D23FF" w:rsidRDefault="008D23FF" w:rsidP="008D23FF">
      <w:pPr>
        <w:numPr>
          <w:ilvl w:val="0"/>
          <w:numId w:val="1"/>
        </w:numPr>
        <w:spacing w:after="0" w:line="390" w:lineRule="atLeast"/>
        <w:ind w:left="0"/>
        <w:rPr>
          <w:rFonts w:ascii="Times New Roman" w:eastAsia="Times New Roman" w:hAnsi="Times New Roman" w:cs="Times New Roman"/>
          <w:sz w:val="24"/>
          <w:szCs w:val="24"/>
          <w:lang w:eastAsia="ru-RU"/>
        </w:rPr>
      </w:pPr>
      <w:r w:rsidRPr="008D23FF">
        <w:rPr>
          <w:rFonts w:ascii="Arial" w:eastAsia="Times New Roman" w:hAnsi="Arial" w:cs="Arial"/>
          <w:color w:val="1F1F1F"/>
          <w:sz w:val="24"/>
          <w:szCs w:val="24"/>
          <w:lang w:eastAsia="ru-RU"/>
        </w:rPr>
        <w:t>(1)</w:t>
      </w:r>
    </w:p>
    <w:p w:rsidR="008D23FF" w:rsidRPr="008D23FF" w:rsidRDefault="008D23FF" w:rsidP="008D23FF">
      <w:pPr>
        <w:spacing w:after="0" w:line="390" w:lineRule="atLeast"/>
        <w:rPr>
          <w:rFonts w:ascii="Times New Roman" w:eastAsia="Times New Roman" w:hAnsi="Times New Roman" w:cs="Times New Roman"/>
          <w:sz w:val="24"/>
          <w:szCs w:val="24"/>
          <w:lang w:val="en-US" w:eastAsia="ru-RU"/>
        </w:rPr>
      </w:pPr>
      <w:r w:rsidRPr="008D23FF">
        <w:rPr>
          <w:rFonts w:ascii="Arial" w:eastAsia="Times New Roman" w:hAnsi="Arial" w:cs="Arial"/>
          <w:color w:val="1F1F1F"/>
          <w:sz w:val="24"/>
          <w:szCs w:val="24"/>
          <w:lang w:val="en-US" w:eastAsia="ru-RU"/>
        </w:rPr>
        <w:t>Existence of frequency dispersion of ER of permafrost rocks is experimentally proved, and frequency dispersion of ER of frozen rocks arises from the multiphase nature of the frozen medium.</w:t>
      </w:r>
    </w:p>
    <w:p w:rsidR="008D23FF" w:rsidRPr="008D23FF" w:rsidRDefault="008D23FF" w:rsidP="008D23FF">
      <w:pPr>
        <w:numPr>
          <w:ilvl w:val="0"/>
          <w:numId w:val="1"/>
        </w:numPr>
        <w:spacing w:after="0" w:line="390" w:lineRule="atLeast"/>
        <w:ind w:left="0"/>
        <w:rPr>
          <w:rFonts w:ascii="Times New Roman" w:eastAsia="Times New Roman" w:hAnsi="Times New Roman" w:cs="Times New Roman"/>
          <w:sz w:val="24"/>
          <w:szCs w:val="24"/>
          <w:lang w:eastAsia="ru-RU"/>
        </w:rPr>
      </w:pPr>
      <w:r w:rsidRPr="008D23FF">
        <w:rPr>
          <w:rFonts w:ascii="Arial" w:eastAsia="Times New Roman" w:hAnsi="Arial" w:cs="Arial"/>
          <w:color w:val="1F1F1F"/>
          <w:sz w:val="24"/>
          <w:szCs w:val="24"/>
          <w:lang w:eastAsia="ru-RU"/>
        </w:rPr>
        <w:t>(2)</w:t>
      </w:r>
    </w:p>
    <w:p w:rsidR="008D23FF" w:rsidRPr="008D23FF" w:rsidRDefault="008D23FF" w:rsidP="008D23FF">
      <w:pPr>
        <w:spacing w:after="0" w:line="390" w:lineRule="atLeast"/>
        <w:rPr>
          <w:rFonts w:ascii="Times New Roman" w:eastAsia="Times New Roman" w:hAnsi="Times New Roman" w:cs="Times New Roman"/>
          <w:sz w:val="24"/>
          <w:szCs w:val="24"/>
          <w:lang w:val="en-US" w:eastAsia="ru-RU"/>
        </w:rPr>
      </w:pPr>
      <w:r w:rsidRPr="008D23FF">
        <w:rPr>
          <w:rFonts w:ascii="Arial" w:eastAsia="Times New Roman" w:hAnsi="Arial" w:cs="Arial"/>
          <w:color w:val="1F1F1F"/>
          <w:sz w:val="24"/>
          <w:szCs w:val="24"/>
          <w:lang w:val="en-US" w:eastAsia="ru-RU"/>
        </w:rPr>
        <w:t>Complex research of electrical properties of the Earth’s the cryosphere is carried out, and significant volume of information on the geoelectric section of cryolitozone is obtained and systematized.</w:t>
      </w:r>
    </w:p>
    <w:p w:rsidR="008D23FF" w:rsidRPr="008D23FF" w:rsidRDefault="008D23FF" w:rsidP="008D23FF">
      <w:pPr>
        <w:numPr>
          <w:ilvl w:val="0"/>
          <w:numId w:val="1"/>
        </w:numPr>
        <w:spacing w:after="0" w:line="390" w:lineRule="atLeast"/>
        <w:ind w:left="0"/>
        <w:rPr>
          <w:rFonts w:ascii="Times New Roman" w:eastAsia="Times New Roman" w:hAnsi="Times New Roman" w:cs="Times New Roman"/>
          <w:sz w:val="24"/>
          <w:szCs w:val="24"/>
          <w:lang w:eastAsia="ru-RU"/>
        </w:rPr>
      </w:pPr>
      <w:r w:rsidRPr="008D23FF">
        <w:rPr>
          <w:rFonts w:ascii="Arial" w:eastAsia="Times New Roman" w:hAnsi="Arial" w:cs="Arial"/>
          <w:color w:val="1F1F1F"/>
          <w:sz w:val="24"/>
          <w:szCs w:val="24"/>
          <w:lang w:eastAsia="ru-RU"/>
        </w:rPr>
        <w:t>(3)</w:t>
      </w:r>
    </w:p>
    <w:p w:rsidR="008D23FF" w:rsidRPr="008D23FF" w:rsidRDefault="008D23FF" w:rsidP="008D23FF">
      <w:pPr>
        <w:spacing w:after="0" w:line="390" w:lineRule="atLeast"/>
        <w:rPr>
          <w:rFonts w:ascii="Times New Roman" w:eastAsia="Times New Roman" w:hAnsi="Times New Roman" w:cs="Times New Roman"/>
          <w:sz w:val="24"/>
          <w:szCs w:val="24"/>
          <w:lang w:val="en-US" w:eastAsia="ru-RU"/>
        </w:rPr>
      </w:pPr>
      <w:r w:rsidRPr="008D23FF">
        <w:rPr>
          <w:rFonts w:ascii="Arial" w:eastAsia="Times New Roman" w:hAnsi="Arial" w:cs="Arial"/>
          <w:color w:val="1F1F1F"/>
          <w:sz w:val="24"/>
          <w:szCs w:val="24"/>
          <w:lang w:val="en-US" w:eastAsia="ru-RU"/>
        </w:rPr>
        <w:t>Quantitative characteristics of surface impedance of</w:t>
      </w:r>
    </w:p>
    <w:p w:rsidR="003F4596" w:rsidRPr="008D23FF" w:rsidRDefault="008D23FF">
      <w:pPr>
        <w:rPr>
          <w:lang w:val="en-US"/>
        </w:rPr>
      </w:pPr>
    </w:p>
    <w:sectPr w:rsidR="003F4596" w:rsidRPr="008D23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79929DF"/>
    <w:multiLevelType w:val="multilevel"/>
    <w:tmpl w:val="090C9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3FF"/>
    <w:rsid w:val="002E75A1"/>
    <w:rsid w:val="008D23FF"/>
    <w:rsid w:val="00EF4F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35654A-915A-41C8-9726-52E7E69D5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246563">
      <w:bodyDiv w:val="1"/>
      <w:marLeft w:val="0"/>
      <w:marRight w:val="0"/>
      <w:marTop w:val="0"/>
      <w:marBottom w:val="0"/>
      <w:divBdr>
        <w:top w:val="none" w:sz="0" w:space="0" w:color="auto"/>
        <w:left w:val="none" w:sz="0" w:space="0" w:color="auto"/>
        <w:bottom w:val="none" w:sz="0" w:space="0" w:color="auto"/>
        <w:right w:val="none" w:sz="0" w:space="0" w:color="auto"/>
      </w:divBdr>
      <w:divsChild>
        <w:div w:id="1878854953">
          <w:marLeft w:val="0"/>
          <w:marRight w:val="0"/>
          <w:marTop w:val="0"/>
          <w:marBottom w:val="120"/>
          <w:divBdr>
            <w:top w:val="none" w:sz="0" w:space="0" w:color="auto"/>
            <w:left w:val="none" w:sz="0" w:space="0" w:color="auto"/>
            <w:bottom w:val="none" w:sz="0" w:space="0" w:color="auto"/>
            <w:right w:val="none" w:sz="0" w:space="0" w:color="auto"/>
          </w:divBdr>
          <w:divsChild>
            <w:div w:id="957952806">
              <w:marLeft w:val="0"/>
              <w:marRight w:val="0"/>
              <w:marTop w:val="0"/>
              <w:marBottom w:val="0"/>
              <w:divBdr>
                <w:top w:val="none" w:sz="0" w:space="0" w:color="auto"/>
                <w:left w:val="none" w:sz="0" w:space="0" w:color="auto"/>
                <w:bottom w:val="none" w:sz="0" w:space="0" w:color="auto"/>
                <w:right w:val="none" w:sz="0" w:space="0" w:color="auto"/>
              </w:divBdr>
              <w:divsChild>
                <w:div w:id="717389371">
                  <w:marLeft w:val="0"/>
                  <w:marRight w:val="0"/>
                  <w:marTop w:val="0"/>
                  <w:marBottom w:val="0"/>
                  <w:divBdr>
                    <w:top w:val="none" w:sz="0" w:space="0" w:color="auto"/>
                    <w:left w:val="none" w:sz="0" w:space="0" w:color="auto"/>
                    <w:bottom w:val="none" w:sz="0" w:space="0" w:color="auto"/>
                    <w:right w:val="none" w:sz="0" w:space="0" w:color="auto"/>
                  </w:divBdr>
                  <w:divsChild>
                    <w:div w:id="499736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976576">
              <w:marLeft w:val="0"/>
              <w:marRight w:val="0"/>
              <w:marTop w:val="0"/>
              <w:marBottom w:val="0"/>
              <w:divBdr>
                <w:top w:val="none" w:sz="0" w:space="0" w:color="auto"/>
                <w:left w:val="none" w:sz="0" w:space="0" w:color="auto"/>
                <w:bottom w:val="single" w:sz="6" w:space="0" w:color="000000"/>
                <w:right w:val="none" w:sz="0" w:space="0" w:color="auto"/>
              </w:divBdr>
              <w:divsChild>
                <w:div w:id="539975419">
                  <w:marLeft w:val="0"/>
                  <w:marRight w:val="0"/>
                  <w:marTop w:val="0"/>
                  <w:marBottom w:val="0"/>
                  <w:divBdr>
                    <w:top w:val="none" w:sz="0" w:space="0" w:color="auto"/>
                    <w:left w:val="none" w:sz="0" w:space="0" w:color="auto"/>
                    <w:bottom w:val="none" w:sz="0" w:space="0" w:color="auto"/>
                    <w:right w:val="none" w:sz="0" w:space="0" w:color="auto"/>
                  </w:divBdr>
                  <w:divsChild>
                    <w:div w:id="552350991">
                      <w:marLeft w:val="0"/>
                      <w:marRight w:val="0"/>
                      <w:marTop w:val="0"/>
                      <w:marBottom w:val="0"/>
                      <w:divBdr>
                        <w:top w:val="none" w:sz="0" w:space="0" w:color="auto"/>
                        <w:left w:val="none" w:sz="0" w:space="0" w:color="auto"/>
                        <w:bottom w:val="none" w:sz="0" w:space="0" w:color="auto"/>
                        <w:right w:val="none" w:sz="0" w:space="0" w:color="auto"/>
                      </w:divBdr>
                      <w:divsChild>
                        <w:div w:id="1173107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177155">
                  <w:marLeft w:val="0"/>
                  <w:marRight w:val="0"/>
                  <w:marTop w:val="0"/>
                  <w:marBottom w:val="0"/>
                  <w:divBdr>
                    <w:top w:val="none" w:sz="0" w:space="0" w:color="auto"/>
                    <w:left w:val="none" w:sz="0" w:space="0" w:color="auto"/>
                    <w:bottom w:val="none" w:sz="0" w:space="0" w:color="auto"/>
                    <w:right w:val="none" w:sz="0" w:space="0" w:color="auto"/>
                  </w:divBdr>
                  <w:divsChild>
                    <w:div w:id="1959023756">
                      <w:marLeft w:val="0"/>
                      <w:marRight w:val="0"/>
                      <w:marTop w:val="0"/>
                      <w:marBottom w:val="0"/>
                      <w:divBdr>
                        <w:top w:val="none" w:sz="0" w:space="0" w:color="auto"/>
                        <w:left w:val="none" w:sz="0" w:space="0" w:color="auto"/>
                        <w:bottom w:val="none" w:sz="0" w:space="0" w:color="auto"/>
                        <w:right w:val="none" w:sz="0" w:space="0" w:color="auto"/>
                      </w:divBdr>
                      <w:divsChild>
                        <w:div w:id="199996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915120">
          <w:marLeft w:val="0"/>
          <w:marRight w:val="0"/>
          <w:marTop w:val="0"/>
          <w:marBottom w:val="0"/>
          <w:divBdr>
            <w:top w:val="none" w:sz="0" w:space="0" w:color="auto"/>
            <w:left w:val="none" w:sz="0" w:space="0" w:color="auto"/>
            <w:bottom w:val="none" w:sz="0" w:space="0" w:color="auto"/>
            <w:right w:val="none" w:sz="0" w:space="0" w:color="auto"/>
          </w:divBdr>
        </w:div>
        <w:div w:id="1350832948">
          <w:marLeft w:val="0"/>
          <w:marRight w:val="0"/>
          <w:marTop w:val="0"/>
          <w:marBottom w:val="0"/>
          <w:divBdr>
            <w:top w:val="none" w:sz="0" w:space="0" w:color="auto"/>
            <w:left w:val="none" w:sz="0" w:space="0" w:color="auto"/>
            <w:bottom w:val="none" w:sz="0" w:space="0" w:color="auto"/>
            <w:right w:val="none" w:sz="0" w:space="0" w:color="auto"/>
          </w:divBdr>
          <w:divsChild>
            <w:div w:id="1132753877">
              <w:marLeft w:val="0"/>
              <w:marRight w:val="0"/>
              <w:marTop w:val="0"/>
              <w:marBottom w:val="0"/>
              <w:divBdr>
                <w:top w:val="none" w:sz="0" w:space="0" w:color="auto"/>
                <w:left w:val="none" w:sz="0" w:space="0" w:color="auto"/>
                <w:bottom w:val="none" w:sz="0" w:space="0" w:color="auto"/>
                <w:right w:val="none" w:sz="0" w:space="0" w:color="auto"/>
              </w:divBdr>
              <w:divsChild>
                <w:div w:id="94449469">
                  <w:marLeft w:val="0"/>
                  <w:marRight w:val="0"/>
                  <w:marTop w:val="0"/>
                  <w:marBottom w:val="120"/>
                  <w:divBdr>
                    <w:top w:val="none" w:sz="0" w:space="0" w:color="auto"/>
                    <w:left w:val="none" w:sz="0" w:space="0" w:color="auto"/>
                    <w:bottom w:val="none" w:sz="0" w:space="0" w:color="auto"/>
                    <w:right w:val="none" w:sz="0" w:space="0" w:color="auto"/>
                  </w:divBdr>
                  <w:divsChild>
                    <w:div w:id="912593331">
                      <w:marLeft w:val="0"/>
                      <w:marRight w:val="0"/>
                      <w:marTop w:val="0"/>
                      <w:marBottom w:val="0"/>
                      <w:divBdr>
                        <w:top w:val="none" w:sz="0" w:space="0" w:color="auto"/>
                        <w:left w:val="none" w:sz="0" w:space="0" w:color="auto"/>
                        <w:bottom w:val="none" w:sz="0" w:space="0" w:color="auto"/>
                        <w:right w:val="none" w:sz="0" w:space="0" w:color="auto"/>
                      </w:divBdr>
                      <w:divsChild>
                        <w:div w:id="72715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568924">
          <w:marLeft w:val="0"/>
          <w:marRight w:val="0"/>
          <w:marTop w:val="0"/>
          <w:marBottom w:val="0"/>
          <w:divBdr>
            <w:top w:val="none" w:sz="0" w:space="0" w:color="auto"/>
            <w:left w:val="none" w:sz="0" w:space="0" w:color="auto"/>
            <w:bottom w:val="none" w:sz="0" w:space="0" w:color="auto"/>
            <w:right w:val="none" w:sz="0" w:space="0" w:color="auto"/>
          </w:divBdr>
          <w:divsChild>
            <w:div w:id="922303412">
              <w:marLeft w:val="0"/>
              <w:marRight w:val="0"/>
              <w:marTop w:val="0"/>
              <w:marBottom w:val="0"/>
              <w:divBdr>
                <w:top w:val="none" w:sz="0" w:space="0" w:color="auto"/>
                <w:left w:val="none" w:sz="0" w:space="0" w:color="auto"/>
                <w:bottom w:val="none" w:sz="0" w:space="0" w:color="auto"/>
                <w:right w:val="none" w:sz="0" w:space="0" w:color="auto"/>
              </w:divBdr>
              <w:divsChild>
                <w:div w:id="810443413">
                  <w:marLeft w:val="0"/>
                  <w:marRight w:val="0"/>
                  <w:marTop w:val="0"/>
                  <w:marBottom w:val="0"/>
                  <w:divBdr>
                    <w:top w:val="none" w:sz="0" w:space="0" w:color="auto"/>
                    <w:left w:val="none" w:sz="0" w:space="0" w:color="auto"/>
                    <w:bottom w:val="none" w:sz="0" w:space="0" w:color="auto"/>
                    <w:right w:val="none" w:sz="0" w:space="0" w:color="auto"/>
                  </w:divBdr>
                </w:div>
                <w:div w:id="31237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92874">
          <w:marLeft w:val="0"/>
          <w:marRight w:val="0"/>
          <w:marTop w:val="0"/>
          <w:marBottom w:val="0"/>
          <w:divBdr>
            <w:top w:val="none" w:sz="0" w:space="0" w:color="auto"/>
            <w:left w:val="none" w:sz="0" w:space="0" w:color="auto"/>
            <w:bottom w:val="none" w:sz="0" w:space="0" w:color="auto"/>
            <w:right w:val="none" w:sz="0" w:space="0" w:color="auto"/>
          </w:divBdr>
        </w:div>
        <w:div w:id="1669602179">
          <w:marLeft w:val="0"/>
          <w:marRight w:val="0"/>
          <w:marTop w:val="0"/>
          <w:marBottom w:val="0"/>
          <w:divBdr>
            <w:top w:val="none" w:sz="0" w:space="0" w:color="auto"/>
            <w:left w:val="none" w:sz="0" w:space="0" w:color="auto"/>
            <w:bottom w:val="none" w:sz="0" w:space="0" w:color="auto"/>
            <w:right w:val="none" w:sz="0" w:space="0" w:color="auto"/>
          </w:divBdr>
          <w:divsChild>
            <w:div w:id="530920781">
              <w:marLeft w:val="0"/>
              <w:marRight w:val="0"/>
              <w:marTop w:val="0"/>
              <w:marBottom w:val="0"/>
              <w:divBdr>
                <w:top w:val="none" w:sz="0" w:space="0" w:color="auto"/>
                <w:left w:val="none" w:sz="0" w:space="0" w:color="auto"/>
                <w:bottom w:val="none" w:sz="0" w:space="0" w:color="auto"/>
                <w:right w:val="none" w:sz="0" w:space="0" w:color="auto"/>
              </w:divBdr>
              <w:divsChild>
                <w:div w:id="1757676036">
                  <w:marLeft w:val="0"/>
                  <w:marRight w:val="0"/>
                  <w:marTop w:val="0"/>
                  <w:marBottom w:val="0"/>
                  <w:divBdr>
                    <w:top w:val="none" w:sz="0" w:space="0" w:color="auto"/>
                    <w:left w:val="none" w:sz="0" w:space="0" w:color="auto"/>
                    <w:bottom w:val="none" w:sz="0" w:space="0" w:color="auto"/>
                    <w:right w:val="none" w:sz="0" w:space="0" w:color="auto"/>
                  </w:divBdr>
                </w:div>
                <w:div w:id="1424766225">
                  <w:marLeft w:val="0"/>
                  <w:marRight w:val="0"/>
                  <w:marTop w:val="0"/>
                  <w:marBottom w:val="0"/>
                  <w:divBdr>
                    <w:top w:val="none" w:sz="0" w:space="0" w:color="auto"/>
                    <w:left w:val="none" w:sz="0" w:space="0" w:color="auto"/>
                    <w:bottom w:val="none" w:sz="0" w:space="0" w:color="auto"/>
                    <w:right w:val="none" w:sz="0" w:space="0" w:color="auto"/>
                  </w:divBdr>
                </w:div>
                <w:div w:id="1667517914">
                  <w:marLeft w:val="0"/>
                  <w:marRight w:val="0"/>
                  <w:marTop w:val="0"/>
                  <w:marBottom w:val="0"/>
                  <w:divBdr>
                    <w:top w:val="none" w:sz="0" w:space="0" w:color="auto"/>
                    <w:left w:val="none" w:sz="0" w:space="0" w:color="auto"/>
                    <w:bottom w:val="none" w:sz="0" w:space="0" w:color="auto"/>
                    <w:right w:val="none" w:sz="0" w:space="0" w:color="auto"/>
                  </w:divBdr>
                </w:div>
                <w:div w:id="1166826470">
                  <w:marLeft w:val="0"/>
                  <w:marRight w:val="0"/>
                  <w:marTop w:val="0"/>
                  <w:marBottom w:val="0"/>
                  <w:divBdr>
                    <w:top w:val="none" w:sz="0" w:space="0" w:color="auto"/>
                    <w:left w:val="none" w:sz="0" w:space="0" w:color="auto"/>
                    <w:bottom w:val="none" w:sz="0" w:space="0" w:color="auto"/>
                    <w:right w:val="none" w:sz="0" w:space="0" w:color="auto"/>
                  </w:divBdr>
                </w:div>
                <w:div w:id="1066875041">
                  <w:marLeft w:val="0"/>
                  <w:marRight w:val="0"/>
                  <w:marTop w:val="0"/>
                  <w:marBottom w:val="0"/>
                  <w:divBdr>
                    <w:top w:val="none" w:sz="0" w:space="0" w:color="auto"/>
                    <w:left w:val="none" w:sz="0" w:space="0" w:color="auto"/>
                    <w:bottom w:val="none" w:sz="0" w:space="0" w:color="auto"/>
                    <w:right w:val="none" w:sz="0" w:space="0" w:color="auto"/>
                  </w:divBdr>
                  <w:divsChild>
                    <w:div w:id="552428287">
                      <w:marLeft w:val="0"/>
                      <w:marRight w:val="0"/>
                      <w:marTop w:val="0"/>
                      <w:marBottom w:val="0"/>
                      <w:divBdr>
                        <w:top w:val="none" w:sz="0" w:space="0" w:color="auto"/>
                        <w:left w:val="none" w:sz="0" w:space="0" w:color="auto"/>
                        <w:bottom w:val="none" w:sz="0" w:space="0" w:color="auto"/>
                        <w:right w:val="none" w:sz="0" w:space="0" w:color="auto"/>
                      </w:divBdr>
                    </w:div>
                    <w:div w:id="2038578292">
                      <w:marLeft w:val="0"/>
                      <w:marRight w:val="0"/>
                      <w:marTop w:val="0"/>
                      <w:marBottom w:val="0"/>
                      <w:divBdr>
                        <w:top w:val="none" w:sz="0" w:space="0" w:color="auto"/>
                        <w:left w:val="none" w:sz="0" w:space="0" w:color="auto"/>
                        <w:bottom w:val="none" w:sz="0" w:space="0" w:color="auto"/>
                        <w:right w:val="none" w:sz="0" w:space="0" w:color="auto"/>
                      </w:divBdr>
                    </w:div>
                    <w:div w:id="135916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granitoid"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inverse-proble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mathematical-method" TargetMode="External"/><Relationship Id="rId5" Type="http://schemas.openxmlformats.org/officeDocument/2006/relationships/hyperlink" Target="https://www.sciencedirect.com/topics/earth-and-planetary-sciences/arctic-ocean"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1068</Words>
  <Characters>6088</Characters>
  <Application>Microsoft Office Word</Application>
  <DocSecurity>0</DocSecurity>
  <Lines>50</Lines>
  <Paragraphs>14</Paragraphs>
  <ScaleCrop>false</ScaleCrop>
  <Company/>
  <LinksUpToDate>false</LinksUpToDate>
  <CharactersWithSpaces>7142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2025-05-19T06:20:00Z</dcterms:created>
  <dcterms:modified xsi:type="dcterms:W3CDTF">2025-05-19T06:21:00Z</dcterms:modified>
</cp:coreProperties>
</file>