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70BF4" w:rsidRPr="00C70BF4" w:rsidRDefault="00C70BF4" w:rsidP="00C70BF4">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C70BF4">
        <w:rPr>
          <w:rFonts w:ascii="Times New Roman" w:eastAsia="Times New Roman" w:hAnsi="Times New Roman" w:cs="Times New Roman"/>
          <w:b/>
          <w:bCs/>
          <w:kern w:val="36"/>
          <w:sz w:val="48"/>
          <w:szCs w:val="48"/>
        </w:rPr>
        <w:t>Modeling reactive transport in sediments subject to bioturbation and compaction</w:t>
      </w:r>
    </w:p>
    <w:p w:rsidR="00C70BF4" w:rsidRPr="00C70BF4" w:rsidRDefault="00C70BF4" w:rsidP="00C70BF4">
      <w:pPr>
        <w:spacing w:after="0"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Author links open overlay panel</w:t>
      </w:r>
    </w:p>
    <w:p w:rsidR="00C70BF4" w:rsidRPr="00C70BF4" w:rsidRDefault="00C70BF4" w:rsidP="00C70BF4">
      <w:pPr>
        <w:spacing w:after="0"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 , </w:t>
      </w:r>
    </w:p>
    <w:p w:rsidR="00C70BF4" w:rsidRPr="00C70BF4" w:rsidRDefault="00C70BF4" w:rsidP="00C70BF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C70BF4">
          <w:rPr>
            <w:rFonts w:ascii="Times New Roman" w:eastAsia="Times New Roman" w:hAnsi="Times New Roman" w:cs="Times New Roman"/>
            <w:color w:val="0000FF"/>
            <w:sz w:val="24"/>
            <w:szCs w:val="24"/>
            <w:u w:val="single"/>
          </w:rPr>
          <w:t>https://doi.org/10.1016/j.gca.2005.01.004</w:t>
        </w:r>
      </w:hyperlink>
      <w:bookmarkStart w:id="0" w:name="_GoBack"/>
      <w:bookmarkEnd w:id="0"/>
      <w:r w:rsidRPr="00C70BF4">
        <w:rPr>
          <w:rFonts w:ascii="Times New Roman" w:eastAsia="Times New Roman" w:hAnsi="Times New Roman" w:cs="Times New Roman"/>
          <w:sz w:val="24"/>
          <w:szCs w:val="24"/>
        </w:rPr>
        <w:t xml:space="preserve"> </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Abstract</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Current </w:t>
      </w:r>
      <w:hyperlink r:id="rId5" w:tooltip="Learn more about bioturbation from ScienceDirect's AI-generated Topic Pages" w:history="1">
        <w:r w:rsidRPr="00C70BF4">
          <w:rPr>
            <w:rFonts w:ascii="Times New Roman" w:eastAsia="Times New Roman" w:hAnsi="Times New Roman" w:cs="Times New Roman"/>
            <w:color w:val="0000FF"/>
            <w:sz w:val="24"/>
            <w:szCs w:val="24"/>
            <w:u w:val="single"/>
          </w:rPr>
          <w:t>bioturbation</w:t>
        </w:r>
      </w:hyperlink>
      <w:r w:rsidRPr="00C70BF4">
        <w:rPr>
          <w:rFonts w:ascii="Times New Roman" w:eastAsia="Times New Roman" w:hAnsi="Times New Roman" w:cs="Times New Roman"/>
          <w:sz w:val="24"/>
          <w:szCs w:val="24"/>
        </w:rPr>
        <w:t xml:space="preserve"> models are marked by confusion in their treatment of porosity. Different equations appear to be needed for different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mechanisms, i.e., interphase mixing, where biological activity causes bulk mixing of sediment affecting both tracer and porosity profiles, versus </w:t>
      </w:r>
      <w:proofErr w:type="spellStart"/>
      <w:r w:rsidRPr="00C70BF4">
        <w:rPr>
          <w:rFonts w:ascii="Times New Roman" w:eastAsia="Times New Roman" w:hAnsi="Times New Roman" w:cs="Times New Roman"/>
          <w:sz w:val="24"/>
          <w:szCs w:val="24"/>
        </w:rPr>
        <w:t>intraphase</w:t>
      </w:r>
      <w:proofErr w:type="spellEnd"/>
      <w:r w:rsidRPr="00C70BF4">
        <w:rPr>
          <w:rFonts w:ascii="Times New Roman" w:eastAsia="Times New Roman" w:hAnsi="Times New Roman" w:cs="Times New Roman"/>
          <w:sz w:val="24"/>
          <w:szCs w:val="24"/>
        </w:rPr>
        <w:t xml:space="preserve"> mixing, where the solid components are intermixed, but the porosity is left unchanged. Another issue is whether the model depends upon the particle type with which tracers are associated, e.g., </w:t>
      </w:r>
      <w:r w:rsidRPr="00C70BF4">
        <w:rPr>
          <w:rFonts w:ascii="Times New Roman" w:eastAsia="Times New Roman" w:hAnsi="Times New Roman" w:cs="Times New Roman"/>
          <w:sz w:val="24"/>
          <w:szCs w:val="24"/>
          <w:vertAlign w:val="superscript"/>
        </w:rPr>
        <w:t>137</w:t>
      </w:r>
      <w:r w:rsidRPr="00C70BF4">
        <w:rPr>
          <w:rFonts w:ascii="Times New Roman" w:eastAsia="Times New Roman" w:hAnsi="Times New Roman" w:cs="Times New Roman"/>
          <w:sz w:val="24"/>
          <w:szCs w:val="24"/>
        </w:rPr>
        <w:t xml:space="preserve">Cs on small clay particles versus </w:t>
      </w:r>
      <w:r w:rsidRPr="00C70BF4">
        <w:rPr>
          <w:rFonts w:ascii="Times New Roman" w:eastAsia="Times New Roman" w:hAnsi="Times New Roman" w:cs="Times New Roman"/>
          <w:sz w:val="24"/>
          <w:szCs w:val="24"/>
          <w:vertAlign w:val="superscript"/>
        </w:rPr>
        <w:t>210</w:t>
      </w:r>
      <w:r w:rsidRPr="00C70BF4">
        <w:rPr>
          <w:rFonts w:ascii="Times New Roman" w:eastAsia="Times New Roman" w:hAnsi="Times New Roman" w:cs="Times New Roman"/>
          <w:sz w:val="24"/>
          <w:szCs w:val="24"/>
        </w:rPr>
        <w:t xml:space="preserve">Pb on larger grains. This uncertainty has </w:t>
      </w:r>
      <w:proofErr w:type="spellStart"/>
      <w:proofErr w:type="gramStart"/>
      <w:r w:rsidRPr="00C70BF4">
        <w:rPr>
          <w:rFonts w:ascii="Times New Roman" w:eastAsia="Times New Roman" w:hAnsi="Times New Roman" w:cs="Times New Roman"/>
          <w:sz w:val="24"/>
          <w:szCs w:val="24"/>
        </w:rPr>
        <w:t>lead</w:t>
      </w:r>
      <w:proofErr w:type="spellEnd"/>
      <w:proofErr w:type="gramEnd"/>
      <w:r w:rsidRPr="00C70BF4">
        <w:rPr>
          <w:rFonts w:ascii="Times New Roman" w:eastAsia="Times New Roman" w:hAnsi="Times New Roman" w:cs="Times New Roman"/>
          <w:sz w:val="24"/>
          <w:szCs w:val="24"/>
        </w:rPr>
        <w:t xml:space="preserve"> to conflicting conservation equations for radiotracers, and in particular, to the question whether the porosity should be placed inside or outside of the differential term that governs the </w:t>
      </w:r>
      <w:proofErr w:type="spellStart"/>
      <w:r w:rsidRPr="00C70BF4">
        <w:rPr>
          <w:rFonts w:ascii="Times New Roman" w:eastAsia="Times New Roman" w:hAnsi="Times New Roman" w:cs="Times New Roman"/>
          <w:sz w:val="24"/>
          <w:szCs w:val="24"/>
        </w:rPr>
        <w:t>biodiffusive</w:t>
      </w:r>
      <w:proofErr w:type="spellEnd"/>
      <w:r w:rsidRPr="00C70BF4">
        <w:rPr>
          <w:rFonts w:ascii="Times New Roman" w:eastAsia="Times New Roman" w:hAnsi="Times New Roman" w:cs="Times New Roman"/>
          <w:sz w:val="24"/>
          <w:szCs w:val="24"/>
        </w:rPr>
        <w:t xml:space="preserve"> flux. We have reexamined this situation in the context of multiphase, multicomponent continuum theory. Most importantly, we prove that under the assumption of steady-state porosity, there exists only one correct form of the steady-state conservation equation for a radiotracer, regardless of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mechanism and particle type, i.e., </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where x is depth, C</w:t>
      </w:r>
      <w:r w:rsidRPr="00C70BF4">
        <w:rPr>
          <w:rFonts w:ascii="Times New Roman" w:eastAsia="Times New Roman" w:hAnsi="Times New Roman" w:cs="Times New Roman"/>
          <w:sz w:val="24"/>
          <w:szCs w:val="24"/>
          <w:vertAlign w:val="superscript"/>
        </w:rPr>
        <w:t>s</w:t>
      </w:r>
      <w:r w:rsidRPr="00C70BF4">
        <w:rPr>
          <w:rFonts w:ascii="Times New Roman" w:eastAsia="Times New Roman" w:hAnsi="Times New Roman" w:cs="Times New Roman"/>
          <w:sz w:val="24"/>
          <w:szCs w:val="24"/>
        </w:rPr>
        <w:t xml:space="preserve"> is the concentration/activity of the tracer, </w:t>
      </w:r>
      <w:proofErr w:type="spellStart"/>
      <w:r w:rsidRPr="00C70BF4">
        <w:rPr>
          <w:rFonts w:ascii="Times New Roman" w:eastAsia="Times New Roman" w:hAnsi="Times New Roman" w:cs="Times New Roman"/>
          <w:sz w:val="24"/>
          <w:szCs w:val="24"/>
        </w:rPr>
        <w:t>F</w:t>
      </w:r>
      <w:r w:rsidRPr="00C70BF4">
        <w:rPr>
          <w:rFonts w:ascii="Times New Roman" w:eastAsia="Times New Roman" w:hAnsi="Times New Roman" w:cs="Times New Roman"/>
          <w:sz w:val="24"/>
          <w:szCs w:val="24"/>
          <w:vertAlign w:val="subscript"/>
        </w:rPr>
        <w:t>sed</w:t>
      </w:r>
      <w:r w:rsidRPr="00C70BF4">
        <w:rPr>
          <w:rFonts w:ascii="Times New Roman" w:eastAsia="Times New Roman" w:hAnsi="Times New Roman" w:cs="Times New Roman"/>
          <w:sz w:val="24"/>
          <w:szCs w:val="24"/>
          <w:vertAlign w:val="superscript"/>
        </w:rPr>
        <w:t>s</w:t>
      </w:r>
      <w:proofErr w:type="spellEnd"/>
      <w:r w:rsidRPr="00C70BF4">
        <w:rPr>
          <w:rFonts w:ascii="Times New Roman" w:eastAsia="Times New Roman" w:hAnsi="Times New Roman" w:cs="Times New Roman"/>
          <w:sz w:val="24"/>
          <w:szCs w:val="24"/>
        </w:rPr>
        <w:t xml:space="preserve"> is the constant flux of solid sediment to the sediment, </w:t>
      </w:r>
      <w:proofErr w:type="spellStart"/>
      <w:r w:rsidRPr="00C70BF4">
        <w:rPr>
          <w:rFonts w:ascii="Times New Roman" w:eastAsia="Times New Roman" w:hAnsi="Times New Roman" w:cs="Times New Roman"/>
          <w:sz w:val="24"/>
          <w:szCs w:val="24"/>
        </w:rPr>
        <w:t>ρ</w:t>
      </w:r>
      <w:r w:rsidRPr="00C70BF4">
        <w:rPr>
          <w:rFonts w:ascii="Times New Roman" w:eastAsia="Times New Roman" w:hAnsi="Times New Roman" w:cs="Times New Roman"/>
          <w:sz w:val="24"/>
          <w:szCs w:val="24"/>
          <w:vertAlign w:val="superscript"/>
        </w:rPr>
        <w:t>s</w:t>
      </w:r>
      <w:proofErr w:type="spellEnd"/>
      <w:r w:rsidRPr="00C70BF4">
        <w:rPr>
          <w:rFonts w:ascii="Times New Roman" w:eastAsia="Times New Roman" w:hAnsi="Times New Roman" w:cs="Times New Roman"/>
          <w:sz w:val="24"/>
          <w:szCs w:val="24"/>
        </w:rPr>
        <w:t xml:space="preserve"> is the density of the solid phase, </w:t>
      </w:r>
      <w:proofErr w:type="spellStart"/>
      <w:r w:rsidRPr="00C70BF4">
        <w:rPr>
          <w:rFonts w:ascii="Times New Roman" w:eastAsia="Times New Roman" w:hAnsi="Times New Roman" w:cs="Times New Roman"/>
          <w:sz w:val="24"/>
          <w:szCs w:val="24"/>
        </w:rPr>
        <w:t>φ</w:t>
      </w:r>
      <w:r w:rsidRPr="00C70BF4">
        <w:rPr>
          <w:rFonts w:ascii="Times New Roman" w:eastAsia="Times New Roman" w:hAnsi="Times New Roman" w:cs="Times New Roman"/>
          <w:sz w:val="24"/>
          <w:szCs w:val="24"/>
          <w:vertAlign w:val="superscript"/>
        </w:rPr>
        <w:t>s</w:t>
      </w:r>
      <w:proofErr w:type="spellEnd"/>
      <w:r w:rsidRPr="00C70BF4">
        <w:rPr>
          <w:rFonts w:ascii="Times New Roman" w:eastAsia="Times New Roman" w:hAnsi="Times New Roman" w:cs="Times New Roman"/>
          <w:sz w:val="24"/>
          <w:szCs w:val="24"/>
        </w:rPr>
        <w:t xml:space="preserve"> is the solid </w:t>
      </w:r>
      <w:hyperlink r:id="rId6" w:tooltip="Learn more about volume fraction from ScienceDirect's AI-generated Topic Pages" w:history="1">
        <w:r w:rsidRPr="00C70BF4">
          <w:rPr>
            <w:rFonts w:ascii="Times New Roman" w:eastAsia="Times New Roman" w:hAnsi="Times New Roman" w:cs="Times New Roman"/>
            <w:color w:val="0000FF"/>
            <w:sz w:val="24"/>
            <w:szCs w:val="24"/>
            <w:u w:val="single"/>
          </w:rPr>
          <w:t>volume fraction</w:t>
        </w:r>
      </w:hyperlink>
      <w:r w:rsidRPr="00C70BF4">
        <w:rPr>
          <w:rFonts w:ascii="Times New Roman" w:eastAsia="Times New Roman" w:hAnsi="Times New Roman" w:cs="Times New Roman"/>
          <w:sz w:val="24"/>
          <w:szCs w:val="24"/>
        </w:rPr>
        <w:t>, D</w:t>
      </w:r>
      <w:r w:rsidRPr="00C70BF4">
        <w:rPr>
          <w:rFonts w:ascii="Times New Roman" w:eastAsia="Times New Roman" w:hAnsi="Times New Roman" w:cs="Times New Roman"/>
          <w:sz w:val="24"/>
          <w:szCs w:val="24"/>
          <w:vertAlign w:val="subscript"/>
        </w:rPr>
        <w:t>B</w:t>
      </w:r>
      <w:r w:rsidRPr="00C70BF4">
        <w:rPr>
          <w:rFonts w:ascii="Times New Roman" w:eastAsia="Times New Roman" w:hAnsi="Times New Roman" w:cs="Times New Roman"/>
          <w:sz w:val="24"/>
          <w:szCs w:val="24"/>
        </w:rPr>
        <w:t xml:space="preserve"> is the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coefficient, and λ is the decay constant. This pertinent finding results from a substantial revision and extension of diagenetic theory. By considering the conservation of momentum, as well as mass, we have identified the correct reference velocities to define </w:t>
      </w:r>
      <w:proofErr w:type="spellStart"/>
      <w:r w:rsidRPr="00C70BF4">
        <w:rPr>
          <w:rFonts w:ascii="Times New Roman" w:eastAsia="Times New Roman" w:hAnsi="Times New Roman" w:cs="Times New Roman"/>
          <w:sz w:val="24"/>
          <w:szCs w:val="24"/>
        </w:rPr>
        <w:t>biodiffusional</w:t>
      </w:r>
      <w:proofErr w:type="spellEnd"/>
      <w:r w:rsidRPr="00C70BF4">
        <w:rPr>
          <w:rFonts w:ascii="Times New Roman" w:eastAsia="Times New Roman" w:hAnsi="Times New Roman" w:cs="Times New Roman"/>
          <w:sz w:val="24"/>
          <w:szCs w:val="24"/>
        </w:rPr>
        <w:t xml:space="preserve"> fluxes. From that, we have formulated a consistent set of model equations that govern (1) transient porosity and transient tracer concentrations, (2) steady-state porosity and transient tracer concentrations, and (3) steady-state porosity and steady-state tracer concentrations, in sediments that are subject to both compaction and bioturbation.</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Introduction</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refers to a mathematical model that treats bioturbation, the biological mixing of solid sediment particles, as a diffusive process.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has a relatively long lineage in the geochemical literature, reaching back some 40 years to the seminal work of Goldberg and Koide (1962) and its popularization by </w:t>
      </w:r>
      <w:proofErr w:type="spellStart"/>
      <w:r w:rsidRPr="00C70BF4">
        <w:rPr>
          <w:rFonts w:ascii="Times New Roman" w:eastAsia="Times New Roman" w:hAnsi="Times New Roman" w:cs="Times New Roman"/>
          <w:sz w:val="24"/>
          <w:szCs w:val="24"/>
        </w:rPr>
        <w:t>Guinasso</w:t>
      </w:r>
      <w:proofErr w:type="spellEnd"/>
      <w:r w:rsidRPr="00C70BF4">
        <w:rPr>
          <w:rFonts w:ascii="Times New Roman" w:eastAsia="Times New Roman" w:hAnsi="Times New Roman" w:cs="Times New Roman"/>
          <w:sz w:val="24"/>
          <w:szCs w:val="24"/>
        </w:rPr>
        <w:t xml:space="preserve"> and </w:t>
      </w:r>
      <w:proofErr w:type="spellStart"/>
      <w:r w:rsidRPr="00C70BF4">
        <w:rPr>
          <w:rFonts w:ascii="Times New Roman" w:eastAsia="Times New Roman" w:hAnsi="Times New Roman" w:cs="Times New Roman"/>
          <w:sz w:val="24"/>
          <w:szCs w:val="24"/>
        </w:rPr>
        <w:t>Schink</w:t>
      </w:r>
      <w:proofErr w:type="spellEnd"/>
      <w:r w:rsidRPr="00C70BF4">
        <w:rPr>
          <w:rFonts w:ascii="Times New Roman" w:eastAsia="Times New Roman" w:hAnsi="Times New Roman" w:cs="Times New Roman"/>
          <w:sz w:val="24"/>
          <w:szCs w:val="24"/>
        </w:rPr>
        <w:t xml:space="preserve"> (1975). Since that time the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model has been adopted as the standard description for solid radiotracer studies in both marine (e.g., Nozaki et al., 1977; Benninger et al., 1979; Cochran, 1985; Henderson et al., 1999) and lacustrine environments (e.g., Robbins et al., 1977; Hancock and Hunter, 1999; </w:t>
      </w:r>
      <w:proofErr w:type="spellStart"/>
      <w:r w:rsidRPr="00C70BF4">
        <w:rPr>
          <w:rFonts w:ascii="Times New Roman" w:eastAsia="Times New Roman" w:hAnsi="Times New Roman" w:cs="Times New Roman"/>
          <w:sz w:val="24"/>
          <w:szCs w:val="24"/>
        </w:rPr>
        <w:t>Dellapena</w:t>
      </w:r>
      <w:proofErr w:type="spellEnd"/>
      <w:r w:rsidRPr="00C70BF4">
        <w:rPr>
          <w:rFonts w:ascii="Times New Roman" w:eastAsia="Times New Roman" w:hAnsi="Times New Roman" w:cs="Times New Roman"/>
          <w:sz w:val="24"/>
          <w:szCs w:val="24"/>
        </w:rPr>
        <w:t xml:space="preserve"> et al., 2003). Typically, these studies are simple applications of Fick’s Laws to tracer profiles, assuming a mixed layer of constant porosity. However, the surface layer of aquatic sediments exhibits appreciable gradients in porosity due to compaction. Bioturbation thus occurs in a deformable porous medium, and accordingly, Berner (1980), Christensen (1982) and Officer (1982) argued that tracer models should account for both bioturbation and compaction effects.</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lastRenderedPageBreak/>
        <w:t xml:space="preserve">Unfortunately, two contradictory forms of such tracer models have been advanced, which account differently for porosity effects. The central point of discussion is whether the volume fraction should be placed inside or outside the partial derivative of the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term. Berner (1980) and Christensen (1982) suggested that bioturbation acts to eliminate not only the tracer gradient by mixing, but also the porosity gradient. Accordingly, the flux due to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should be stated as </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where J is the flux of a solid component being mixed, x is depth, C is the concentration of that component (expressed per unit volume of solid phase), </w:t>
      </w:r>
      <w:proofErr w:type="spellStart"/>
      <w:r w:rsidRPr="00C70BF4">
        <w:rPr>
          <w:rFonts w:ascii="Times New Roman" w:eastAsia="Times New Roman" w:hAnsi="Times New Roman" w:cs="Times New Roman"/>
          <w:sz w:val="24"/>
          <w:szCs w:val="24"/>
        </w:rPr>
        <w:t>φ</w:t>
      </w:r>
      <w:r w:rsidRPr="00C70BF4">
        <w:rPr>
          <w:rFonts w:ascii="Times New Roman" w:eastAsia="Times New Roman" w:hAnsi="Times New Roman" w:cs="Times New Roman"/>
          <w:sz w:val="24"/>
          <w:szCs w:val="24"/>
          <w:vertAlign w:val="superscript"/>
        </w:rPr>
        <w:t>s</w:t>
      </w:r>
      <w:proofErr w:type="spellEnd"/>
      <w:r w:rsidRPr="00C70BF4">
        <w:rPr>
          <w:rFonts w:ascii="Times New Roman" w:eastAsia="Times New Roman" w:hAnsi="Times New Roman" w:cs="Times New Roman"/>
          <w:sz w:val="24"/>
          <w:szCs w:val="24"/>
        </w:rPr>
        <w:t xml:space="preserve"> = 1 − </w:t>
      </w:r>
      <w:proofErr w:type="spellStart"/>
      <w:r w:rsidRPr="00C70BF4">
        <w:rPr>
          <w:rFonts w:ascii="Times New Roman" w:eastAsia="Times New Roman" w:hAnsi="Times New Roman" w:cs="Times New Roman"/>
          <w:sz w:val="24"/>
          <w:szCs w:val="24"/>
        </w:rPr>
        <w:t>φ</w:t>
      </w:r>
      <w:r w:rsidRPr="00C70BF4">
        <w:rPr>
          <w:rFonts w:ascii="Times New Roman" w:eastAsia="Times New Roman" w:hAnsi="Times New Roman" w:cs="Times New Roman"/>
          <w:sz w:val="24"/>
          <w:szCs w:val="24"/>
          <w:vertAlign w:val="superscript"/>
        </w:rPr>
        <w:t>f</w:t>
      </w:r>
      <w:proofErr w:type="spellEnd"/>
      <w:r w:rsidRPr="00C70BF4">
        <w:rPr>
          <w:rFonts w:ascii="Times New Roman" w:eastAsia="Times New Roman" w:hAnsi="Times New Roman" w:cs="Times New Roman"/>
          <w:sz w:val="24"/>
          <w:szCs w:val="24"/>
        </w:rPr>
        <w:t xml:space="preserve"> is the volume fraction of solids where </w:t>
      </w:r>
      <w:proofErr w:type="spellStart"/>
      <w:r w:rsidRPr="00C70BF4">
        <w:rPr>
          <w:rFonts w:ascii="Times New Roman" w:eastAsia="Times New Roman" w:hAnsi="Times New Roman" w:cs="Times New Roman"/>
          <w:sz w:val="24"/>
          <w:szCs w:val="24"/>
        </w:rPr>
        <w:t>φ</w:t>
      </w:r>
      <w:r w:rsidRPr="00C70BF4">
        <w:rPr>
          <w:rFonts w:ascii="Times New Roman" w:eastAsia="Times New Roman" w:hAnsi="Times New Roman" w:cs="Times New Roman"/>
          <w:sz w:val="24"/>
          <w:szCs w:val="24"/>
          <w:vertAlign w:val="superscript"/>
        </w:rPr>
        <w:t>f</w:t>
      </w:r>
      <w:proofErr w:type="spellEnd"/>
      <w:r w:rsidRPr="00C70BF4">
        <w:rPr>
          <w:rFonts w:ascii="Times New Roman" w:eastAsia="Times New Roman" w:hAnsi="Times New Roman" w:cs="Times New Roman"/>
          <w:sz w:val="24"/>
          <w:szCs w:val="24"/>
        </w:rPr>
        <w:t xml:space="preserve"> is porosity, and D</w:t>
      </w:r>
      <w:r w:rsidRPr="00C70BF4">
        <w:rPr>
          <w:rFonts w:ascii="Times New Roman" w:eastAsia="Times New Roman" w:hAnsi="Times New Roman" w:cs="Times New Roman"/>
          <w:sz w:val="24"/>
          <w:szCs w:val="24"/>
          <w:vertAlign w:val="subscript"/>
        </w:rPr>
        <w:t>B</w:t>
      </w:r>
      <w:r w:rsidRPr="00C70BF4">
        <w:rPr>
          <w:rFonts w:ascii="Times New Roman" w:eastAsia="Times New Roman" w:hAnsi="Times New Roman" w:cs="Times New Roman"/>
          <w:sz w:val="24"/>
          <w:szCs w:val="24"/>
        </w:rPr>
        <w:t xml:space="preserve"> is the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coefficient, which characterizes the intensity of mixing. Berner (1980) and Christensen 1982, Christensen 1983 further state that the steady-state conservation equation for a solid radiotracer subject to Eqn. 1a should be of the form </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where λ is the decay constant and ω is termed the “burial rate” (Berner, 1980) or the “sedimentation rate” (Christensen, 1982). Note the </w:t>
      </w:r>
      <w:proofErr w:type="spellStart"/>
      <w:r w:rsidRPr="00C70BF4">
        <w:rPr>
          <w:rFonts w:ascii="Times New Roman" w:eastAsia="Times New Roman" w:hAnsi="Times New Roman" w:cs="Times New Roman"/>
          <w:sz w:val="24"/>
          <w:szCs w:val="24"/>
        </w:rPr>
        <w:t>non unique</w:t>
      </w:r>
      <w:proofErr w:type="spellEnd"/>
      <w:r w:rsidRPr="00C70BF4">
        <w:rPr>
          <w:rFonts w:ascii="Times New Roman" w:eastAsia="Times New Roman" w:hAnsi="Times New Roman" w:cs="Times New Roman"/>
          <w:sz w:val="24"/>
          <w:szCs w:val="24"/>
        </w:rPr>
        <w:t xml:space="preserve"> terminology that is used to designate the velocity ω. This imprecision in velocity terminology continues in present day communications (e.g., “sedimentation rate” and “sediment accumulation rate” are frequently used as synonyms), and its consequences for bioturbation modelling are addressed in detail below.</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In contrast to Eqn. 1a Officer (1982) and Officer and Lynch (1982) advanced the alternative form for the </w:t>
      </w:r>
      <w:proofErr w:type="spellStart"/>
      <w:r w:rsidRPr="00C70BF4">
        <w:rPr>
          <w:rFonts w:ascii="Times New Roman" w:eastAsia="Times New Roman" w:hAnsi="Times New Roman" w:cs="Times New Roman"/>
          <w:sz w:val="24"/>
          <w:szCs w:val="24"/>
        </w:rPr>
        <w:t>biodiffusive</w:t>
      </w:r>
      <w:proofErr w:type="spellEnd"/>
      <w:r w:rsidRPr="00C70BF4">
        <w:rPr>
          <w:rFonts w:ascii="Times New Roman" w:eastAsia="Times New Roman" w:hAnsi="Times New Roman" w:cs="Times New Roman"/>
          <w:sz w:val="24"/>
          <w:szCs w:val="24"/>
        </w:rPr>
        <w:t xml:space="preserve"> flux </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where the symbols have the same meaning as in Eqn. 1a. Officer and Lynch 1982, Officer and Lynch 1983 further argued that the steady-state conservation equation for a solid radiotracer, corresponding to Eqn. 2a, should be of the form </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where υ was now referred to as the “sediment particle velocity” (Officer and Lynch, 1982).</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The proponents of these two models immediately realized that Eqns. (1a), (1b), (2a), (2b) were incompatible views of bioturbation. This engendered a formal debate—see Christensen (1983) versus Officer and Lynch (1983). This discussion did not, however, result in any clear indication as to the appropriate form that should be used in diagenetic modeling. Boudreau (1986) reexamined the theory of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and concluded that both equations refer to different mixing modes. Boudreau (1986) designated the mixing mode associated to Eqn. (1a), (1b) as </w:t>
      </w:r>
      <w:r w:rsidRPr="00C70BF4">
        <w:rPr>
          <w:rFonts w:ascii="Times New Roman" w:eastAsia="Times New Roman" w:hAnsi="Times New Roman" w:cs="Times New Roman"/>
          <w:i/>
          <w:iCs/>
          <w:sz w:val="24"/>
          <w:szCs w:val="24"/>
        </w:rPr>
        <w:t>interphase</w:t>
      </w:r>
      <w:r w:rsidRPr="00C70BF4">
        <w:rPr>
          <w:rFonts w:ascii="Times New Roman" w:eastAsia="Times New Roman" w:hAnsi="Times New Roman" w:cs="Times New Roman"/>
          <w:sz w:val="24"/>
          <w:szCs w:val="24"/>
        </w:rPr>
        <w:t xml:space="preserve"> mixing, as it mixes the bulk sediment, i.e., both the solid and fluid phase, in a diffusive way, thus influencing porosity profiles. Conversely, Boudreau (1986) coined the term </w:t>
      </w:r>
      <w:proofErr w:type="spellStart"/>
      <w:r w:rsidRPr="00C70BF4">
        <w:rPr>
          <w:rFonts w:ascii="Times New Roman" w:eastAsia="Times New Roman" w:hAnsi="Times New Roman" w:cs="Times New Roman"/>
          <w:i/>
          <w:iCs/>
          <w:sz w:val="24"/>
          <w:szCs w:val="24"/>
        </w:rPr>
        <w:t>intraphase</w:t>
      </w:r>
      <w:proofErr w:type="spellEnd"/>
      <w:r w:rsidRPr="00C70BF4">
        <w:rPr>
          <w:rFonts w:ascii="Times New Roman" w:eastAsia="Times New Roman" w:hAnsi="Times New Roman" w:cs="Times New Roman"/>
          <w:sz w:val="24"/>
          <w:szCs w:val="24"/>
        </w:rPr>
        <w:t xml:space="preserve"> mixing for the mixing mode associated with Eqn. (2a), (2b), as in this case, mixing apparently affects the tracer distribution, although not the porosity profile. A diagram illustrating the different actions of these two end-member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mechanisms can be found in </w:t>
      </w:r>
      <w:proofErr w:type="spellStart"/>
      <w:r w:rsidRPr="00C70BF4">
        <w:rPr>
          <w:rFonts w:ascii="Times New Roman" w:eastAsia="Times New Roman" w:hAnsi="Times New Roman" w:cs="Times New Roman"/>
          <w:sz w:val="24"/>
          <w:szCs w:val="24"/>
        </w:rPr>
        <w:t>Mulsow</w:t>
      </w:r>
      <w:proofErr w:type="spellEnd"/>
      <w:r w:rsidRPr="00C70BF4">
        <w:rPr>
          <w:rFonts w:ascii="Times New Roman" w:eastAsia="Times New Roman" w:hAnsi="Times New Roman" w:cs="Times New Roman"/>
          <w:sz w:val="24"/>
          <w:szCs w:val="24"/>
        </w:rPr>
        <w:t xml:space="preserve"> et al. (1998) and is reproduced in Figure 1. </w:t>
      </w:r>
      <w:proofErr w:type="spellStart"/>
      <w:r w:rsidRPr="00C70BF4">
        <w:rPr>
          <w:rFonts w:ascii="Times New Roman" w:eastAsia="Times New Roman" w:hAnsi="Times New Roman" w:cs="Times New Roman"/>
          <w:sz w:val="24"/>
          <w:szCs w:val="24"/>
        </w:rPr>
        <w:t>Fukumori</w:t>
      </w:r>
      <w:proofErr w:type="spellEnd"/>
      <w:r w:rsidRPr="00C70BF4">
        <w:rPr>
          <w:rFonts w:ascii="Times New Roman" w:eastAsia="Times New Roman" w:hAnsi="Times New Roman" w:cs="Times New Roman"/>
          <w:sz w:val="24"/>
          <w:szCs w:val="24"/>
        </w:rPr>
        <w:t xml:space="preserve"> et al. (1992) also noted the disagreement, yet provided a different explanation. They proposed that the form of the conservation equation depends on the particle type being mixed: Eqn. (1a), (1b) is applicable for tracers associated with colloids (e.g., </w:t>
      </w:r>
      <w:r w:rsidRPr="00C70BF4">
        <w:rPr>
          <w:rFonts w:ascii="Times New Roman" w:eastAsia="Times New Roman" w:hAnsi="Times New Roman" w:cs="Times New Roman"/>
          <w:sz w:val="24"/>
          <w:szCs w:val="24"/>
          <w:vertAlign w:val="superscript"/>
        </w:rPr>
        <w:t>137</w:t>
      </w:r>
      <w:r w:rsidRPr="00C70BF4">
        <w:rPr>
          <w:rFonts w:ascii="Times New Roman" w:eastAsia="Times New Roman" w:hAnsi="Times New Roman" w:cs="Times New Roman"/>
          <w:sz w:val="24"/>
          <w:szCs w:val="24"/>
        </w:rPr>
        <w:t xml:space="preserve">Cs), while Eqn. (2a), (2b) should be valid for tracer adsorbed on large settling particles (e.g., </w:t>
      </w:r>
      <w:r w:rsidRPr="00C70BF4">
        <w:rPr>
          <w:rFonts w:ascii="Times New Roman" w:eastAsia="Times New Roman" w:hAnsi="Times New Roman" w:cs="Times New Roman"/>
          <w:sz w:val="24"/>
          <w:szCs w:val="24"/>
          <w:vertAlign w:val="superscript"/>
        </w:rPr>
        <w:t>210</w:t>
      </w:r>
      <w:r w:rsidRPr="00C70BF4">
        <w:rPr>
          <w:rFonts w:ascii="Times New Roman" w:eastAsia="Times New Roman" w:hAnsi="Times New Roman" w:cs="Times New Roman"/>
          <w:sz w:val="24"/>
          <w:szCs w:val="24"/>
        </w:rPr>
        <w:t>Pb). However, neither the mixing mode, nor the particle type hypothesis were supported by a convincing formal derivation that settled the debate.</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Even today, the problem is not resolved, and this uncertainty casts its shadow on bioturbation studies in a number of ways. First, currently, diagenetic modelling theory appears to be ambiguous, as even highly informed reviews arbitrarily utilize either the “interphase” Eqn. 1b (e.g., Van </w:t>
      </w:r>
      <w:proofErr w:type="spellStart"/>
      <w:r w:rsidRPr="00C70BF4">
        <w:rPr>
          <w:rFonts w:ascii="Times New Roman" w:eastAsia="Times New Roman" w:hAnsi="Times New Roman" w:cs="Times New Roman"/>
          <w:sz w:val="24"/>
          <w:szCs w:val="24"/>
        </w:rPr>
        <w:t>Cappellen</w:t>
      </w:r>
      <w:proofErr w:type="spellEnd"/>
      <w:r w:rsidRPr="00C70BF4">
        <w:rPr>
          <w:rFonts w:ascii="Times New Roman" w:eastAsia="Times New Roman" w:hAnsi="Times New Roman" w:cs="Times New Roman"/>
          <w:sz w:val="24"/>
          <w:szCs w:val="24"/>
        </w:rPr>
        <w:t xml:space="preserve"> and Gaillard, 1996) or the “</w:t>
      </w:r>
      <w:proofErr w:type="spellStart"/>
      <w:r w:rsidRPr="00C70BF4">
        <w:rPr>
          <w:rFonts w:ascii="Times New Roman" w:eastAsia="Times New Roman" w:hAnsi="Times New Roman" w:cs="Times New Roman"/>
          <w:sz w:val="24"/>
          <w:szCs w:val="24"/>
        </w:rPr>
        <w:t>intraphase</w:t>
      </w:r>
      <w:proofErr w:type="spellEnd"/>
      <w:r w:rsidRPr="00C70BF4">
        <w:rPr>
          <w:rFonts w:ascii="Times New Roman" w:eastAsia="Times New Roman" w:hAnsi="Times New Roman" w:cs="Times New Roman"/>
          <w:sz w:val="24"/>
          <w:szCs w:val="24"/>
        </w:rPr>
        <w:t xml:space="preserve">” Eqn. 2b (e.g., Boudreau, 2000). Second, due to </w:t>
      </w:r>
      <w:r w:rsidRPr="00C70BF4">
        <w:rPr>
          <w:rFonts w:ascii="Times New Roman" w:eastAsia="Times New Roman" w:hAnsi="Times New Roman" w:cs="Times New Roman"/>
          <w:sz w:val="24"/>
          <w:szCs w:val="24"/>
        </w:rPr>
        <w:lastRenderedPageBreak/>
        <w:t xml:space="preserve">increased computing power and improved access to numerical software, recent studies have started to explore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models that account for variable porosity (</w:t>
      </w:r>
      <w:proofErr w:type="spellStart"/>
      <w:r w:rsidRPr="00C70BF4">
        <w:rPr>
          <w:rFonts w:ascii="Times New Roman" w:eastAsia="Times New Roman" w:hAnsi="Times New Roman" w:cs="Times New Roman"/>
          <w:sz w:val="24"/>
          <w:szCs w:val="24"/>
        </w:rPr>
        <w:t>Nie</w:t>
      </w:r>
      <w:proofErr w:type="spellEnd"/>
      <w:r w:rsidRPr="00C70BF4">
        <w:rPr>
          <w:rFonts w:ascii="Times New Roman" w:eastAsia="Times New Roman" w:hAnsi="Times New Roman" w:cs="Times New Roman"/>
          <w:sz w:val="24"/>
          <w:szCs w:val="24"/>
        </w:rPr>
        <w:t xml:space="preserve"> et al., 2001; Berg et al., 2001; </w:t>
      </w:r>
      <w:proofErr w:type="spellStart"/>
      <w:r w:rsidRPr="00C70BF4">
        <w:rPr>
          <w:rFonts w:ascii="Times New Roman" w:eastAsia="Times New Roman" w:hAnsi="Times New Roman" w:cs="Times New Roman"/>
          <w:sz w:val="24"/>
          <w:szCs w:val="24"/>
        </w:rPr>
        <w:t>Alperin</w:t>
      </w:r>
      <w:proofErr w:type="spellEnd"/>
      <w:r w:rsidRPr="00C70BF4">
        <w:rPr>
          <w:rFonts w:ascii="Times New Roman" w:eastAsia="Times New Roman" w:hAnsi="Times New Roman" w:cs="Times New Roman"/>
          <w:sz w:val="24"/>
          <w:szCs w:val="24"/>
        </w:rPr>
        <w:t xml:space="preserve"> et al., 2002). </w:t>
      </w:r>
      <w:proofErr w:type="spellStart"/>
      <w:r w:rsidRPr="00C70BF4">
        <w:rPr>
          <w:rFonts w:ascii="Times New Roman" w:eastAsia="Times New Roman" w:hAnsi="Times New Roman" w:cs="Times New Roman"/>
          <w:sz w:val="24"/>
          <w:szCs w:val="24"/>
        </w:rPr>
        <w:t>Mulsow</w:t>
      </w:r>
      <w:proofErr w:type="spellEnd"/>
      <w:r w:rsidRPr="00C70BF4">
        <w:rPr>
          <w:rFonts w:ascii="Times New Roman" w:eastAsia="Times New Roman" w:hAnsi="Times New Roman" w:cs="Times New Roman"/>
          <w:sz w:val="24"/>
          <w:szCs w:val="24"/>
        </w:rPr>
        <w:t xml:space="preserve"> et al. (1998) have shown that statistically different D</w:t>
      </w:r>
      <w:r w:rsidRPr="00C70BF4">
        <w:rPr>
          <w:rFonts w:ascii="Times New Roman" w:eastAsia="Times New Roman" w:hAnsi="Times New Roman" w:cs="Times New Roman"/>
          <w:sz w:val="24"/>
          <w:szCs w:val="24"/>
          <w:vertAlign w:val="subscript"/>
        </w:rPr>
        <w:t>B</w:t>
      </w:r>
      <w:r w:rsidRPr="00C70BF4">
        <w:rPr>
          <w:rFonts w:ascii="Times New Roman" w:eastAsia="Times New Roman" w:hAnsi="Times New Roman" w:cs="Times New Roman"/>
          <w:sz w:val="24"/>
          <w:szCs w:val="24"/>
        </w:rPr>
        <w:t xml:space="preserve"> values arise when interphase and </w:t>
      </w:r>
      <w:proofErr w:type="spellStart"/>
      <w:r w:rsidRPr="00C70BF4">
        <w:rPr>
          <w:rFonts w:ascii="Times New Roman" w:eastAsia="Times New Roman" w:hAnsi="Times New Roman" w:cs="Times New Roman"/>
          <w:sz w:val="24"/>
          <w:szCs w:val="24"/>
        </w:rPr>
        <w:t>intraphase</w:t>
      </w:r>
      <w:proofErr w:type="spellEnd"/>
      <w:r w:rsidRPr="00C70BF4">
        <w:rPr>
          <w:rFonts w:ascii="Times New Roman" w:eastAsia="Times New Roman" w:hAnsi="Times New Roman" w:cs="Times New Roman"/>
          <w:sz w:val="24"/>
          <w:szCs w:val="24"/>
        </w:rPr>
        <w:t xml:space="preserve"> models are applied to the same </w:t>
      </w:r>
      <w:r w:rsidRPr="00C70BF4">
        <w:rPr>
          <w:rFonts w:ascii="Times New Roman" w:eastAsia="Times New Roman" w:hAnsi="Times New Roman" w:cs="Times New Roman"/>
          <w:sz w:val="24"/>
          <w:szCs w:val="24"/>
          <w:vertAlign w:val="superscript"/>
        </w:rPr>
        <w:t>210</w:t>
      </w:r>
      <w:r w:rsidRPr="00C70BF4">
        <w:rPr>
          <w:rFonts w:ascii="Times New Roman" w:eastAsia="Times New Roman" w:hAnsi="Times New Roman" w:cs="Times New Roman"/>
          <w:sz w:val="24"/>
          <w:szCs w:val="24"/>
        </w:rPr>
        <w:t>Pb tracer profiles. These divergent D</w:t>
      </w:r>
      <w:r w:rsidRPr="00C70BF4">
        <w:rPr>
          <w:rFonts w:ascii="Times New Roman" w:eastAsia="Times New Roman" w:hAnsi="Times New Roman" w:cs="Times New Roman"/>
          <w:sz w:val="24"/>
          <w:szCs w:val="24"/>
          <w:vertAlign w:val="subscript"/>
        </w:rPr>
        <w:t>B</w:t>
      </w:r>
      <w:r w:rsidRPr="00C70BF4">
        <w:rPr>
          <w:rFonts w:ascii="Times New Roman" w:eastAsia="Times New Roman" w:hAnsi="Times New Roman" w:cs="Times New Roman"/>
          <w:sz w:val="24"/>
          <w:szCs w:val="24"/>
        </w:rPr>
        <w:t xml:space="preserve"> values emerge because the two models treat porosity gradients differently. Figure 2 shows that the fitted D</w:t>
      </w:r>
      <w:r w:rsidRPr="00C70BF4">
        <w:rPr>
          <w:rFonts w:ascii="Times New Roman" w:eastAsia="Times New Roman" w:hAnsi="Times New Roman" w:cs="Times New Roman"/>
          <w:sz w:val="24"/>
          <w:szCs w:val="24"/>
          <w:vertAlign w:val="subscript"/>
        </w:rPr>
        <w:t>B</w:t>
      </w:r>
      <w:r w:rsidRPr="00C70BF4">
        <w:rPr>
          <w:rFonts w:ascii="Times New Roman" w:eastAsia="Times New Roman" w:hAnsi="Times New Roman" w:cs="Times New Roman"/>
          <w:sz w:val="24"/>
          <w:szCs w:val="24"/>
        </w:rPr>
        <w:t xml:space="preserve"> values from the interphase model are systematically higher than their </w:t>
      </w:r>
      <w:proofErr w:type="spellStart"/>
      <w:r w:rsidRPr="00C70BF4">
        <w:rPr>
          <w:rFonts w:ascii="Times New Roman" w:eastAsia="Times New Roman" w:hAnsi="Times New Roman" w:cs="Times New Roman"/>
          <w:sz w:val="24"/>
          <w:szCs w:val="24"/>
        </w:rPr>
        <w:t>intraphase</w:t>
      </w:r>
      <w:proofErr w:type="spellEnd"/>
      <w:r w:rsidRPr="00C70BF4">
        <w:rPr>
          <w:rFonts w:ascii="Times New Roman" w:eastAsia="Times New Roman" w:hAnsi="Times New Roman" w:cs="Times New Roman"/>
          <w:sz w:val="24"/>
          <w:szCs w:val="24"/>
        </w:rPr>
        <w:t xml:space="preserve"> counterparts. This difference amounts up to 400% and exceeds considerably the experimental error (</w:t>
      </w:r>
      <w:proofErr w:type="spellStart"/>
      <w:r w:rsidRPr="00C70BF4">
        <w:rPr>
          <w:rFonts w:ascii="Times New Roman" w:eastAsia="Times New Roman" w:hAnsi="Times New Roman" w:cs="Times New Roman"/>
          <w:sz w:val="24"/>
          <w:szCs w:val="24"/>
        </w:rPr>
        <w:t>Mulsow</w:t>
      </w:r>
      <w:proofErr w:type="spellEnd"/>
      <w:r w:rsidRPr="00C70BF4">
        <w:rPr>
          <w:rFonts w:ascii="Times New Roman" w:eastAsia="Times New Roman" w:hAnsi="Times New Roman" w:cs="Times New Roman"/>
          <w:sz w:val="24"/>
          <w:szCs w:val="24"/>
        </w:rPr>
        <w:t xml:space="preserve"> et al., 1998). Consequently, the problem is not only of a theoretical importance, but also has clear repercussions for the estimation of mixing intensities in the field.</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In summary, the application of tracer mixing models forms a standard procedure in the analysis of geochemical tracer data from surface sediments. Still, when extracting mixing intensities from tracer profiles, geochemists are confronted with the bothersome ambiguity of what model to select: should the porosity term be placed inside the differential, i.e., Eqn. 1b, or outside, i.e., Eqn. 2b? In this communication, our aim is to provide a satisfactory theoretical answer to this question. Although the problem statement is simple and straightforward, its solution is challenging and requires an in-depth treatment of continuum mechanics. In what follows, we show that the present application of continuum theory in early diagenesis is partly inconsistent and partly incomplete. The inconsistency relates to an improper definition of reference velocities for </w:t>
      </w:r>
      <w:proofErr w:type="spellStart"/>
      <w:r w:rsidRPr="00C70BF4">
        <w:rPr>
          <w:rFonts w:ascii="Times New Roman" w:eastAsia="Times New Roman" w:hAnsi="Times New Roman" w:cs="Times New Roman"/>
          <w:sz w:val="24"/>
          <w:szCs w:val="24"/>
        </w:rPr>
        <w:t>biodiffusive</w:t>
      </w:r>
      <w:proofErr w:type="spellEnd"/>
      <w:r w:rsidRPr="00C70BF4">
        <w:rPr>
          <w:rFonts w:ascii="Times New Roman" w:eastAsia="Times New Roman" w:hAnsi="Times New Roman" w:cs="Times New Roman"/>
          <w:sz w:val="24"/>
          <w:szCs w:val="24"/>
        </w:rPr>
        <w:t xml:space="preserve"> fluxes. The incompleteness refers to the need for a wider perspective in early diagenetic modeling theory. In its present form (Berner, 1980; Boudreau, 1997), the theory is exclusively focused on mass conservation. Nevertheless, porosity gradients are created by sediment compaction, which is inherently a momentum transfer phenomenon. Thus, the resolution of the problem requires the combined application of mass and momentum conservation to a sediment subject to compaction, mixing and reactions. As the proper application of continuum theory is central to our discussion, this paper begins with a detailed exposure of its implementation in early diagenesis. Subsequently, we revisit the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controversy and derive a consistent set of equations to model radiotracers in surface sediments, under both dynamic and steady-state porosity conditions.</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Section snippets</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Conservation Equations</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Early diagenetic modeling (Berner, 1980; Boudreau, 1997) is part of the broader theory of continuum physics, which provides a general description for the conservation of mass, momentum, energy, and entropy in natural systems (Truesdell and </w:t>
      </w:r>
      <w:proofErr w:type="spellStart"/>
      <w:r w:rsidRPr="00C70BF4">
        <w:rPr>
          <w:rFonts w:ascii="Times New Roman" w:eastAsia="Times New Roman" w:hAnsi="Times New Roman" w:cs="Times New Roman"/>
          <w:sz w:val="24"/>
          <w:szCs w:val="24"/>
        </w:rPr>
        <w:t>Toupin</w:t>
      </w:r>
      <w:proofErr w:type="spellEnd"/>
      <w:r w:rsidRPr="00C70BF4">
        <w:rPr>
          <w:rFonts w:ascii="Times New Roman" w:eastAsia="Times New Roman" w:hAnsi="Times New Roman" w:cs="Times New Roman"/>
          <w:sz w:val="24"/>
          <w:szCs w:val="24"/>
        </w:rPr>
        <w:t xml:space="preserve">, 1960; Bear, 1972; Bowen, 1976; Bear and </w:t>
      </w:r>
      <w:proofErr w:type="spellStart"/>
      <w:r w:rsidRPr="00C70BF4">
        <w:rPr>
          <w:rFonts w:ascii="Times New Roman" w:eastAsia="Times New Roman" w:hAnsi="Times New Roman" w:cs="Times New Roman"/>
          <w:sz w:val="24"/>
          <w:szCs w:val="24"/>
        </w:rPr>
        <w:t>Bachmat</w:t>
      </w:r>
      <w:proofErr w:type="spellEnd"/>
      <w:r w:rsidRPr="00C70BF4">
        <w:rPr>
          <w:rFonts w:ascii="Times New Roman" w:eastAsia="Times New Roman" w:hAnsi="Times New Roman" w:cs="Times New Roman"/>
          <w:sz w:val="24"/>
          <w:szCs w:val="24"/>
        </w:rPr>
        <w:t xml:space="preserve">, 1991; Gray and </w:t>
      </w:r>
      <w:proofErr w:type="spellStart"/>
      <w:r w:rsidRPr="00C70BF4">
        <w:rPr>
          <w:rFonts w:ascii="Times New Roman" w:eastAsia="Times New Roman" w:hAnsi="Times New Roman" w:cs="Times New Roman"/>
          <w:sz w:val="24"/>
          <w:szCs w:val="24"/>
        </w:rPr>
        <w:t>Hassanizadeh</w:t>
      </w:r>
      <w:proofErr w:type="spellEnd"/>
      <w:r w:rsidRPr="00C70BF4">
        <w:rPr>
          <w:rFonts w:ascii="Times New Roman" w:eastAsia="Times New Roman" w:hAnsi="Times New Roman" w:cs="Times New Roman"/>
          <w:sz w:val="24"/>
          <w:szCs w:val="24"/>
        </w:rPr>
        <w:t>, 1998). However, in its present form, the reactive transport formalism of diagenetic theory only considers mass conservation explicitly (Berner, 1980; Boudreau, 1997).</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Reference velocities</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The diffusion approach to mass transfer significantly reduces the number of variables in the continuum model. Up to this point, the model includes n = </w:t>
      </w:r>
      <w:proofErr w:type="spellStart"/>
      <w:r w:rsidRPr="00C70BF4">
        <w:rPr>
          <w:rFonts w:ascii="Times New Roman" w:eastAsia="Times New Roman" w:hAnsi="Times New Roman" w:cs="Times New Roman"/>
          <w:sz w:val="24"/>
          <w:szCs w:val="24"/>
        </w:rPr>
        <w:t>n</w:t>
      </w:r>
      <w:r w:rsidRPr="00C70BF4">
        <w:rPr>
          <w:rFonts w:ascii="Times New Roman" w:eastAsia="Times New Roman" w:hAnsi="Times New Roman" w:cs="Times New Roman"/>
          <w:sz w:val="24"/>
          <w:szCs w:val="24"/>
          <w:vertAlign w:val="superscript"/>
        </w:rPr>
        <w:t>f</w:t>
      </w:r>
      <w:proofErr w:type="spellEnd"/>
      <w:r w:rsidRPr="00C70BF4">
        <w:rPr>
          <w:rFonts w:ascii="Times New Roman" w:eastAsia="Times New Roman" w:hAnsi="Times New Roman" w:cs="Times New Roman"/>
          <w:sz w:val="24"/>
          <w:szCs w:val="24"/>
        </w:rPr>
        <w:t xml:space="preserve"> + n</w:t>
      </w:r>
      <w:r w:rsidRPr="00C70BF4">
        <w:rPr>
          <w:rFonts w:ascii="Times New Roman" w:eastAsia="Times New Roman" w:hAnsi="Times New Roman" w:cs="Times New Roman"/>
          <w:sz w:val="24"/>
          <w:szCs w:val="24"/>
          <w:vertAlign w:val="superscript"/>
        </w:rPr>
        <w:t>s</w:t>
      </w:r>
      <w:r w:rsidRPr="00C70BF4">
        <w:rPr>
          <w:rFonts w:ascii="Times New Roman" w:eastAsia="Times New Roman" w:hAnsi="Times New Roman" w:cs="Times New Roman"/>
          <w:sz w:val="24"/>
          <w:szCs w:val="24"/>
        </w:rPr>
        <w:t xml:space="preserve"> component conservation equations Eqn. 18, n constitutive expressions for the diffusive flux Eqn. 21, two phase mass balances Eqn. 19, and the volume conservation statement Eqn. 4. Listing the unknown variables, we have the n </w:t>
      </w:r>
      <w:r w:rsidRPr="00C70BF4">
        <w:rPr>
          <w:rFonts w:ascii="Times New Roman" w:eastAsia="Times New Roman" w:hAnsi="Times New Roman" w:cs="Times New Roman"/>
          <w:sz w:val="24"/>
          <w:szCs w:val="24"/>
        </w:rPr>
        <w:lastRenderedPageBreak/>
        <w:t>concentrations C</w:t>
      </w:r>
      <w:r w:rsidRPr="00C70BF4">
        <w:rPr>
          <w:rFonts w:ascii="Times New Roman" w:eastAsia="Times New Roman" w:hAnsi="Times New Roman" w:cs="Times New Roman"/>
          <w:sz w:val="24"/>
          <w:szCs w:val="24"/>
          <w:vertAlign w:val="subscript"/>
        </w:rPr>
        <w:t>i</w:t>
      </w:r>
      <w:r w:rsidRPr="00C70BF4">
        <w:rPr>
          <w:rFonts w:ascii="Times New Roman" w:eastAsia="Times New Roman" w:hAnsi="Times New Roman" w:cs="Times New Roman"/>
          <w:sz w:val="24"/>
          <w:szCs w:val="24"/>
          <w:vertAlign w:val="superscript"/>
        </w:rPr>
        <w:t>α</w:t>
      </w:r>
      <w:r w:rsidRPr="00C70BF4">
        <w:rPr>
          <w:rFonts w:ascii="Times New Roman" w:eastAsia="Times New Roman" w:hAnsi="Times New Roman" w:cs="Times New Roman"/>
          <w:sz w:val="24"/>
          <w:szCs w:val="24"/>
        </w:rPr>
        <w:t xml:space="preserve">, the n diffusive fluxes </w:t>
      </w:r>
      <w:proofErr w:type="spellStart"/>
      <w:proofErr w:type="gramStart"/>
      <w:r w:rsidRPr="00C70BF4">
        <w:rPr>
          <w:rFonts w:ascii="Times New Roman" w:eastAsia="Times New Roman" w:hAnsi="Times New Roman" w:cs="Times New Roman"/>
          <w:sz w:val="24"/>
          <w:szCs w:val="24"/>
        </w:rPr>
        <w:t>J</w:t>
      </w:r>
      <w:r w:rsidRPr="00C70BF4">
        <w:rPr>
          <w:rFonts w:ascii="Times New Roman" w:eastAsia="Times New Roman" w:hAnsi="Times New Roman" w:cs="Times New Roman"/>
          <w:sz w:val="24"/>
          <w:szCs w:val="24"/>
          <w:vertAlign w:val="subscript"/>
        </w:rPr>
        <w:t>i,dif</w:t>
      </w:r>
      <w:proofErr w:type="spellEnd"/>
      <w:proofErr w:type="gramEnd"/>
      <w:r w:rsidRPr="00C70BF4">
        <w:rPr>
          <w:rFonts w:ascii="Times New Roman" w:eastAsia="Times New Roman" w:hAnsi="Times New Roman" w:cs="Times New Roman"/>
          <w:sz w:val="24"/>
          <w:szCs w:val="24"/>
          <w:vertAlign w:val="superscript"/>
        </w:rPr>
        <w:t>α</w:t>
      </w:r>
      <w:r w:rsidRPr="00C70BF4">
        <w:rPr>
          <w:rFonts w:ascii="Times New Roman" w:eastAsia="Times New Roman" w:hAnsi="Times New Roman" w:cs="Times New Roman"/>
          <w:sz w:val="24"/>
          <w:szCs w:val="24"/>
        </w:rPr>
        <w:t>, the two volume fractions φ</w:t>
      </w:r>
      <w:r w:rsidRPr="00C70BF4">
        <w:rPr>
          <w:rFonts w:ascii="Times New Roman" w:eastAsia="Times New Roman" w:hAnsi="Times New Roman" w:cs="Times New Roman"/>
          <w:sz w:val="24"/>
          <w:szCs w:val="24"/>
          <w:vertAlign w:val="superscript"/>
        </w:rPr>
        <w:t>α</w:t>
      </w:r>
      <w:r w:rsidRPr="00C70BF4">
        <w:rPr>
          <w:rFonts w:ascii="Times New Roman" w:eastAsia="Times New Roman" w:hAnsi="Times New Roman" w:cs="Times New Roman"/>
          <w:sz w:val="24"/>
          <w:szCs w:val="24"/>
        </w:rPr>
        <w:t xml:space="preserve">, and one reference velocity </w:t>
      </w:r>
      <w:proofErr w:type="spellStart"/>
      <w:r w:rsidRPr="00C70BF4">
        <w:rPr>
          <w:rFonts w:ascii="Times New Roman" w:eastAsia="Times New Roman" w:hAnsi="Times New Roman" w:cs="Times New Roman"/>
          <w:sz w:val="24"/>
          <w:szCs w:val="24"/>
        </w:rPr>
        <w:t>v</w:t>
      </w:r>
      <w:r w:rsidRPr="00C70BF4">
        <w:rPr>
          <w:rFonts w:ascii="Times New Roman" w:eastAsia="Times New Roman" w:hAnsi="Times New Roman" w:cs="Times New Roman"/>
          <w:sz w:val="24"/>
          <w:szCs w:val="24"/>
          <w:vertAlign w:val="subscript"/>
        </w:rPr>
        <w:t>ref</w:t>
      </w:r>
      <w:proofErr w:type="spellEnd"/>
      <w:r w:rsidRPr="00C70BF4">
        <w:rPr>
          <w:rFonts w:ascii="Times New Roman" w:eastAsia="Times New Roman" w:hAnsi="Times New Roman" w:cs="Times New Roman"/>
          <w:sz w:val="24"/>
          <w:szCs w:val="24"/>
          <w:vertAlign w:val="superscript"/>
        </w:rPr>
        <w:t>α</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General non-steady-state model for volume fractions and tracer concentrations</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The above model comparison illustrates the need for the identification of a logically consistent reference velocity to characterize the mixing of sediments. From Eqns. (28), (29), (30), (31), (32), (33) it is also clear that the mass-averaged velocity plays a pivotal role. This should be not so surprising, as the mass-averaged reference frame claims a special status in continuum mechanics. This is because the mass-averaged velocity also features in the other conservation equations of momentum,</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 xml:space="preserve">Application to specific </w:t>
      </w:r>
      <w:proofErr w:type="spellStart"/>
      <w:r w:rsidRPr="00C70BF4">
        <w:rPr>
          <w:rFonts w:ascii="Times New Roman" w:eastAsia="Times New Roman" w:hAnsi="Times New Roman" w:cs="Times New Roman"/>
          <w:b/>
          <w:bCs/>
          <w:sz w:val="36"/>
          <w:szCs w:val="36"/>
        </w:rPr>
        <w:t>biodiffusion</w:t>
      </w:r>
      <w:proofErr w:type="spellEnd"/>
      <w:r w:rsidRPr="00C70BF4">
        <w:rPr>
          <w:rFonts w:ascii="Times New Roman" w:eastAsia="Times New Roman" w:hAnsi="Times New Roman" w:cs="Times New Roman"/>
          <w:b/>
          <w:bCs/>
          <w:sz w:val="36"/>
          <w:szCs w:val="36"/>
        </w:rPr>
        <w:t xml:space="preserve"> models</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Our investigation of continuum theory reveals two germane points. (1) We have identified the compaction velocity </w:t>
      </w:r>
      <w:proofErr w:type="spellStart"/>
      <w:r w:rsidRPr="00C70BF4">
        <w:rPr>
          <w:rFonts w:ascii="Times New Roman" w:eastAsia="Times New Roman" w:hAnsi="Times New Roman" w:cs="Times New Roman"/>
          <w:sz w:val="24"/>
          <w:szCs w:val="24"/>
        </w:rPr>
        <w:t>u</w:t>
      </w:r>
      <w:r w:rsidRPr="00C70BF4">
        <w:rPr>
          <w:rFonts w:ascii="Times New Roman" w:eastAsia="Times New Roman" w:hAnsi="Times New Roman" w:cs="Times New Roman"/>
          <w:sz w:val="24"/>
          <w:szCs w:val="24"/>
          <w:vertAlign w:val="subscript"/>
        </w:rPr>
        <w:t>comp</w:t>
      </w:r>
      <w:r w:rsidRPr="00C70BF4">
        <w:rPr>
          <w:rFonts w:ascii="Times New Roman" w:eastAsia="Times New Roman" w:hAnsi="Times New Roman" w:cs="Times New Roman"/>
          <w:sz w:val="24"/>
          <w:szCs w:val="24"/>
          <w:vertAlign w:val="superscript"/>
        </w:rPr>
        <w:t>s</w:t>
      </w:r>
      <w:proofErr w:type="spellEnd"/>
      <w:r w:rsidRPr="00C70BF4">
        <w:rPr>
          <w:rFonts w:ascii="Times New Roman" w:eastAsia="Times New Roman" w:hAnsi="Times New Roman" w:cs="Times New Roman"/>
          <w:sz w:val="24"/>
          <w:szCs w:val="24"/>
        </w:rPr>
        <w:t xml:space="preserve"> as the reference velocity to scale </w:t>
      </w:r>
      <w:proofErr w:type="spellStart"/>
      <w:r w:rsidRPr="00C70BF4">
        <w:rPr>
          <w:rFonts w:ascii="Times New Roman" w:eastAsia="Times New Roman" w:hAnsi="Times New Roman" w:cs="Times New Roman"/>
          <w:sz w:val="24"/>
          <w:szCs w:val="24"/>
        </w:rPr>
        <w:t>biodiffusive</w:t>
      </w:r>
      <w:proofErr w:type="spellEnd"/>
      <w:r w:rsidRPr="00C70BF4">
        <w:rPr>
          <w:rFonts w:ascii="Times New Roman" w:eastAsia="Times New Roman" w:hAnsi="Times New Roman" w:cs="Times New Roman"/>
          <w:sz w:val="24"/>
          <w:szCs w:val="24"/>
        </w:rPr>
        <w:t xml:space="preserve"> fluxes, and consequently, we have obtained a suitable equation to calculate this velocity, i.e., Eqn. 46. (2) We obtained a consistent set of equations that describe the mixing of solid tracers in compacting sediments, i.e., Eqn. 49 governs the evolution of the tracer concentration C</w:t>
      </w:r>
      <w:r w:rsidRPr="00C70BF4">
        <w:rPr>
          <w:rFonts w:ascii="Times New Roman" w:eastAsia="Times New Roman" w:hAnsi="Times New Roman" w:cs="Times New Roman"/>
          <w:sz w:val="24"/>
          <w:szCs w:val="24"/>
          <w:vertAlign w:val="subscript"/>
        </w:rPr>
        <w:t>i</w:t>
      </w:r>
      <w:r w:rsidRPr="00C70BF4">
        <w:rPr>
          <w:rFonts w:ascii="Times New Roman" w:eastAsia="Times New Roman" w:hAnsi="Times New Roman" w:cs="Times New Roman"/>
          <w:sz w:val="24"/>
          <w:szCs w:val="24"/>
          <w:vertAlign w:val="superscript"/>
        </w:rPr>
        <w:t>s</w:t>
      </w:r>
      <w:r w:rsidRPr="00C70BF4">
        <w:rPr>
          <w:rFonts w:ascii="Times New Roman" w:eastAsia="Times New Roman" w:hAnsi="Times New Roman" w:cs="Times New Roman"/>
          <w:sz w:val="24"/>
          <w:szCs w:val="24"/>
        </w:rPr>
        <w:t xml:space="preserve"> itself, while Eqn. 48 determines the</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Model simplifications and special cases</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The previous sections have elucidated the proper equation set when modeling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in a non-steady-state porosity regime. However, when modelling radiotracer profiles, the assumption of steady state with respect to porosity and/or tracers is commonly employed, either implicitly or explicitly. Hence, the consequences of this assumption deserve closer inspection.</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Conclusions</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1. As argued by Boudreau (1986), one needs to differentiate between the </w:t>
      </w:r>
      <w:proofErr w:type="gramStart"/>
      <w:r w:rsidRPr="00C70BF4">
        <w:rPr>
          <w:rFonts w:ascii="Times New Roman" w:eastAsia="Times New Roman" w:hAnsi="Times New Roman" w:cs="Times New Roman"/>
          <w:sz w:val="24"/>
          <w:szCs w:val="24"/>
        </w:rPr>
        <w:t>two basic</w:t>
      </w:r>
      <w:proofErr w:type="gramEnd"/>
      <w:r w:rsidRPr="00C70BF4">
        <w:rPr>
          <w:rFonts w:ascii="Times New Roman" w:eastAsia="Times New Roman" w:hAnsi="Times New Roman" w:cs="Times New Roman"/>
          <w:sz w:val="24"/>
          <w:szCs w:val="24"/>
        </w:rPr>
        <w:t xml:space="preserve"> end-member mechanisms of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w:t>
      </w:r>
      <w:proofErr w:type="spellStart"/>
      <w:r w:rsidRPr="00C70BF4">
        <w:rPr>
          <w:rFonts w:ascii="Times New Roman" w:eastAsia="Times New Roman" w:hAnsi="Times New Roman" w:cs="Times New Roman"/>
          <w:sz w:val="24"/>
          <w:szCs w:val="24"/>
        </w:rPr>
        <w:t>Intraphase</w:t>
      </w:r>
      <w:proofErr w:type="spellEnd"/>
      <w:r w:rsidRPr="00C70BF4">
        <w:rPr>
          <w:rFonts w:ascii="Times New Roman" w:eastAsia="Times New Roman" w:hAnsi="Times New Roman" w:cs="Times New Roman"/>
          <w:sz w:val="24"/>
          <w:szCs w:val="24"/>
        </w:rPr>
        <w:t xml:space="preserve"> mixing only mixes particles within the solid phase and does not affect porosity profiles. Interphase mixing exchanges bulk sediment volumes, which counteracts porosity gradients. Both mixing mechanisms can exist at the same time and provide a separate contribution to the overall </w:t>
      </w:r>
      <w:proofErr w:type="spellStart"/>
      <w:r w:rsidRPr="00C70BF4">
        <w:rPr>
          <w:rFonts w:ascii="Times New Roman" w:eastAsia="Times New Roman" w:hAnsi="Times New Roman" w:cs="Times New Roman"/>
          <w:sz w:val="24"/>
          <w:szCs w:val="24"/>
        </w:rPr>
        <w:t>biodiffusion</w:t>
      </w:r>
      <w:proofErr w:type="spellEnd"/>
      <w:r w:rsidRPr="00C70BF4">
        <w:rPr>
          <w:rFonts w:ascii="Times New Roman" w:eastAsia="Times New Roman" w:hAnsi="Times New Roman" w:cs="Times New Roman"/>
          <w:sz w:val="24"/>
          <w:szCs w:val="24"/>
        </w:rPr>
        <w:t xml:space="preserve"> coefficient.</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2. The central issue in the debate between Christensen (1983)</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t>Summary</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Surface sediments are characterized by significant changes in porosity, and this affects the distribution of tracers that are associated with solid particles. Porosity profiles are shaped by two opposing phenomena: compaction, which creates porosity gradients, and </w:t>
      </w:r>
      <w:proofErr w:type="spellStart"/>
      <w:r w:rsidRPr="00C70BF4">
        <w:rPr>
          <w:rFonts w:ascii="Times New Roman" w:eastAsia="Times New Roman" w:hAnsi="Times New Roman" w:cs="Times New Roman"/>
          <w:sz w:val="24"/>
          <w:szCs w:val="24"/>
        </w:rPr>
        <w:t>bioturbational</w:t>
      </w:r>
      <w:proofErr w:type="spellEnd"/>
      <w:r w:rsidRPr="00C70BF4">
        <w:rPr>
          <w:rFonts w:ascii="Times New Roman" w:eastAsia="Times New Roman" w:hAnsi="Times New Roman" w:cs="Times New Roman"/>
          <w:sz w:val="24"/>
          <w:szCs w:val="24"/>
        </w:rPr>
        <w:t xml:space="preserve"> mixing, which </w:t>
      </w:r>
      <w:r w:rsidRPr="00C70BF4">
        <w:rPr>
          <w:rFonts w:ascii="Times New Roman" w:eastAsia="Times New Roman" w:hAnsi="Times New Roman" w:cs="Times New Roman"/>
          <w:i/>
          <w:iCs/>
          <w:sz w:val="24"/>
          <w:szCs w:val="24"/>
        </w:rPr>
        <w:t>may</w:t>
      </w:r>
      <w:r w:rsidRPr="00C70BF4">
        <w:rPr>
          <w:rFonts w:ascii="Times New Roman" w:eastAsia="Times New Roman" w:hAnsi="Times New Roman" w:cs="Times New Roman"/>
          <w:sz w:val="24"/>
          <w:szCs w:val="24"/>
        </w:rPr>
        <w:t xml:space="preserve"> annihilate porosity gradients. We have reexamined the effect of compaction and bioturbation on solid tracer profiles in the context of multiphase, multicomponent continuum theory. This investigation</w:t>
      </w:r>
    </w:p>
    <w:p w:rsidR="00C70BF4" w:rsidRPr="00C70BF4" w:rsidRDefault="00C70BF4" w:rsidP="00C70BF4">
      <w:pPr>
        <w:spacing w:before="100" w:beforeAutospacing="1" w:after="100" w:afterAutospacing="1" w:line="240" w:lineRule="auto"/>
        <w:outlineLvl w:val="1"/>
        <w:rPr>
          <w:rFonts w:ascii="Times New Roman" w:eastAsia="Times New Roman" w:hAnsi="Times New Roman" w:cs="Times New Roman"/>
          <w:b/>
          <w:bCs/>
          <w:sz w:val="36"/>
          <w:szCs w:val="36"/>
        </w:rPr>
      </w:pPr>
      <w:r w:rsidRPr="00C70BF4">
        <w:rPr>
          <w:rFonts w:ascii="Times New Roman" w:eastAsia="Times New Roman" w:hAnsi="Times New Roman" w:cs="Times New Roman"/>
          <w:b/>
          <w:bCs/>
          <w:sz w:val="36"/>
          <w:szCs w:val="36"/>
        </w:rPr>
        <w:lastRenderedPageBreak/>
        <w:t>Acknowledgments</w:t>
      </w:r>
    </w:p>
    <w:p w:rsidR="00C70BF4" w:rsidRPr="00C70BF4" w:rsidRDefault="00C70BF4" w:rsidP="00C70BF4">
      <w:pPr>
        <w:spacing w:before="100" w:beforeAutospacing="1" w:after="100" w:afterAutospacing="1" w:line="240" w:lineRule="auto"/>
        <w:rPr>
          <w:rFonts w:ascii="Times New Roman" w:eastAsia="Times New Roman" w:hAnsi="Times New Roman" w:cs="Times New Roman"/>
          <w:sz w:val="24"/>
          <w:szCs w:val="24"/>
        </w:rPr>
      </w:pPr>
      <w:r w:rsidRPr="00C70BF4">
        <w:rPr>
          <w:rFonts w:ascii="Times New Roman" w:eastAsia="Times New Roman" w:hAnsi="Times New Roman" w:cs="Times New Roman"/>
          <w:sz w:val="24"/>
          <w:szCs w:val="24"/>
        </w:rPr>
        <w:t xml:space="preserve">The authors acknowledge the financial support of the U.S. Office of Naval Research (grants N00014-02-1-0107 and N00014-99-1-0063) and the program manager, Dr. J. Eckman. This research received additional support through grants from the EU (NAME project, EVK#3-CT- 2001-00066) and a PIONIER grant to J.J.M. from the Netherlands Organization for Scientific Research (NWO, 833.02.2002). The accurate comments of David </w:t>
      </w:r>
      <w:proofErr w:type="spellStart"/>
      <w:r w:rsidRPr="00C70BF4">
        <w:rPr>
          <w:rFonts w:ascii="Times New Roman" w:eastAsia="Times New Roman" w:hAnsi="Times New Roman" w:cs="Times New Roman"/>
          <w:sz w:val="24"/>
          <w:szCs w:val="24"/>
        </w:rPr>
        <w:t>Burdige</w:t>
      </w:r>
      <w:proofErr w:type="spellEnd"/>
      <w:r w:rsidRPr="00C70BF4">
        <w:rPr>
          <w:rFonts w:ascii="Times New Roman" w:eastAsia="Times New Roman" w:hAnsi="Times New Roman" w:cs="Times New Roman"/>
          <w:sz w:val="24"/>
          <w:szCs w:val="24"/>
        </w:rPr>
        <w:t xml:space="preserve"> and three anonymous reviewers significantly improved this manuscript. This</w:t>
      </w:r>
    </w:p>
    <w:p w:rsidR="00B90BC6" w:rsidRDefault="00B90BC6"/>
    <w:sectPr w:rsidR="00B90BC6">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0BF4"/>
    <w:rsid w:val="00B90BC6"/>
    <w:rsid w:val="00C70B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C944F"/>
  <w15:chartTrackingRefBased/>
  <w15:docId w15:val="{95E4572F-FCA3-4BED-8D53-D3D7B1CCA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3587759">
      <w:bodyDiv w:val="1"/>
      <w:marLeft w:val="0"/>
      <w:marRight w:val="0"/>
      <w:marTop w:val="0"/>
      <w:marBottom w:val="0"/>
      <w:divBdr>
        <w:top w:val="none" w:sz="0" w:space="0" w:color="auto"/>
        <w:left w:val="none" w:sz="0" w:space="0" w:color="auto"/>
        <w:bottom w:val="none" w:sz="0" w:space="0" w:color="auto"/>
        <w:right w:val="none" w:sz="0" w:space="0" w:color="auto"/>
      </w:divBdr>
      <w:divsChild>
        <w:div w:id="1427920294">
          <w:marLeft w:val="0"/>
          <w:marRight w:val="0"/>
          <w:marTop w:val="0"/>
          <w:marBottom w:val="0"/>
          <w:divBdr>
            <w:top w:val="none" w:sz="0" w:space="0" w:color="auto"/>
            <w:left w:val="none" w:sz="0" w:space="0" w:color="auto"/>
            <w:bottom w:val="none" w:sz="0" w:space="0" w:color="auto"/>
            <w:right w:val="none" w:sz="0" w:space="0" w:color="auto"/>
          </w:divBdr>
          <w:divsChild>
            <w:div w:id="2107604543">
              <w:marLeft w:val="0"/>
              <w:marRight w:val="0"/>
              <w:marTop w:val="0"/>
              <w:marBottom w:val="0"/>
              <w:divBdr>
                <w:top w:val="none" w:sz="0" w:space="0" w:color="auto"/>
                <w:left w:val="none" w:sz="0" w:space="0" w:color="auto"/>
                <w:bottom w:val="none" w:sz="0" w:space="0" w:color="auto"/>
                <w:right w:val="none" w:sz="0" w:space="0" w:color="auto"/>
              </w:divBdr>
              <w:divsChild>
                <w:div w:id="1999921909">
                  <w:marLeft w:val="0"/>
                  <w:marRight w:val="0"/>
                  <w:marTop w:val="0"/>
                  <w:marBottom w:val="0"/>
                  <w:divBdr>
                    <w:top w:val="none" w:sz="0" w:space="0" w:color="auto"/>
                    <w:left w:val="none" w:sz="0" w:space="0" w:color="auto"/>
                    <w:bottom w:val="none" w:sz="0" w:space="0" w:color="auto"/>
                    <w:right w:val="none" w:sz="0" w:space="0" w:color="auto"/>
                  </w:divBdr>
                  <w:divsChild>
                    <w:div w:id="30844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988719">
          <w:marLeft w:val="0"/>
          <w:marRight w:val="0"/>
          <w:marTop w:val="0"/>
          <w:marBottom w:val="0"/>
          <w:divBdr>
            <w:top w:val="none" w:sz="0" w:space="0" w:color="auto"/>
            <w:left w:val="none" w:sz="0" w:space="0" w:color="auto"/>
            <w:bottom w:val="none" w:sz="0" w:space="0" w:color="auto"/>
            <w:right w:val="none" w:sz="0" w:space="0" w:color="auto"/>
          </w:divBdr>
          <w:divsChild>
            <w:div w:id="1528760896">
              <w:marLeft w:val="0"/>
              <w:marRight w:val="0"/>
              <w:marTop w:val="0"/>
              <w:marBottom w:val="0"/>
              <w:divBdr>
                <w:top w:val="none" w:sz="0" w:space="0" w:color="auto"/>
                <w:left w:val="none" w:sz="0" w:space="0" w:color="auto"/>
                <w:bottom w:val="none" w:sz="0" w:space="0" w:color="auto"/>
                <w:right w:val="none" w:sz="0" w:space="0" w:color="auto"/>
              </w:divBdr>
              <w:divsChild>
                <w:div w:id="1597251955">
                  <w:marLeft w:val="0"/>
                  <w:marRight w:val="0"/>
                  <w:marTop w:val="0"/>
                  <w:marBottom w:val="0"/>
                  <w:divBdr>
                    <w:top w:val="none" w:sz="0" w:space="0" w:color="auto"/>
                    <w:left w:val="none" w:sz="0" w:space="0" w:color="auto"/>
                    <w:bottom w:val="none" w:sz="0" w:space="0" w:color="auto"/>
                    <w:right w:val="none" w:sz="0" w:space="0" w:color="auto"/>
                  </w:divBdr>
                  <w:divsChild>
                    <w:div w:id="144076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323394">
          <w:marLeft w:val="0"/>
          <w:marRight w:val="0"/>
          <w:marTop w:val="0"/>
          <w:marBottom w:val="0"/>
          <w:divBdr>
            <w:top w:val="none" w:sz="0" w:space="0" w:color="auto"/>
            <w:left w:val="none" w:sz="0" w:space="0" w:color="auto"/>
            <w:bottom w:val="none" w:sz="0" w:space="0" w:color="auto"/>
            <w:right w:val="none" w:sz="0" w:space="0" w:color="auto"/>
          </w:divBdr>
          <w:divsChild>
            <w:div w:id="1977368411">
              <w:marLeft w:val="0"/>
              <w:marRight w:val="0"/>
              <w:marTop w:val="0"/>
              <w:marBottom w:val="0"/>
              <w:divBdr>
                <w:top w:val="none" w:sz="0" w:space="0" w:color="auto"/>
                <w:left w:val="none" w:sz="0" w:space="0" w:color="auto"/>
                <w:bottom w:val="none" w:sz="0" w:space="0" w:color="auto"/>
                <w:right w:val="none" w:sz="0" w:space="0" w:color="auto"/>
              </w:divBdr>
              <w:divsChild>
                <w:div w:id="1124695829">
                  <w:marLeft w:val="0"/>
                  <w:marRight w:val="0"/>
                  <w:marTop w:val="0"/>
                  <w:marBottom w:val="0"/>
                  <w:divBdr>
                    <w:top w:val="none" w:sz="0" w:space="0" w:color="auto"/>
                    <w:left w:val="none" w:sz="0" w:space="0" w:color="auto"/>
                    <w:bottom w:val="none" w:sz="0" w:space="0" w:color="auto"/>
                    <w:right w:val="none" w:sz="0" w:space="0" w:color="auto"/>
                  </w:divBdr>
                  <w:divsChild>
                    <w:div w:id="112473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531740">
          <w:marLeft w:val="0"/>
          <w:marRight w:val="0"/>
          <w:marTop w:val="0"/>
          <w:marBottom w:val="0"/>
          <w:divBdr>
            <w:top w:val="none" w:sz="0" w:space="0" w:color="auto"/>
            <w:left w:val="none" w:sz="0" w:space="0" w:color="auto"/>
            <w:bottom w:val="none" w:sz="0" w:space="0" w:color="auto"/>
            <w:right w:val="none" w:sz="0" w:space="0" w:color="auto"/>
          </w:divBdr>
          <w:divsChild>
            <w:div w:id="1600718663">
              <w:marLeft w:val="0"/>
              <w:marRight w:val="0"/>
              <w:marTop w:val="0"/>
              <w:marBottom w:val="0"/>
              <w:divBdr>
                <w:top w:val="none" w:sz="0" w:space="0" w:color="auto"/>
                <w:left w:val="none" w:sz="0" w:space="0" w:color="auto"/>
                <w:bottom w:val="none" w:sz="0" w:space="0" w:color="auto"/>
                <w:right w:val="none" w:sz="0" w:space="0" w:color="auto"/>
              </w:divBdr>
            </w:div>
          </w:divsChild>
        </w:div>
        <w:div w:id="67120211">
          <w:marLeft w:val="0"/>
          <w:marRight w:val="0"/>
          <w:marTop w:val="0"/>
          <w:marBottom w:val="0"/>
          <w:divBdr>
            <w:top w:val="none" w:sz="0" w:space="0" w:color="auto"/>
            <w:left w:val="none" w:sz="0" w:space="0" w:color="auto"/>
            <w:bottom w:val="none" w:sz="0" w:space="0" w:color="auto"/>
            <w:right w:val="none" w:sz="0" w:space="0" w:color="auto"/>
          </w:divBdr>
          <w:divsChild>
            <w:div w:id="1295216071">
              <w:marLeft w:val="0"/>
              <w:marRight w:val="0"/>
              <w:marTop w:val="0"/>
              <w:marBottom w:val="0"/>
              <w:divBdr>
                <w:top w:val="none" w:sz="0" w:space="0" w:color="auto"/>
                <w:left w:val="none" w:sz="0" w:space="0" w:color="auto"/>
                <w:bottom w:val="none" w:sz="0" w:space="0" w:color="auto"/>
                <w:right w:val="none" w:sz="0" w:space="0" w:color="auto"/>
              </w:divBdr>
            </w:div>
          </w:divsChild>
        </w:div>
        <w:div w:id="476262755">
          <w:marLeft w:val="0"/>
          <w:marRight w:val="0"/>
          <w:marTop w:val="0"/>
          <w:marBottom w:val="0"/>
          <w:divBdr>
            <w:top w:val="none" w:sz="0" w:space="0" w:color="auto"/>
            <w:left w:val="none" w:sz="0" w:space="0" w:color="auto"/>
            <w:bottom w:val="none" w:sz="0" w:space="0" w:color="auto"/>
            <w:right w:val="none" w:sz="0" w:space="0" w:color="auto"/>
          </w:divBdr>
          <w:divsChild>
            <w:div w:id="187788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concentration-composition" TargetMode="External"/><Relationship Id="rId5" Type="http://schemas.openxmlformats.org/officeDocument/2006/relationships/hyperlink" Target="https://www.sciencedirect.com/topics/earth-and-planetary-sciences/bioturbation" TargetMode="External"/><Relationship Id="rId4" Type="http://schemas.openxmlformats.org/officeDocument/2006/relationships/hyperlink" Target="https://doi.org/10.1016/j.gca.2005.01.0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2140</Words>
  <Characters>12203</Characters>
  <Application>Microsoft Office Word</Application>
  <DocSecurity>0</DocSecurity>
  <Lines>101</Lines>
  <Paragraphs>28</Paragraphs>
  <ScaleCrop>false</ScaleCrop>
  <Company/>
  <LinksUpToDate>false</LinksUpToDate>
  <CharactersWithSpaces>14315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2023-11-18T07:47:00Z</dcterms:created>
  <dcterms:modified xsi:type="dcterms:W3CDTF">2023-11-18T07:48:00Z</dcterms:modified>
</cp:coreProperties>
</file>