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231D3" w:rsidRPr="004231D3" w:rsidRDefault="004231D3" w:rsidP="004231D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231D3">
        <w:rPr>
          <w:rFonts w:ascii="Times New Roman" w:eastAsia="Times New Roman" w:hAnsi="Times New Roman" w:cs="Times New Roman"/>
          <w:b/>
          <w:bCs/>
          <w:kern w:val="36"/>
          <w:sz w:val="48"/>
          <w:szCs w:val="48"/>
        </w:rPr>
        <w:t>CTR diffraction and grazing-incidence EXAFS study of U(VI) adsorption onto α-Al</w:t>
      </w:r>
      <w:r w:rsidRPr="004231D3">
        <w:rPr>
          <w:rFonts w:ascii="Times New Roman" w:eastAsia="Times New Roman" w:hAnsi="Times New Roman" w:cs="Times New Roman"/>
          <w:b/>
          <w:bCs/>
          <w:kern w:val="36"/>
          <w:sz w:val="48"/>
          <w:szCs w:val="48"/>
          <w:vertAlign w:val="subscript"/>
        </w:rPr>
        <w:t>2</w:t>
      </w:r>
      <w:r w:rsidRPr="004231D3">
        <w:rPr>
          <w:rFonts w:ascii="Times New Roman" w:eastAsia="Times New Roman" w:hAnsi="Times New Roman" w:cs="Times New Roman"/>
          <w:b/>
          <w:bCs/>
          <w:kern w:val="36"/>
          <w:sz w:val="48"/>
          <w:szCs w:val="48"/>
        </w:rPr>
        <w:t>O</w:t>
      </w:r>
      <w:r w:rsidRPr="004231D3">
        <w:rPr>
          <w:rFonts w:ascii="Times New Roman" w:eastAsia="Times New Roman" w:hAnsi="Times New Roman" w:cs="Times New Roman"/>
          <w:b/>
          <w:bCs/>
          <w:kern w:val="36"/>
          <w:sz w:val="48"/>
          <w:szCs w:val="48"/>
          <w:vertAlign w:val="subscript"/>
        </w:rPr>
        <w:t>3</w:t>
      </w:r>
      <w:r w:rsidRPr="004231D3">
        <w:rPr>
          <w:rFonts w:ascii="Times New Roman" w:eastAsia="Times New Roman" w:hAnsi="Times New Roman" w:cs="Times New Roman"/>
          <w:b/>
          <w:bCs/>
          <w:kern w:val="36"/>
          <w:sz w:val="48"/>
          <w:szCs w:val="48"/>
        </w:rPr>
        <w:t xml:space="preserve"> and α-Fe</w:t>
      </w:r>
      <w:r w:rsidRPr="004231D3">
        <w:rPr>
          <w:rFonts w:ascii="Times New Roman" w:eastAsia="Times New Roman" w:hAnsi="Times New Roman" w:cs="Times New Roman"/>
          <w:b/>
          <w:bCs/>
          <w:kern w:val="36"/>
          <w:sz w:val="48"/>
          <w:szCs w:val="48"/>
          <w:vertAlign w:val="subscript"/>
        </w:rPr>
        <w:t>2</w:t>
      </w:r>
      <w:r w:rsidRPr="004231D3">
        <w:rPr>
          <w:rFonts w:ascii="Times New Roman" w:eastAsia="Times New Roman" w:hAnsi="Times New Roman" w:cs="Times New Roman"/>
          <w:b/>
          <w:bCs/>
          <w:kern w:val="36"/>
          <w:sz w:val="48"/>
          <w:szCs w:val="48"/>
        </w:rPr>
        <w:t>O</w:t>
      </w:r>
      <w:r w:rsidRPr="004231D3">
        <w:rPr>
          <w:rFonts w:ascii="Times New Roman" w:eastAsia="Times New Roman" w:hAnsi="Times New Roman" w:cs="Times New Roman"/>
          <w:b/>
          <w:bCs/>
          <w:kern w:val="36"/>
          <w:sz w:val="48"/>
          <w:szCs w:val="48"/>
          <w:vertAlign w:val="subscript"/>
        </w:rPr>
        <w:t>3</w:t>
      </w:r>
      <w:r w:rsidRPr="004231D3">
        <w:rPr>
          <w:rFonts w:ascii="Times New Roman" w:eastAsia="Times New Roman" w:hAnsi="Times New Roman" w:cs="Times New Roman"/>
          <w:b/>
          <w:bCs/>
          <w:kern w:val="36"/>
          <w:sz w:val="48"/>
          <w:szCs w:val="48"/>
        </w:rPr>
        <w:t xml:space="preserve"> (11̄02) surfaces</w:t>
      </w:r>
    </w:p>
    <w:p w:rsidR="004231D3" w:rsidRPr="004231D3" w:rsidRDefault="004231D3" w:rsidP="004231D3">
      <w:pPr>
        <w:spacing w:after="0"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Author links open overlay panel</w:t>
      </w:r>
    </w:p>
    <w:p w:rsidR="004231D3" w:rsidRPr="004231D3" w:rsidRDefault="004231D3" w:rsidP="004231D3">
      <w:pPr>
        <w:spacing w:after="0"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 xml:space="preserve">, , , , </w:t>
      </w:r>
    </w:p>
    <w:p w:rsidR="004231D3" w:rsidRPr="004231D3" w:rsidRDefault="004231D3" w:rsidP="004231D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231D3">
          <w:rPr>
            <w:rFonts w:ascii="Times New Roman" w:eastAsia="Times New Roman" w:hAnsi="Times New Roman" w:cs="Times New Roman"/>
            <w:color w:val="0000FF"/>
            <w:sz w:val="24"/>
            <w:szCs w:val="24"/>
            <w:u w:val="single"/>
          </w:rPr>
          <w:t>https://doi.org/10.1016/j.gca.2005.03.044</w:t>
        </w:r>
      </w:hyperlink>
      <w:bookmarkStart w:id="0" w:name="_GoBack"/>
      <w:bookmarkEnd w:id="0"/>
      <w:r w:rsidRPr="004231D3">
        <w:rPr>
          <w:rFonts w:ascii="Times New Roman" w:eastAsia="Times New Roman" w:hAnsi="Times New Roman" w:cs="Times New Roman"/>
          <w:sz w:val="24"/>
          <w:szCs w:val="24"/>
        </w:rPr>
        <w:t xml:space="preserve"> </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Abstract</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Evaluation of the long-term health risks of uranium contamination in soils, sediments, and groundwater requires a fundamental understanding of the various processes affecting subsurface transport of uranium, including adsorption processes at mineral/water interfaces. In this study, the sites of binding and surface complexation of U(VI) adsorbed on the (11̄02) surfaces of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have been determined using crystal truncation rod (CTR) diffraction and </w:t>
      </w:r>
      <w:hyperlink r:id="rId5" w:tooltip="Learn more about grazing incidence from ScienceDirect's AI-generated Topic Pages" w:history="1">
        <w:r w:rsidRPr="004231D3">
          <w:rPr>
            <w:rFonts w:ascii="Times New Roman" w:eastAsia="Times New Roman" w:hAnsi="Times New Roman" w:cs="Times New Roman"/>
            <w:color w:val="0000FF"/>
            <w:sz w:val="24"/>
            <w:szCs w:val="24"/>
            <w:u w:val="single"/>
          </w:rPr>
          <w:t>grazing incidence</w:t>
        </w:r>
      </w:hyperlink>
      <w:r w:rsidRPr="004231D3">
        <w:rPr>
          <w:rFonts w:ascii="Times New Roman" w:eastAsia="Times New Roman" w:hAnsi="Times New Roman" w:cs="Times New Roman"/>
          <w:sz w:val="24"/>
          <w:szCs w:val="24"/>
        </w:rPr>
        <w:t xml:space="preserve"> extended X-ray absorption fine structure (GI-EXAFS) </w:t>
      </w:r>
      <w:hyperlink r:id="rId6" w:tooltip="Learn more about spectroscopy from ScienceDirect's AI-generated Topic Pages" w:history="1">
        <w:r w:rsidRPr="004231D3">
          <w:rPr>
            <w:rFonts w:ascii="Times New Roman" w:eastAsia="Times New Roman" w:hAnsi="Times New Roman" w:cs="Times New Roman"/>
            <w:color w:val="0000FF"/>
            <w:sz w:val="24"/>
            <w:szCs w:val="24"/>
            <w:u w:val="single"/>
          </w:rPr>
          <w:t>spectroscopy</w:t>
        </w:r>
      </w:hyperlink>
      <w:r w:rsidRPr="004231D3">
        <w:rPr>
          <w:rFonts w:ascii="Times New Roman" w:eastAsia="Times New Roman" w:hAnsi="Times New Roman" w:cs="Times New Roman"/>
          <w:sz w:val="24"/>
          <w:szCs w:val="24"/>
        </w:rPr>
        <w:t>. The available binding sites on the (11̄02) surfaces were constrained through bond valence and steric analyses. On both surfaces, U(VI) forms uranyl-</w:t>
      </w:r>
      <w:proofErr w:type="spellStart"/>
      <w:r w:rsidRPr="004231D3">
        <w:rPr>
          <w:rFonts w:ascii="Times New Roman" w:eastAsia="Times New Roman" w:hAnsi="Times New Roman" w:cs="Times New Roman"/>
          <w:sz w:val="24"/>
          <w:szCs w:val="24"/>
        </w:rPr>
        <w:t>carbonato</w:t>
      </w:r>
      <w:proofErr w:type="spellEnd"/>
      <w:r w:rsidRPr="004231D3">
        <w:rPr>
          <w:rFonts w:ascii="Times New Roman" w:eastAsia="Times New Roman" w:hAnsi="Times New Roman" w:cs="Times New Roman"/>
          <w:sz w:val="24"/>
          <w:szCs w:val="24"/>
        </w:rPr>
        <w:t xml:space="preserve"> ternary complexes to surface oxygens that are singly coordinated to aluminum or iron. On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a monodentate complex results, whereas on the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the binding is bidentate to adjacent singly coordinated oxygen sites (i.e., binuclear). Differences in protonation of the singly coordinated oxygen atoms, surface charging, U(VI) aqueous speciation, substrate structure, or the electronic structure of surface functional groups may be the cause of these differences in adsorption geometry. Both XPS and CTR diffraction reveal higher U(VI) surface coverages on the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than on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This difference cannot be the result of differences in defect concentration alone as CTR diffraction is not sensitive to U(VI) </w:t>
      </w:r>
      <w:proofErr w:type="spellStart"/>
      <w:r w:rsidRPr="004231D3">
        <w:rPr>
          <w:rFonts w:ascii="Times New Roman" w:eastAsia="Times New Roman" w:hAnsi="Times New Roman" w:cs="Times New Roman"/>
          <w:sz w:val="24"/>
          <w:szCs w:val="24"/>
        </w:rPr>
        <w:t>sorbed</w:t>
      </w:r>
      <w:proofErr w:type="spellEnd"/>
      <w:r w:rsidRPr="004231D3">
        <w:rPr>
          <w:rFonts w:ascii="Times New Roman" w:eastAsia="Times New Roman" w:hAnsi="Times New Roman" w:cs="Times New Roman"/>
          <w:sz w:val="24"/>
          <w:szCs w:val="24"/>
        </w:rPr>
        <w:t xml:space="preserve"> to defect sites, implying that the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has an intrinsically higher affinity for U(VI). The surface complexes observed in this study are different from the bidentate, mononuclear complexes typically derived for U(VI) on powdered aluminum- and iron-(</w:t>
      </w:r>
      <w:proofErr w:type="spellStart"/>
      <w:r w:rsidRPr="004231D3">
        <w:rPr>
          <w:rFonts w:ascii="Times New Roman" w:eastAsia="Times New Roman" w:hAnsi="Times New Roman" w:cs="Times New Roman"/>
          <w:sz w:val="24"/>
          <w:szCs w:val="24"/>
        </w:rPr>
        <w:t>oxyhydr</w:t>
      </w:r>
      <w:proofErr w:type="spellEnd"/>
      <w:r w:rsidRPr="004231D3">
        <w:rPr>
          <w:rFonts w:ascii="Times New Roman" w:eastAsia="Times New Roman" w:hAnsi="Times New Roman" w:cs="Times New Roman"/>
          <w:sz w:val="24"/>
          <w:szCs w:val="24"/>
        </w:rPr>
        <w:t>)oxides and clay minerals using U L</w:t>
      </w:r>
      <w:r w:rsidRPr="004231D3">
        <w:rPr>
          <w:rFonts w:ascii="Times New Roman" w:eastAsia="Times New Roman" w:hAnsi="Times New Roman" w:cs="Times New Roman"/>
          <w:sz w:val="24"/>
          <w:szCs w:val="24"/>
          <w:vertAlign w:val="subscript"/>
        </w:rPr>
        <w:t>III</w:t>
      </w:r>
      <w:r w:rsidRPr="004231D3">
        <w:rPr>
          <w:rFonts w:ascii="Times New Roman" w:eastAsia="Times New Roman" w:hAnsi="Times New Roman" w:cs="Times New Roman"/>
          <w:sz w:val="24"/>
          <w:szCs w:val="24"/>
        </w:rPr>
        <w:t>-edge EXAFS spectroscopy. However, the presence of monodentate, mononuclear and bidentate, binuclear complexes may have been overlooked in past EXAFS studies on such substrates, as these complexes have U-Al or U-Fe interatomic distances that are too large to be easily detected by EXAFS spectroscopy.</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Introduction</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Contamination of soils, sediments, and groundwater by uranium, commonly as U(VI), is widespread, occurring at industrial facilities, uranium mining and milling sites (Morrison and Cahn, 1991), and former nuclear weapons complexes such as Hanford, WA, and Savannah River, SC (Riley et al., 1992). The most significant pathway for human exposure to uranium is from groundwater transported away from such sites. Thus, evaluation of human health risks associated with uranium contamination requires an understanding of the factors affecting subsurface transport. Partitioning of uranium and other environmental contaminants from the aqueous phase to mineral surfaces through adsorption plays an important role in controlling their transport and bioavailability.</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lastRenderedPageBreak/>
        <w:t xml:space="preserve">A fundamental understanding of the mechanisms of adsorption and molecular geometries of adsorption complexes is essential for developing appropriate models to predict this partitioning. Because of a number of spectroscopic studies over the past decade in which variables have been carefully controlled, atomic-level understanding of adsorption of contaminant ions onto mineral surfaces is growing. For example, extended X-ray absorption fine structure (EXAFS) spectroscopy studies have revealed information on the structure, composition, and mode of attachment of selected cations and </w:t>
      </w:r>
      <w:proofErr w:type="spellStart"/>
      <w:r w:rsidRPr="004231D3">
        <w:rPr>
          <w:rFonts w:ascii="Times New Roman" w:eastAsia="Times New Roman" w:hAnsi="Times New Roman" w:cs="Times New Roman"/>
          <w:sz w:val="24"/>
          <w:szCs w:val="24"/>
        </w:rPr>
        <w:t>oxoanions</w:t>
      </w:r>
      <w:proofErr w:type="spellEnd"/>
      <w:r w:rsidRPr="004231D3">
        <w:rPr>
          <w:rFonts w:ascii="Times New Roman" w:eastAsia="Times New Roman" w:hAnsi="Times New Roman" w:cs="Times New Roman"/>
          <w:sz w:val="24"/>
          <w:szCs w:val="24"/>
        </w:rPr>
        <w:t xml:space="preserve"> at metal oxide-water interfaces, usually involving powdered substrates (see Brown and </w:t>
      </w:r>
      <w:proofErr w:type="spellStart"/>
      <w:r w:rsidRPr="004231D3">
        <w:rPr>
          <w:rFonts w:ascii="Times New Roman" w:eastAsia="Times New Roman" w:hAnsi="Times New Roman" w:cs="Times New Roman"/>
          <w:sz w:val="24"/>
          <w:szCs w:val="24"/>
        </w:rPr>
        <w:t>Sturchio</w:t>
      </w:r>
      <w:proofErr w:type="spellEnd"/>
      <w:r w:rsidRPr="004231D3">
        <w:rPr>
          <w:rFonts w:ascii="Times New Roman" w:eastAsia="Times New Roman" w:hAnsi="Times New Roman" w:cs="Times New Roman"/>
          <w:sz w:val="24"/>
          <w:szCs w:val="24"/>
        </w:rPr>
        <w:t xml:space="preserve">, 2002, for a comprehensive review). In a few cases, more surface sensitive grazing-incidence EXAFS (GI-EXAFS) spectroscopy studies have been carried out on adsorbate ions on oriented, single crystal surfaces (e.g., </w:t>
      </w:r>
      <w:proofErr w:type="spellStart"/>
      <w:r w:rsidRPr="004231D3">
        <w:rPr>
          <w:rFonts w:ascii="Times New Roman" w:eastAsia="Times New Roman" w:hAnsi="Times New Roman" w:cs="Times New Roman"/>
          <w:sz w:val="24"/>
          <w:szCs w:val="24"/>
        </w:rPr>
        <w:t>Bargar</w:t>
      </w:r>
      <w:proofErr w:type="spellEnd"/>
      <w:r w:rsidRPr="004231D3">
        <w:rPr>
          <w:rFonts w:ascii="Times New Roman" w:eastAsia="Times New Roman" w:hAnsi="Times New Roman" w:cs="Times New Roman"/>
          <w:sz w:val="24"/>
          <w:szCs w:val="24"/>
        </w:rPr>
        <w:t xml:space="preserve"> et al 1996, </w:t>
      </w:r>
      <w:proofErr w:type="spellStart"/>
      <w:r w:rsidRPr="004231D3">
        <w:rPr>
          <w:rFonts w:ascii="Times New Roman" w:eastAsia="Times New Roman" w:hAnsi="Times New Roman" w:cs="Times New Roman"/>
          <w:sz w:val="24"/>
          <w:szCs w:val="24"/>
        </w:rPr>
        <w:t>Bargar</w:t>
      </w:r>
      <w:proofErr w:type="spellEnd"/>
      <w:r w:rsidRPr="004231D3">
        <w:rPr>
          <w:rFonts w:ascii="Times New Roman" w:eastAsia="Times New Roman" w:hAnsi="Times New Roman" w:cs="Times New Roman"/>
          <w:sz w:val="24"/>
          <w:szCs w:val="24"/>
        </w:rPr>
        <w:t xml:space="preserve"> et al 1997, Towle et al 1999a, Towle et al 1999b, Fitts et al 1999, </w:t>
      </w:r>
      <w:proofErr w:type="spellStart"/>
      <w:r w:rsidRPr="004231D3">
        <w:rPr>
          <w:rFonts w:ascii="Times New Roman" w:eastAsia="Times New Roman" w:hAnsi="Times New Roman" w:cs="Times New Roman"/>
          <w:sz w:val="24"/>
          <w:szCs w:val="24"/>
        </w:rPr>
        <w:t>Grolimund</w:t>
      </w:r>
      <w:proofErr w:type="spellEnd"/>
      <w:r w:rsidRPr="004231D3">
        <w:rPr>
          <w:rFonts w:ascii="Times New Roman" w:eastAsia="Times New Roman" w:hAnsi="Times New Roman" w:cs="Times New Roman"/>
          <w:sz w:val="24"/>
          <w:szCs w:val="24"/>
        </w:rPr>
        <w:t xml:space="preserve"> et al 1999, Trainor et al 2002a, Den </w:t>
      </w:r>
      <w:proofErr w:type="spellStart"/>
      <w:r w:rsidRPr="004231D3">
        <w:rPr>
          <w:rFonts w:ascii="Times New Roman" w:eastAsia="Times New Roman" w:hAnsi="Times New Roman" w:cs="Times New Roman"/>
          <w:sz w:val="24"/>
          <w:szCs w:val="24"/>
        </w:rPr>
        <w:t>Auwer</w:t>
      </w:r>
      <w:proofErr w:type="spellEnd"/>
      <w:r w:rsidRPr="004231D3">
        <w:rPr>
          <w:rFonts w:ascii="Times New Roman" w:eastAsia="Times New Roman" w:hAnsi="Times New Roman" w:cs="Times New Roman"/>
          <w:sz w:val="24"/>
          <w:szCs w:val="24"/>
        </w:rPr>
        <w:t xml:space="preserve"> et al 2003, </w:t>
      </w:r>
      <w:proofErr w:type="spellStart"/>
      <w:r w:rsidRPr="004231D3">
        <w:rPr>
          <w:rFonts w:ascii="Times New Roman" w:eastAsia="Times New Roman" w:hAnsi="Times New Roman" w:cs="Times New Roman"/>
          <w:sz w:val="24"/>
          <w:szCs w:val="24"/>
        </w:rPr>
        <w:t>Denecke</w:t>
      </w:r>
      <w:proofErr w:type="spellEnd"/>
      <w:r w:rsidRPr="004231D3">
        <w:rPr>
          <w:rFonts w:ascii="Times New Roman" w:eastAsia="Times New Roman" w:hAnsi="Times New Roman" w:cs="Times New Roman"/>
          <w:sz w:val="24"/>
          <w:szCs w:val="24"/>
        </w:rPr>
        <w:t xml:space="preserve"> et al 2003, </w:t>
      </w:r>
      <w:proofErr w:type="spellStart"/>
      <w:r w:rsidRPr="004231D3">
        <w:rPr>
          <w:rFonts w:ascii="Times New Roman" w:eastAsia="Times New Roman" w:hAnsi="Times New Roman" w:cs="Times New Roman"/>
          <w:sz w:val="24"/>
          <w:szCs w:val="24"/>
        </w:rPr>
        <w:t>Bargar</w:t>
      </w:r>
      <w:proofErr w:type="spellEnd"/>
      <w:r w:rsidRPr="004231D3">
        <w:rPr>
          <w:rFonts w:ascii="Times New Roman" w:eastAsia="Times New Roman" w:hAnsi="Times New Roman" w:cs="Times New Roman"/>
          <w:sz w:val="24"/>
          <w:szCs w:val="24"/>
        </w:rPr>
        <w:t xml:space="preserve"> et al 2004). These studies have placed constraints on the average types of sites to which adsorbate ions specifically bind. In most cases, however, interpretation of the EXAFS data are complicated and is most often based on assumptions regarding the structure of mineral surfaces in aqueous solutions, most notably that the surface is a perfect termination of the bulk structure (i.e., no relaxation or reconstruction), and that the coordination spheres of surface cations are completed by water molecules or </w:t>
      </w:r>
      <w:proofErr w:type="spellStart"/>
      <w:r w:rsidRPr="004231D3">
        <w:rPr>
          <w:rFonts w:ascii="Times New Roman" w:eastAsia="Times New Roman" w:hAnsi="Times New Roman" w:cs="Times New Roman"/>
          <w:sz w:val="24"/>
          <w:szCs w:val="24"/>
        </w:rPr>
        <w:t>hydroxo</w:t>
      </w:r>
      <w:proofErr w:type="spellEnd"/>
      <w:r w:rsidRPr="004231D3">
        <w:rPr>
          <w:rFonts w:ascii="Times New Roman" w:eastAsia="Times New Roman" w:hAnsi="Times New Roman" w:cs="Times New Roman"/>
          <w:sz w:val="24"/>
          <w:szCs w:val="24"/>
        </w:rPr>
        <w:t xml:space="preserve"> ions. Studies using powdered substrates require even greater generalization, as multiple surfaces terminations and extensive surface defects produce a large number of different surface sites where aqueous ions may adsorb. In such systems, determination of the sites of adsorption is often impractical, and it is difficult to obtain a fundamental understanding of the mechanisms of adsorption.</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Even in studies of ion adsorption onto single-crystal surfaces, with only a small number of potential adsorption sites, it is difficult to determine binding mechanisms unless the surface structure is known. Such information is essential to understanding the reaction mechanisms of contaminant ions at these interfaces. Recent crystal truncation rod (CTR) diffraction studies have revealed for the first time the surface structure of hydrated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(0001) and (11̄02) surfaces (</w:t>
      </w:r>
      <w:proofErr w:type="spellStart"/>
      <w:r w:rsidRPr="004231D3">
        <w:rPr>
          <w:rFonts w:ascii="Times New Roman" w:eastAsia="Times New Roman" w:hAnsi="Times New Roman" w:cs="Times New Roman"/>
          <w:sz w:val="24"/>
          <w:szCs w:val="24"/>
        </w:rPr>
        <w:t>Eng</w:t>
      </w:r>
      <w:proofErr w:type="spellEnd"/>
      <w:r w:rsidRPr="004231D3">
        <w:rPr>
          <w:rFonts w:ascii="Times New Roman" w:eastAsia="Times New Roman" w:hAnsi="Times New Roman" w:cs="Times New Roman"/>
          <w:sz w:val="24"/>
          <w:szCs w:val="24"/>
        </w:rPr>
        <w:t xml:space="preserve"> et al 2000, Trainor et al 2002b, Trainor et al 2003, Trainor et al 2004), providing a starting point for understanding the sites of adsorption on and reactivity of these surfaces.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In this study CTR diffraction and GI-EXAFS spectroscopic measurements are used to investigate the site of adsorption and surface complexes of U(VI) on (11̄02)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surfaces. CTR measurements are combined with bond valence and steric constraints to determine the site of U(VI) adsorption. Complementary GI-EXAFS measurements provided additional speciation information, and are used to evaluate the types and binding modes of uranyl-</w:t>
      </w:r>
      <w:proofErr w:type="spellStart"/>
      <w:r w:rsidRPr="004231D3">
        <w:rPr>
          <w:rFonts w:ascii="Times New Roman" w:eastAsia="Times New Roman" w:hAnsi="Times New Roman" w:cs="Times New Roman"/>
          <w:sz w:val="24"/>
          <w:szCs w:val="24"/>
        </w:rPr>
        <w:t>carbonato</w:t>
      </w:r>
      <w:proofErr w:type="spellEnd"/>
      <w:r w:rsidRPr="004231D3">
        <w:rPr>
          <w:rFonts w:ascii="Times New Roman" w:eastAsia="Times New Roman" w:hAnsi="Times New Roman" w:cs="Times New Roman"/>
          <w:sz w:val="24"/>
          <w:szCs w:val="24"/>
        </w:rPr>
        <w:t xml:space="preserve"> ternary surface complexes.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The (11̄02) surfaces were chosen because they are common, energetically stable terminations of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(Choi et al 1997, </w:t>
      </w:r>
      <w:proofErr w:type="spellStart"/>
      <w:r w:rsidRPr="004231D3">
        <w:rPr>
          <w:rFonts w:ascii="Times New Roman" w:eastAsia="Times New Roman" w:hAnsi="Times New Roman" w:cs="Times New Roman"/>
          <w:sz w:val="24"/>
          <w:szCs w:val="24"/>
        </w:rPr>
        <w:t>Kitayama</w:t>
      </w:r>
      <w:proofErr w:type="spellEnd"/>
      <w:r w:rsidRPr="004231D3">
        <w:rPr>
          <w:rFonts w:ascii="Times New Roman" w:eastAsia="Times New Roman" w:hAnsi="Times New Roman" w:cs="Times New Roman"/>
          <w:sz w:val="24"/>
          <w:szCs w:val="24"/>
        </w:rPr>
        <w:t xml:space="preserve"> et al 2000, </w:t>
      </w:r>
      <w:proofErr w:type="spellStart"/>
      <w:r w:rsidRPr="004231D3">
        <w:rPr>
          <w:rFonts w:ascii="Times New Roman" w:eastAsia="Times New Roman" w:hAnsi="Times New Roman" w:cs="Times New Roman"/>
          <w:sz w:val="24"/>
          <w:szCs w:val="24"/>
        </w:rPr>
        <w:t>Kitayama</w:t>
      </w:r>
      <w:proofErr w:type="spellEnd"/>
      <w:r w:rsidRPr="004231D3">
        <w:rPr>
          <w:rFonts w:ascii="Times New Roman" w:eastAsia="Times New Roman" w:hAnsi="Times New Roman" w:cs="Times New Roman"/>
          <w:sz w:val="24"/>
          <w:szCs w:val="24"/>
        </w:rPr>
        <w:t xml:space="preserve"> and </w:t>
      </w:r>
      <w:proofErr w:type="spellStart"/>
      <w:r w:rsidRPr="004231D3">
        <w:rPr>
          <w:rFonts w:ascii="Times New Roman" w:eastAsia="Times New Roman" w:hAnsi="Times New Roman" w:cs="Times New Roman"/>
          <w:sz w:val="24"/>
          <w:szCs w:val="24"/>
        </w:rPr>
        <w:t>Glaeser</w:t>
      </w:r>
      <w:proofErr w:type="spellEnd"/>
      <w:r w:rsidRPr="004231D3">
        <w:rPr>
          <w:rFonts w:ascii="Times New Roman" w:eastAsia="Times New Roman" w:hAnsi="Times New Roman" w:cs="Times New Roman"/>
          <w:sz w:val="24"/>
          <w:szCs w:val="24"/>
        </w:rPr>
        <w:t xml:space="preserve"> 2002, Cornell and </w:t>
      </w:r>
      <w:proofErr w:type="spellStart"/>
      <w:r w:rsidRPr="004231D3">
        <w:rPr>
          <w:rFonts w:ascii="Times New Roman" w:eastAsia="Times New Roman" w:hAnsi="Times New Roman" w:cs="Times New Roman"/>
          <w:sz w:val="24"/>
          <w:szCs w:val="24"/>
        </w:rPr>
        <w:t>Schwertmann</w:t>
      </w:r>
      <w:proofErr w:type="spellEnd"/>
      <w:r w:rsidRPr="004231D3">
        <w:rPr>
          <w:rFonts w:ascii="Times New Roman" w:eastAsia="Times New Roman" w:hAnsi="Times New Roman" w:cs="Times New Roman"/>
          <w:sz w:val="24"/>
          <w:szCs w:val="24"/>
        </w:rPr>
        <w:t xml:space="preserve"> 2003, </w:t>
      </w:r>
      <w:proofErr w:type="spellStart"/>
      <w:r w:rsidRPr="004231D3">
        <w:rPr>
          <w:rFonts w:ascii="Times New Roman" w:eastAsia="Times New Roman" w:hAnsi="Times New Roman" w:cs="Times New Roman"/>
          <w:sz w:val="24"/>
          <w:szCs w:val="24"/>
        </w:rPr>
        <w:t>Marmier</w:t>
      </w:r>
      <w:proofErr w:type="spellEnd"/>
      <w:r w:rsidRPr="004231D3">
        <w:rPr>
          <w:rFonts w:ascii="Times New Roman" w:eastAsia="Times New Roman" w:hAnsi="Times New Roman" w:cs="Times New Roman"/>
          <w:sz w:val="24"/>
          <w:szCs w:val="24"/>
        </w:rPr>
        <w:t xml:space="preserve"> and Parker 2004), and their surface structures in aqueous solution at ambient temperatures are well characterized. In addition, they serve as good model system analogues for commonly occurring soil phases such as goethite, ferrihydrite, gibbsite, boehmite, and the octahedral sheets of clay minerals like kaolinite and smectite, where the exposed surface sites are postulated to have similar local structure and reactivity (Brown et al., 1999). Adsorption by hydroxylated aluminum and iron surface sites on these various phases is a dominant control on the fate, transport, and bioavailability of trace elements, heavy metals, and radionuclides in many environments, and plays a significant role in determining the trace element composition of the oceans (Brown and Parks, 2001). In addition, these specific surfaces provide the opportunity to examine the influence of surface structure and chemical composition on reactivity.</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lastRenderedPageBreak/>
        <w:t>Section snippets</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Sample Preparation</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A 50 mm diameter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substrate cut and highly polished parallel to (11̄02) was obtained from Saint-Gobain Crystals &amp; Detectors (Washougal, WA). A natural single crystal of specular hematite from Bahia, Brazil was cut parallel to (11̄02) and highly polished by Princeton Scientific (Princeton, NJ). Before reaction, all substrates were etched in 0.01 M HNO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for 1 h and then rinsed repeatedly with deionized water.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substrate was reacted with an air-equilibrated, pH 5, 1 mM UO</w:t>
      </w:r>
      <w:r w:rsidRPr="004231D3">
        <w:rPr>
          <w:rFonts w:ascii="Times New Roman" w:eastAsia="Times New Roman" w:hAnsi="Times New Roman" w:cs="Times New Roman"/>
          <w:sz w:val="24"/>
          <w:szCs w:val="24"/>
          <w:vertAlign w:val="subscript"/>
        </w:rPr>
        <w:t>2</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Structure of Hydrated α-Al</w:t>
      </w:r>
      <w:r w:rsidRPr="004231D3">
        <w:rPr>
          <w:rFonts w:ascii="Times New Roman" w:eastAsia="Times New Roman" w:hAnsi="Times New Roman" w:cs="Times New Roman"/>
          <w:b/>
          <w:bCs/>
          <w:sz w:val="36"/>
          <w:szCs w:val="36"/>
          <w:vertAlign w:val="subscript"/>
        </w:rPr>
        <w:t>2</w:t>
      </w:r>
      <w:r w:rsidRPr="004231D3">
        <w:rPr>
          <w:rFonts w:ascii="Times New Roman" w:eastAsia="Times New Roman" w:hAnsi="Times New Roman" w:cs="Times New Roman"/>
          <w:b/>
          <w:bCs/>
          <w:sz w:val="36"/>
          <w:szCs w:val="36"/>
        </w:rPr>
        <w:t>O</w:t>
      </w:r>
      <w:r w:rsidRPr="004231D3">
        <w:rPr>
          <w:rFonts w:ascii="Times New Roman" w:eastAsia="Times New Roman" w:hAnsi="Times New Roman" w:cs="Times New Roman"/>
          <w:b/>
          <w:bCs/>
          <w:sz w:val="36"/>
          <w:szCs w:val="36"/>
          <w:vertAlign w:val="subscript"/>
        </w:rPr>
        <w:t>3</w:t>
      </w:r>
      <w:r w:rsidRPr="004231D3">
        <w:rPr>
          <w:rFonts w:ascii="Times New Roman" w:eastAsia="Times New Roman" w:hAnsi="Times New Roman" w:cs="Times New Roman"/>
          <w:b/>
          <w:bCs/>
          <w:sz w:val="36"/>
          <w:szCs w:val="36"/>
        </w:rPr>
        <w:t xml:space="preserve"> and α-Fe</w:t>
      </w:r>
      <w:r w:rsidRPr="004231D3">
        <w:rPr>
          <w:rFonts w:ascii="Times New Roman" w:eastAsia="Times New Roman" w:hAnsi="Times New Roman" w:cs="Times New Roman"/>
          <w:b/>
          <w:bCs/>
          <w:sz w:val="36"/>
          <w:szCs w:val="36"/>
          <w:vertAlign w:val="subscript"/>
        </w:rPr>
        <w:t>2</w:t>
      </w:r>
      <w:r w:rsidRPr="004231D3">
        <w:rPr>
          <w:rFonts w:ascii="Times New Roman" w:eastAsia="Times New Roman" w:hAnsi="Times New Roman" w:cs="Times New Roman"/>
          <w:b/>
          <w:bCs/>
          <w:sz w:val="36"/>
          <w:szCs w:val="36"/>
        </w:rPr>
        <w:t>O</w:t>
      </w:r>
      <w:r w:rsidRPr="004231D3">
        <w:rPr>
          <w:rFonts w:ascii="Times New Roman" w:eastAsia="Times New Roman" w:hAnsi="Times New Roman" w:cs="Times New Roman"/>
          <w:b/>
          <w:bCs/>
          <w:sz w:val="36"/>
          <w:szCs w:val="36"/>
          <w:vertAlign w:val="subscript"/>
        </w:rPr>
        <w:t>3</w:t>
      </w:r>
      <w:r w:rsidRPr="004231D3">
        <w:rPr>
          <w:rFonts w:ascii="Times New Roman" w:eastAsia="Times New Roman" w:hAnsi="Times New Roman" w:cs="Times New Roman"/>
          <w:b/>
          <w:bCs/>
          <w:sz w:val="36"/>
          <w:szCs w:val="36"/>
        </w:rPr>
        <w:t xml:space="preserve"> (11̄02) Surfaces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The structure of the hydrated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has been determined previously using CTR diffraction (Trainor et al., 2002b). The observed termination differs from a hydroxylated bulk stoichiometric termination considered in past GI-EXAFS studies (Towle et al 1999b, </w:t>
      </w:r>
      <w:proofErr w:type="spellStart"/>
      <w:r w:rsidRPr="004231D3">
        <w:rPr>
          <w:rFonts w:ascii="Times New Roman" w:eastAsia="Times New Roman" w:hAnsi="Times New Roman" w:cs="Times New Roman"/>
          <w:sz w:val="24"/>
          <w:szCs w:val="24"/>
        </w:rPr>
        <w:t>Bargar</w:t>
      </w:r>
      <w:proofErr w:type="spellEnd"/>
      <w:r w:rsidRPr="004231D3">
        <w:rPr>
          <w:rFonts w:ascii="Times New Roman" w:eastAsia="Times New Roman" w:hAnsi="Times New Roman" w:cs="Times New Roman"/>
          <w:sz w:val="24"/>
          <w:szCs w:val="24"/>
        </w:rPr>
        <w:t xml:space="preserve"> et al 1997), instead terminating in the center of a stoichiometric 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unit with additional hydroxylation of the surface (Fig. 1) (see Trainor et al., 2002b, for a full description). The hydrated (11̄02) surface of</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XPS Data</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U(VI) surface coverages measured by XPS were 0.7 atoms/nm</w:t>
      </w:r>
      <w:r w:rsidRPr="004231D3">
        <w:rPr>
          <w:rFonts w:ascii="Times New Roman" w:eastAsia="Times New Roman" w:hAnsi="Times New Roman" w:cs="Times New Roman"/>
          <w:sz w:val="24"/>
          <w:szCs w:val="24"/>
          <w:vertAlign w:val="superscript"/>
        </w:rPr>
        <w:t>2</w:t>
      </w:r>
      <w:r w:rsidRPr="004231D3">
        <w:rPr>
          <w:rFonts w:ascii="Times New Roman" w:eastAsia="Times New Roman" w:hAnsi="Times New Roman" w:cs="Times New Roman"/>
          <w:sz w:val="24"/>
          <w:szCs w:val="24"/>
        </w:rPr>
        <w:t xml:space="preserve"> on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and 1.3 atoms/nm</w:t>
      </w:r>
      <w:r w:rsidRPr="004231D3">
        <w:rPr>
          <w:rFonts w:ascii="Times New Roman" w:eastAsia="Times New Roman" w:hAnsi="Times New Roman" w:cs="Times New Roman"/>
          <w:sz w:val="24"/>
          <w:szCs w:val="24"/>
          <w:vertAlign w:val="superscript"/>
        </w:rPr>
        <w:t>2</w:t>
      </w:r>
      <w:r w:rsidRPr="004231D3">
        <w:rPr>
          <w:rFonts w:ascii="Times New Roman" w:eastAsia="Times New Roman" w:hAnsi="Times New Roman" w:cs="Times New Roman"/>
          <w:sz w:val="24"/>
          <w:szCs w:val="24"/>
        </w:rPr>
        <w:t xml:space="preserve"> on the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 (Fig. 2). For comparison, the densities of aluminum/iron atoms in the topmost layer of the (11̄02) surfaces, assuming full Al/Fe site occupancies, are 8.2 and 7.3 atoms/nm</w:t>
      </w:r>
      <w:r w:rsidRPr="004231D3">
        <w:rPr>
          <w:rFonts w:ascii="Times New Roman" w:eastAsia="Times New Roman" w:hAnsi="Times New Roman" w:cs="Times New Roman"/>
          <w:sz w:val="24"/>
          <w:szCs w:val="24"/>
          <w:vertAlign w:val="superscript"/>
        </w:rPr>
        <w:t>2</w:t>
      </w:r>
      <w:r w:rsidRPr="004231D3">
        <w:rPr>
          <w:rFonts w:ascii="Times New Roman" w:eastAsia="Times New Roman" w:hAnsi="Times New Roman" w:cs="Times New Roman"/>
          <w:sz w:val="24"/>
          <w:szCs w:val="24"/>
        </w:rPr>
        <w:t xml:space="preserve"> for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surfaces, respectively. Each of the binding sites postulated above (R1, R2, R3) occurs in a 1:1 ratio to underlying aluminum/iron sites, and thus has</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Reactive Functional Groups on (11̄02) Surfaces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On both the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(11̄02) surfaces, U(VI) adsorption occurs only at the singly coordinated oxygen atoms of the surface. The triply coordinated oxygen atoms, while energetically favorable sites of adsorption, are sterically hindered from reacting with aqueous U(VI). The lack of U(VI) adsorption on the doubly coordinated oxygen atoms, while possibly a steric effect, is likely due to the stabilization of such oxygen atoms by protonation and hydrogen bonding (</w:t>
      </w:r>
      <w:proofErr w:type="spellStart"/>
      <w:r w:rsidRPr="004231D3">
        <w:rPr>
          <w:rFonts w:ascii="Times New Roman" w:eastAsia="Times New Roman" w:hAnsi="Times New Roman" w:cs="Times New Roman"/>
          <w:sz w:val="24"/>
          <w:szCs w:val="24"/>
        </w:rPr>
        <w:t>Hiemstra</w:t>
      </w:r>
      <w:proofErr w:type="spellEnd"/>
      <w:r w:rsidRPr="004231D3">
        <w:rPr>
          <w:rFonts w:ascii="Times New Roman" w:eastAsia="Times New Roman" w:hAnsi="Times New Roman" w:cs="Times New Roman"/>
          <w:sz w:val="24"/>
          <w:szCs w:val="24"/>
        </w:rPr>
        <w:t xml:space="preserve"> et al 1989, </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t>Conclusions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We have determined the binding sites and surface complexation of U(VI) adsorbed to the (11̄02) surfaces of α-Al</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xml:space="preserve"> and α-Fe</w:t>
      </w:r>
      <w:r w:rsidRPr="004231D3">
        <w:rPr>
          <w:rFonts w:ascii="Times New Roman" w:eastAsia="Times New Roman" w:hAnsi="Times New Roman" w:cs="Times New Roman"/>
          <w:sz w:val="24"/>
          <w:szCs w:val="24"/>
          <w:vertAlign w:val="subscript"/>
        </w:rPr>
        <w:t>2</w:t>
      </w:r>
      <w:r w:rsidRPr="004231D3">
        <w:rPr>
          <w:rFonts w:ascii="Times New Roman" w:eastAsia="Times New Roman" w:hAnsi="Times New Roman" w:cs="Times New Roman"/>
          <w:sz w:val="24"/>
          <w:szCs w:val="24"/>
        </w:rPr>
        <w:t>O</w:t>
      </w:r>
      <w:r w:rsidRPr="004231D3">
        <w:rPr>
          <w:rFonts w:ascii="Times New Roman" w:eastAsia="Times New Roman" w:hAnsi="Times New Roman" w:cs="Times New Roman"/>
          <w:sz w:val="24"/>
          <w:szCs w:val="24"/>
          <w:vertAlign w:val="subscript"/>
        </w:rPr>
        <w:t>3</w:t>
      </w:r>
      <w:r w:rsidRPr="004231D3">
        <w:rPr>
          <w:rFonts w:ascii="Times New Roman" w:eastAsia="Times New Roman" w:hAnsi="Times New Roman" w:cs="Times New Roman"/>
          <w:sz w:val="24"/>
          <w:szCs w:val="24"/>
        </w:rPr>
        <w:t>. Bond valence and steric considerations limit the number of potential binding sites to three: monodentate to singly coordinated oxygen, bidentate to adjacent singly coordinated oxygen atoms, and bi- or tridentate to doubly coordinated and adjacent singly coordinated oxygen atoms. CTR diffraction reveals that U(VI) binds only to the singly coordinated oxygen atoms on</w:t>
      </w:r>
    </w:p>
    <w:p w:rsidR="004231D3" w:rsidRPr="004231D3" w:rsidRDefault="004231D3" w:rsidP="004231D3">
      <w:pPr>
        <w:spacing w:before="100" w:beforeAutospacing="1" w:after="100" w:afterAutospacing="1" w:line="240" w:lineRule="auto"/>
        <w:outlineLvl w:val="1"/>
        <w:rPr>
          <w:rFonts w:ascii="Times New Roman" w:eastAsia="Times New Roman" w:hAnsi="Times New Roman" w:cs="Times New Roman"/>
          <w:b/>
          <w:bCs/>
          <w:sz w:val="36"/>
          <w:szCs w:val="36"/>
        </w:rPr>
      </w:pPr>
      <w:r w:rsidRPr="004231D3">
        <w:rPr>
          <w:rFonts w:ascii="Times New Roman" w:eastAsia="Times New Roman" w:hAnsi="Times New Roman" w:cs="Times New Roman"/>
          <w:b/>
          <w:bCs/>
          <w:sz w:val="36"/>
          <w:szCs w:val="36"/>
        </w:rPr>
        <w:lastRenderedPageBreak/>
        <w:t>Acknowledgments</w:t>
      </w:r>
    </w:p>
    <w:p w:rsidR="004231D3" w:rsidRPr="004231D3" w:rsidRDefault="004231D3" w:rsidP="004231D3">
      <w:pPr>
        <w:spacing w:before="100" w:beforeAutospacing="1" w:after="100" w:afterAutospacing="1" w:line="240" w:lineRule="auto"/>
        <w:rPr>
          <w:rFonts w:ascii="Times New Roman" w:eastAsia="Times New Roman" w:hAnsi="Times New Roman" w:cs="Times New Roman"/>
          <w:sz w:val="24"/>
          <w:szCs w:val="24"/>
        </w:rPr>
      </w:pPr>
      <w:r w:rsidRPr="004231D3">
        <w:rPr>
          <w:rFonts w:ascii="Times New Roman" w:eastAsia="Times New Roman" w:hAnsi="Times New Roman" w:cs="Times New Roman"/>
          <w:sz w:val="24"/>
          <w:szCs w:val="24"/>
        </w:rPr>
        <w:t xml:space="preserve">This research was supported by DOE-EMSP grant FG07-ER0263495 (Stanford Univ.), Battelle contract 409089-A9E-P3623 (Stanford Univ.), and NSF Grant CHE-0431425 (Stanford Environmental Molecular Science Institute). We thank John </w:t>
      </w:r>
      <w:proofErr w:type="spellStart"/>
      <w:r w:rsidRPr="004231D3">
        <w:rPr>
          <w:rFonts w:ascii="Times New Roman" w:eastAsia="Times New Roman" w:hAnsi="Times New Roman" w:cs="Times New Roman"/>
          <w:sz w:val="24"/>
          <w:szCs w:val="24"/>
        </w:rPr>
        <w:t>Bargar</w:t>
      </w:r>
      <w:proofErr w:type="spellEnd"/>
      <w:r w:rsidRPr="004231D3">
        <w:rPr>
          <w:rFonts w:ascii="Times New Roman" w:eastAsia="Times New Roman" w:hAnsi="Times New Roman" w:cs="Times New Roman"/>
          <w:sz w:val="24"/>
          <w:szCs w:val="24"/>
        </w:rPr>
        <w:t xml:space="preserve"> and Joe Rogers (SSRL) for their technical support on beamline 11-2 before data collection at SSRL, and Bruce </w:t>
      </w:r>
      <w:proofErr w:type="spellStart"/>
      <w:r w:rsidRPr="004231D3">
        <w:rPr>
          <w:rFonts w:ascii="Times New Roman" w:eastAsia="Times New Roman" w:hAnsi="Times New Roman" w:cs="Times New Roman"/>
          <w:sz w:val="24"/>
          <w:szCs w:val="24"/>
        </w:rPr>
        <w:t>Glagola</w:t>
      </w:r>
      <w:proofErr w:type="spellEnd"/>
      <w:r w:rsidRPr="004231D3">
        <w:rPr>
          <w:rFonts w:ascii="Times New Roman" w:eastAsia="Times New Roman" w:hAnsi="Times New Roman" w:cs="Times New Roman"/>
          <w:sz w:val="24"/>
          <w:szCs w:val="24"/>
        </w:rPr>
        <w:t xml:space="preserve">, John Vacca, and the APS Health Physics staff for their help in the safe handling of the radioactive samples at the APS. We also thank Scott </w:t>
      </w:r>
      <w:proofErr w:type="spellStart"/>
      <w:r w:rsidRPr="004231D3">
        <w:rPr>
          <w:rFonts w:ascii="Times New Roman" w:eastAsia="Times New Roman" w:hAnsi="Times New Roman" w:cs="Times New Roman"/>
          <w:sz w:val="24"/>
          <w:szCs w:val="24"/>
        </w:rPr>
        <w:t>Fendorf</w:t>
      </w:r>
      <w:proofErr w:type="spellEnd"/>
    </w:p>
    <w:p w:rsidR="000664D1" w:rsidRDefault="000664D1"/>
    <w:sectPr w:rsidR="000664D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1D3"/>
    <w:rsid w:val="000664D1"/>
    <w:rsid w:val="004231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BFDBD"/>
  <w15:chartTrackingRefBased/>
  <w15:docId w15:val="{A21DF5A9-A5BB-4A2D-B17B-B5B4ECC80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9079312">
      <w:bodyDiv w:val="1"/>
      <w:marLeft w:val="0"/>
      <w:marRight w:val="0"/>
      <w:marTop w:val="0"/>
      <w:marBottom w:val="0"/>
      <w:divBdr>
        <w:top w:val="none" w:sz="0" w:space="0" w:color="auto"/>
        <w:left w:val="none" w:sz="0" w:space="0" w:color="auto"/>
        <w:bottom w:val="none" w:sz="0" w:space="0" w:color="auto"/>
        <w:right w:val="none" w:sz="0" w:space="0" w:color="auto"/>
      </w:divBdr>
      <w:divsChild>
        <w:div w:id="1746488468">
          <w:marLeft w:val="0"/>
          <w:marRight w:val="0"/>
          <w:marTop w:val="0"/>
          <w:marBottom w:val="0"/>
          <w:divBdr>
            <w:top w:val="none" w:sz="0" w:space="0" w:color="auto"/>
            <w:left w:val="none" w:sz="0" w:space="0" w:color="auto"/>
            <w:bottom w:val="none" w:sz="0" w:space="0" w:color="auto"/>
            <w:right w:val="none" w:sz="0" w:space="0" w:color="auto"/>
          </w:divBdr>
          <w:divsChild>
            <w:div w:id="507525043">
              <w:marLeft w:val="0"/>
              <w:marRight w:val="0"/>
              <w:marTop w:val="0"/>
              <w:marBottom w:val="0"/>
              <w:divBdr>
                <w:top w:val="none" w:sz="0" w:space="0" w:color="auto"/>
                <w:left w:val="none" w:sz="0" w:space="0" w:color="auto"/>
                <w:bottom w:val="none" w:sz="0" w:space="0" w:color="auto"/>
                <w:right w:val="none" w:sz="0" w:space="0" w:color="auto"/>
              </w:divBdr>
              <w:divsChild>
                <w:div w:id="1012760429">
                  <w:marLeft w:val="0"/>
                  <w:marRight w:val="0"/>
                  <w:marTop w:val="0"/>
                  <w:marBottom w:val="0"/>
                  <w:divBdr>
                    <w:top w:val="none" w:sz="0" w:space="0" w:color="auto"/>
                    <w:left w:val="none" w:sz="0" w:space="0" w:color="auto"/>
                    <w:bottom w:val="none" w:sz="0" w:space="0" w:color="auto"/>
                    <w:right w:val="none" w:sz="0" w:space="0" w:color="auto"/>
                  </w:divBdr>
                  <w:divsChild>
                    <w:div w:id="167414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513848">
          <w:marLeft w:val="0"/>
          <w:marRight w:val="0"/>
          <w:marTop w:val="0"/>
          <w:marBottom w:val="0"/>
          <w:divBdr>
            <w:top w:val="none" w:sz="0" w:space="0" w:color="auto"/>
            <w:left w:val="none" w:sz="0" w:space="0" w:color="auto"/>
            <w:bottom w:val="none" w:sz="0" w:space="0" w:color="auto"/>
            <w:right w:val="none" w:sz="0" w:space="0" w:color="auto"/>
          </w:divBdr>
          <w:divsChild>
            <w:div w:id="1671323503">
              <w:marLeft w:val="0"/>
              <w:marRight w:val="0"/>
              <w:marTop w:val="0"/>
              <w:marBottom w:val="0"/>
              <w:divBdr>
                <w:top w:val="none" w:sz="0" w:space="0" w:color="auto"/>
                <w:left w:val="none" w:sz="0" w:space="0" w:color="auto"/>
                <w:bottom w:val="none" w:sz="0" w:space="0" w:color="auto"/>
                <w:right w:val="none" w:sz="0" w:space="0" w:color="auto"/>
              </w:divBdr>
              <w:divsChild>
                <w:div w:id="1616135983">
                  <w:marLeft w:val="0"/>
                  <w:marRight w:val="0"/>
                  <w:marTop w:val="0"/>
                  <w:marBottom w:val="0"/>
                  <w:divBdr>
                    <w:top w:val="none" w:sz="0" w:space="0" w:color="auto"/>
                    <w:left w:val="none" w:sz="0" w:space="0" w:color="auto"/>
                    <w:bottom w:val="none" w:sz="0" w:space="0" w:color="auto"/>
                    <w:right w:val="none" w:sz="0" w:space="0" w:color="auto"/>
                  </w:divBdr>
                  <w:divsChild>
                    <w:div w:id="204721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839164">
          <w:marLeft w:val="0"/>
          <w:marRight w:val="0"/>
          <w:marTop w:val="0"/>
          <w:marBottom w:val="0"/>
          <w:divBdr>
            <w:top w:val="none" w:sz="0" w:space="0" w:color="auto"/>
            <w:left w:val="none" w:sz="0" w:space="0" w:color="auto"/>
            <w:bottom w:val="none" w:sz="0" w:space="0" w:color="auto"/>
            <w:right w:val="none" w:sz="0" w:space="0" w:color="auto"/>
          </w:divBdr>
          <w:divsChild>
            <w:div w:id="1520967013">
              <w:marLeft w:val="0"/>
              <w:marRight w:val="0"/>
              <w:marTop w:val="0"/>
              <w:marBottom w:val="0"/>
              <w:divBdr>
                <w:top w:val="none" w:sz="0" w:space="0" w:color="auto"/>
                <w:left w:val="none" w:sz="0" w:space="0" w:color="auto"/>
                <w:bottom w:val="none" w:sz="0" w:space="0" w:color="auto"/>
                <w:right w:val="none" w:sz="0" w:space="0" w:color="auto"/>
              </w:divBdr>
            </w:div>
          </w:divsChild>
        </w:div>
        <w:div w:id="649409574">
          <w:marLeft w:val="0"/>
          <w:marRight w:val="0"/>
          <w:marTop w:val="0"/>
          <w:marBottom w:val="0"/>
          <w:divBdr>
            <w:top w:val="none" w:sz="0" w:space="0" w:color="auto"/>
            <w:left w:val="none" w:sz="0" w:space="0" w:color="auto"/>
            <w:bottom w:val="none" w:sz="0" w:space="0" w:color="auto"/>
            <w:right w:val="none" w:sz="0" w:space="0" w:color="auto"/>
          </w:divBdr>
          <w:divsChild>
            <w:div w:id="176163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pectroscopy" TargetMode="External"/><Relationship Id="rId5" Type="http://schemas.openxmlformats.org/officeDocument/2006/relationships/hyperlink" Target="https://www.sciencedirect.com/topics/earth-and-planetary-sciences/grazing-incidence" TargetMode="External"/><Relationship Id="rId4" Type="http://schemas.openxmlformats.org/officeDocument/2006/relationships/hyperlink" Target="https://doi.org/10.1016/j.gca.2005.03.0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1649</Words>
  <Characters>9403</Characters>
  <Application>Microsoft Office Word</Application>
  <DocSecurity>0</DocSecurity>
  <Lines>78</Lines>
  <Paragraphs>22</Paragraphs>
  <ScaleCrop>false</ScaleCrop>
  <Company/>
  <LinksUpToDate>false</LinksUpToDate>
  <CharactersWithSpaces>11030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2023-11-18T07:27:00Z</dcterms:created>
  <dcterms:modified xsi:type="dcterms:W3CDTF">2023-11-18T07:28:00Z</dcterms:modified>
</cp:coreProperties>
</file>