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B35D7" w:rsidRPr="00CB35D7" w:rsidRDefault="00CB35D7" w:rsidP="00CB35D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B35D7">
        <w:rPr>
          <w:rFonts w:ascii="Times New Roman" w:eastAsia="Times New Roman" w:hAnsi="Times New Roman" w:cs="Times New Roman"/>
          <w:b/>
          <w:bCs/>
          <w:kern w:val="36"/>
          <w:sz w:val="48"/>
          <w:szCs w:val="48"/>
        </w:rPr>
        <w:t>Precipitation of poorly crystalline antigorite under hydrothermal conditions</w:t>
      </w:r>
    </w:p>
    <w:p w:rsidR="00CB35D7" w:rsidRPr="00CB35D7" w:rsidRDefault="00CB35D7" w:rsidP="00CB35D7">
      <w:pPr>
        <w:spacing w:after="0"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Author links open overlay panel</w:t>
      </w:r>
    </w:p>
    <w:p w:rsidR="00CB35D7" w:rsidRPr="00CB35D7" w:rsidRDefault="00CB35D7" w:rsidP="00CB35D7">
      <w:pPr>
        <w:spacing w:after="0"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 , </w:t>
      </w:r>
    </w:p>
    <w:p w:rsidR="00CB35D7" w:rsidRPr="00CB35D7" w:rsidRDefault="00CB35D7" w:rsidP="00CB35D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CB35D7">
          <w:rPr>
            <w:rFonts w:ascii="Times New Roman" w:eastAsia="Times New Roman" w:hAnsi="Times New Roman" w:cs="Times New Roman"/>
            <w:color w:val="0000FF"/>
            <w:sz w:val="24"/>
            <w:szCs w:val="24"/>
            <w:u w:val="single"/>
          </w:rPr>
          <w:t>https://doi.org/10.1016/j.gca.2005.02.001</w:t>
        </w:r>
      </w:hyperlink>
      <w:bookmarkStart w:id="0" w:name="_GoBack"/>
      <w:bookmarkEnd w:id="0"/>
      <w:r w:rsidRPr="00CB35D7">
        <w:rPr>
          <w:rFonts w:ascii="Times New Roman" w:eastAsia="Times New Roman" w:hAnsi="Times New Roman" w:cs="Times New Roman"/>
          <w:sz w:val="24"/>
          <w:szCs w:val="24"/>
        </w:rPr>
        <w:t xml:space="preserve"> </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Abstract</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Magnesium silicate precipitation experiments were carried out in alkaline solutions in the temperature range 39°C–150°C. Titrations were carried out at room temperature where the pH of an aqueous solution containing magnesium and silica was raised to bring about precipitation of a magnesium silicate. The precipitation of the magnesium silicate was rapid. Equilibrium between the solution and the precipitate was attained in a period of less than one hour up to a month at around 90°C, depending on the initial degree of oversaturation. Relative magnesium and silica depletion in the experimental solutions and IR spectra of the precipitate show that the magnesium silicate resembles poorly developed </w:t>
      </w:r>
      <w:hyperlink r:id="rId5" w:tooltip="Learn more about antigorite from ScienceDirect's AI-generated Topic Pages" w:history="1">
        <w:r w:rsidRPr="00CB35D7">
          <w:rPr>
            <w:rFonts w:ascii="Times New Roman" w:eastAsia="Times New Roman" w:hAnsi="Times New Roman" w:cs="Times New Roman"/>
            <w:color w:val="0000FF"/>
            <w:sz w:val="24"/>
            <w:szCs w:val="24"/>
            <w:u w:val="single"/>
          </w:rPr>
          <w:t>antigorite</w:t>
        </w:r>
      </w:hyperlink>
      <w:r w:rsidRPr="00CB35D7">
        <w:rPr>
          <w:rFonts w:ascii="Times New Roman" w:eastAsia="Times New Roman" w:hAnsi="Times New Roman" w:cs="Times New Roman"/>
          <w:sz w:val="24"/>
          <w:szCs w:val="24"/>
        </w:rPr>
        <w:t xml:space="preserve"> (</w:t>
      </w:r>
      <w:r w:rsidRPr="00CB35D7">
        <w:rPr>
          <w:rFonts w:ascii="Times New Roman" w:eastAsia="Times New Roman" w:hAnsi="Times New Roman" w:cs="Times New Roman"/>
          <w:i/>
          <w:iCs/>
          <w:sz w:val="24"/>
          <w:szCs w:val="24"/>
        </w:rPr>
        <w:t>p</w:t>
      </w:r>
      <w:r w:rsidRPr="00CB35D7">
        <w:rPr>
          <w:rFonts w:ascii="Times New Roman" w:eastAsia="Times New Roman" w:hAnsi="Times New Roman" w:cs="Times New Roman"/>
          <w:sz w:val="24"/>
          <w:szCs w:val="24"/>
        </w:rPr>
        <w:t xml:space="preserve">-antigorite). Values for its solubility constant were obtained and an equation describing its solubility in the temperature interval 0°–200°C calculated. The equation is: log </w:t>
      </w:r>
      <w:proofErr w:type="spellStart"/>
      <w:r w:rsidRPr="00CB35D7">
        <w:rPr>
          <w:rFonts w:ascii="Times New Roman" w:eastAsia="Times New Roman" w:hAnsi="Times New Roman" w:cs="Times New Roman"/>
          <w:sz w:val="24"/>
          <w:szCs w:val="24"/>
        </w:rPr>
        <w:t>K</w:t>
      </w:r>
      <w:r w:rsidRPr="00CB35D7">
        <w:rPr>
          <w:rFonts w:ascii="Times New Roman" w:eastAsia="Times New Roman" w:hAnsi="Times New Roman" w:cs="Times New Roman"/>
          <w:sz w:val="24"/>
          <w:szCs w:val="24"/>
          <w:vertAlign w:val="subscript"/>
        </w:rPr>
        <w:t>sp</w:t>
      </w:r>
      <w:proofErr w:type="spellEnd"/>
      <w:r w:rsidRPr="00CB35D7">
        <w:rPr>
          <w:rFonts w:ascii="Times New Roman" w:eastAsia="Times New Roman" w:hAnsi="Times New Roman" w:cs="Times New Roman"/>
          <w:sz w:val="24"/>
          <w:szCs w:val="24"/>
        </w:rPr>
        <w:t xml:space="preserve"> = 9303/T + 3.283, where T is in K, and it is valid for the following reaction: </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From thermodynamic data, the solubilities of talc, antigorite, chrysotile, </w:t>
      </w:r>
      <w:proofErr w:type="spellStart"/>
      <w:r w:rsidRPr="00CB35D7">
        <w:rPr>
          <w:rFonts w:ascii="Times New Roman" w:eastAsia="Times New Roman" w:hAnsi="Times New Roman" w:cs="Times New Roman"/>
          <w:sz w:val="24"/>
          <w:szCs w:val="24"/>
        </w:rPr>
        <w:t>sepiolite</w:t>
      </w:r>
      <w:proofErr w:type="spellEnd"/>
      <w:r w:rsidRPr="00CB35D7">
        <w:rPr>
          <w:rFonts w:ascii="Times New Roman" w:eastAsia="Times New Roman" w:hAnsi="Times New Roman" w:cs="Times New Roman"/>
          <w:sz w:val="24"/>
          <w:szCs w:val="24"/>
        </w:rPr>
        <w:t xml:space="preserve">, and </w:t>
      </w:r>
      <w:hyperlink r:id="rId6" w:tooltip="Learn more about brucite from ScienceDirect's AI-generated Topic Pages" w:history="1">
        <w:r w:rsidRPr="00CB35D7">
          <w:rPr>
            <w:rFonts w:ascii="Times New Roman" w:eastAsia="Times New Roman" w:hAnsi="Times New Roman" w:cs="Times New Roman"/>
            <w:color w:val="0000FF"/>
            <w:sz w:val="24"/>
            <w:szCs w:val="24"/>
            <w:u w:val="single"/>
          </w:rPr>
          <w:t>brucite</w:t>
        </w:r>
      </w:hyperlink>
      <w:r w:rsidRPr="00CB35D7">
        <w:rPr>
          <w:rFonts w:ascii="Times New Roman" w:eastAsia="Times New Roman" w:hAnsi="Times New Roman" w:cs="Times New Roman"/>
          <w:sz w:val="24"/>
          <w:szCs w:val="24"/>
        </w:rPr>
        <w:t xml:space="preserve"> were calculated in the range 0°C–350°C at </w:t>
      </w:r>
      <w:proofErr w:type="spellStart"/>
      <w:r w:rsidRPr="00CB35D7">
        <w:rPr>
          <w:rFonts w:ascii="Times New Roman" w:eastAsia="Times New Roman" w:hAnsi="Times New Roman" w:cs="Times New Roman"/>
          <w:sz w:val="24"/>
          <w:szCs w:val="24"/>
        </w:rPr>
        <w:t>P</w:t>
      </w:r>
      <w:r w:rsidRPr="00CB35D7">
        <w:rPr>
          <w:rFonts w:ascii="Times New Roman" w:eastAsia="Times New Roman" w:hAnsi="Times New Roman" w:cs="Times New Roman"/>
          <w:sz w:val="24"/>
          <w:szCs w:val="24"/>
          <w:vertAlign w:val="subscript"/>
        </w:rPr>
        <w:t>sat</w:t>
      </w:r>
      <w:proofErr w:type="spellEnd"/>
      <w:r w:rsidRPr="00CB35D7">
        <w:rPr>
          <w:rFonts w:ascii="Times New Roman" w:eastAsia="Times New Roman" w:hAnsi="Times New Roman" w:cs="Times New Roman"/>
          <w:sz w:val="24"/>
          <w:szCs w:val="24"/>
        </w:rPr>
        <w:t xml:space="preserve">. The saturation state of selected surface and ground waters with respect to these minerals and </w:t>
      </w:r>
      <w:r w:rsidRPr="00CB35D7">
        <w:rPr>
          <w:rFonts w:ascii="Times New Roman" w:eastAsia="Times New Roman" w:hAnsi="Times New Roman" w:cs="Times New Roman"/>
          <w:i/>
          <w:iCs/>
          <w:sz w:val="24"/>
          <w:szCs w:val="24"/>
        </w:rPr>
        <w:t>p</w:t>
      </w:r>
      <w:r w:rsidRPr="00CB35D7">
        <w:rPr>
          <w:rFonts w:ascii="Times New Roman" w:eastAsia="Times New Roman" w:hAnsi="Times New Roman" w:cs="Times New Roman"/>
          <w:sz w:val="24"/>
          <w:szCs w:val="24"/>
        </w:rPr>
        <w:t xml:space="preserve">-antigorite were calculated. In the temperature range 3°C–100°C most of the ground waters are within the limit of error at equilibrium for this phase, but waters of higher temperature are undersaturated. Surface waters are generally undersaturated. It is considered that precipitation of </w:t>
      </w:r>
      <w:r w:rsidRPr="00CB35D7">
        <w:rPr>
          <w:rFonts w:ascii="Times New Roman" w:eastAsia="Times New Roman" w:hAnsi="Times New Roman" w:cs="Times New Roman"/>
          <w:i/>
          <w:iCs/>
          <w:sz w:val="24"/>
          <w:szCs w:val="24"/>
        </w:rPr>
        <w:t>p</w:t>
      </w:r>
      <w:r w:rsidRPr="00CB35D7">
        <w:rPr>
          <w:rFonts w:ascii="Times New Roman" w:eastAsia="Times New Roman" w:hAnsi="Times New Roman" w:cs="Times New Roman"/>
          <w:sz w:val="24"/>
          <w:szCs w:val="24"/>
        </w:rPr>
        <w:t xml:space="preserve">-antigorite is responsible for the magnesium depletion of surface waters when they seep into the bedrock, and the solubility of this </w:t>
      </w:r>
      <w:hyperlink r:id="rId7" w:tooltip="Learn more about phase controls from ScienceDirect's AI-generated Topic Pages" w:history="1">
        <w:r w:rsidRPr="00CB35D7">
          <w:rPr>
            <w:rFonts w:ascii="Times New Roman" w:eastAsia="Times New Roman" w:hAnsi="Times New Roman" w:cs="Times New Roman"/>
            <w:color w:val="0000FF"/>
            <w:sz w:val="24"/>
            <w:szCs w:val="24"/>
            <w:u w:val="single"/>
          </w:rPr>
          <w:t>phase controls</w:t>
        </w:r>
      </w:hyperlink>
      <w:r w:rsidRPr="00CB35D7">
        <w:rPr>
          <w:rFonts w:ascii="Times New Roman" w:eastAsia="Times New Roman" w:hAnsi="Times New Roman" w:cs="Times New Roman"/>
          <w:sz w:val="24"/>
          <w:szCs w:val="24"/>
        </w:rPr>
        <w:t xml:space="preserve"> magnesium concentrations in &lt;100°C ground waters in the basaltic terrain of Iceland.</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Introduction</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The saturation state of natural water with respect to primary and secondary minerals provides information on the processes that control the composition of the waters. The major element composition of &gt;100°C geothermal waters is largely controlled by close approach to equilibrium with secondary minerals (e.g., Ellis 1970, </w:t>
      </w:r>
      <w:proofErr w:type="spellStart"/>
      <w:r w:rsidRPr="00CB35D7">
        <w:rPr>
          <w:rFonts w:ascii="Times New Roman" w:eastAsia="Times New Roman" w:hAnsi="Times New Roman" w:cs="Times New Roman"/>
          <w:sz w:val="24"/>
          <w:szCs w:val="24"/>
        </w:rPr>
        <w:t>Giggenbach</w:t>
      </w:r>
      <w:proofErr w:type="spellEnd"/>
      <w:r w:rsidRPr="00CB35D7">
        <w:rPr>
          <w:rFonts w:ascii="Times New Roman" w:eastAsia="Times New Roman" w:hAnsi="Times New Roman" w:cs="Times New Roman"/>
          <w:sz w:val="24"/>
          <w:szCs w:val="24"/>
        </w:rPr>
        <w:t xml:space="preserve"> 1981, </w:t>
      </w:r>
      <w:proofErr w:type="spellStart"/>
      <w:r w:rsidRPr="00CB35D7">
        <w:rPr>
          <w:rFonts w:ascii="Times New Roman" w:eastAsia="Times New Roman" w:hAnsi="Times New Roman" w:cs="Times New Roman"/>
          <w:sz w:val="24"/>
          <w:szCs w:val="24"/>
        </w:rPr>
        <w:t>Arnórsson</w:t>
      </w:r>
      <w:proofErr w:type="spellEnd"/>
      <w:r w:rsidRPr="00CB35D7">
        <w:rPr>
          <w:rFonts w:ascii="Times New Roman" w:eastAsia="Times New Roman" w:hAnsi="Times New Roman" w:cs="Times New Roman"/>
          <w:sz w:val="24"/>
          <w:szCs w:val="24"/>
        </w:rPr>
        <w:t xml:space="preserve"> et al 1983, </w:t>
      </w:r>
      <w:proofErr w:type="spellStart"/>
      <w:r w:rsidRPr="00CB35D7">
        <w:rPr>
          <w:rFonts w:ascii="Times New Roman" w:eastAsia="Times New Roman" w:hAnsi="Times New Roman" w:cs="Times New Roman"/>
          <w:sz w:val="24"/>
          <w:szCs w:val="24"/>
        </w:rPr>
        <w:t>Gíslason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Arnórsson</w:t>
      </w:r>
      <w:proofErr w:type="spellEnd"/>
      <w:r w:rsidRPr="00CB35D7">
        <w:rPr>
          <w:rFonts w:ascii="Times New Roman" w:eastAsia="Times New Roman" w:hAnsi="Times New Roman" w:cs="Times New Roman"/>
          <w:sz w:val="24"/>
          <w:szCs w:val="24"/>
        </w:rPr>
        <w:t xml:space="preserve"> 1990, </w:t>
      </w:r>
      <w:proofErr w:type="spellStart"/>
      <w:r w:rsidRPr="00CB35D7">
        <w:rPr>
          <w:rFonts w:ascii="Times New Roman" w:eastAsia="Times New Roman" w:hAnsi="Times New Roman" w:cs="Times New Roman"/>
          <w:sz w:val="24"/>
          <w:szCs w:val="24"/>
        </w:rPr>
        <w:t>Palandri</w:t>
      </w:r>
      <w:proofErr w:type="spellEnd"/>
      <w:r w:rsidRPr="00CB35D7">
        <w:rPr>
          <w:rFonts w:ascii="Times New Roman" w:eastAsia="Times New Roman" w:hAnsi="Times New Roman" w:cs="Times New Roman"/>
          <w:sz w:val="24"/>
          <w:szCs w:val="24"/>
        </w:rPr>
        <w:t xml:space="preserve"> and Reed 2000, </w:t>
      </w:r>
      <w:proofErr w:type="spellStart"/>
      <w:r w:rsidRPr="00CB35D7">
        <w:rPr>
          <w:rFonts w:ascii="Times New Roman" w:eastAsia="Times New Roman" w:hAnsi="Times New Roman" w:cs="Times New Roman"/>
          <w:sz w:val="24"/>
          <w:szCs w:val="24"/>
        </w:rPr>
        <w:t>Stefánsson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Arnórsson</w:t>
      </w:r>
      <w:proofErr w:type="spellEnd"/>
      <w:r w:rsidRPr="00CB35D7">
        <w:rPr>
          <w:rFonts w:ascii="Times New Roman" w:eastAsia="Times New Roman" w:hAnsi="Times New Roman" w:cs="Times New Roman"/>
          <w:sz w:val="24"/>
          <w:szCs w:val="24"/>
        </w:rPr>
        <w:t xml:space="preserve"> 2000). By contrast, the composition of surface waters is considered to be controlled by primary mineral dissolution for some major elements although formation of weathering minerals control the aqueous concentrations of others, such as Al, Fe, and Si (</w:t>
      </w:r>
      <w:proofErr w:type="spellStart"/>
      <w:r w:rsidRPr="00CB35D7">
        <w:rPr>
          <w:rFonts w:ascii="Times New Roman" w:eastAsia="Times New Roman" w:hAnsi="Times New Roman" w:cs="Times New Roman"/>
          <w:sz w:val="24"/>
          <w:szCs w:val="24"/>
        </w:rPr>
        <w:t>Garrels</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MacKenzie</w:t>
      </w:r>
      <w:proofErr w:type="spellEnd"/>
      <w:r w:rsidRPr="00CB35D7">
        <w:rPr>
          <w:rFonts w:ascii="Times New Roman" w:eastAsia="Times New Roman" w:hAnsi="Times New Roman" w:cs="Times New Roman"/>
          <w:sz w:val="24"/>
          <w:szCs w:val="24"/>
        </w:rPr>
        <w:t xml:space="preserve"> 1967, </w:t>
      </w:r>
      <w:proofErr w:type="spellStart"/>
      <w:r w:rsidRPr="00CB35D7">
        <w:rPr>
          <w:rFonts w:ascii="Times New Roman" w:eastAsia="Times New Roman" w:hAnsi="Times New Roman" w:cs="Times New Roman"/>
          <w:sz w:val="24"/>
          <w:szCs w:val="24"/>
        </w:rPr>
        <w:t>Drever</w:t>
      </w:r>
      <w:proofErr w:type="spellEnd"/>
      <w:r w:rsidRPr="00CB35D7">
        <w:rPr>
          <w:rFonts w:ascii="Times New Roman" w:eastAsia="Times New Roman" w:hAnsi="Times New Roman" w:cs="Times New Roman"/>
          <w:sz w:val="24"/>
          <w:szCs w:val="24"/>
        </w:rPr>
        <w:t xml:space="preserve"> 1988, Bluth and </w:t>
      </w:r>
      <w:proofErr w:type="spellStart"/>
      <w:r w:rsidRPr="00CB35D7">
        <w:rPr>
          <w:rFonts w:ascii="Times New Roman" w:eastAsia="Times New Roman" w:hAnsi="Times New Roman" w:cs="Times New Roman"/>
          <w:sz w:val="24"/>
          <w:szCs w:val="24"/>
        </w:rPr>
        <w:t>Klump</w:t>
      </w:r>
      <w:proofErr w:type="spellEnd"/>
      <w:r w:rsidRPr="00CB35D7">
        <w:rPr>
          <w:rFonts w:ascii="Times New Roman" w:eastAsia="Times New Roman" w:hAnsi="Times New Roman" w:cs="Times New Roman"/>
          <w:sz w:val="24"/>
          <w:szCs w:val="24"/>
        </w:rPr>
        <w:t xml:space="preserve"> 1994, </w:t>
      </w:r>
      <w:proofErr w:type="spellStart"/>
      <w:r w:rsidRPr="00CB35D7">
        <w:rPr>
          <w:rFonts w:ascii="Times New Roman" w:eastAsia="Times New Roman" w:hAnsi="Times New Roman" w:cs="Times New Roman"/>
          <w:sz w:val="24"/>
          <w:szCs w:val="24"/>
        </w:rPr>
        <w:t>Gíslason</w:t>
      </w:r>
      <w:proofErr w:type="spellEnd"/>
      <w:r w:rsidRPr="00CB35D7">
        <w:rPr>
          <w:rFonts w:ascii="Times New Roman" w:eastAsia="Times New Roman" w:hAnsi="Times New Roman" w:cs="Times New Roman"/>
          <w:sz w:val="24"/>
          <w:szCs w:val="24"/>
        </w:rPr>
        <w:t xml:space="preserve"> et al 1996, </w:t>
      </w:r>
      <w:proofErr w:type="spellStart"/>
      <w:r w:rsidRPr="00CB35D7">
        <w:rPr>
          <w:rFonts w:ascii="Times New Roman" w:eastAsia="Times New Roman" w:hAnsi="Times New Roman" w:cs="Times New Roman"/>
          <w:sz w:val="24"/>
          <w:szCs w:val="24"/>
        </w:rPr>
        <w:t>Stefánsson</w:t>
      </w:r>
      <w:proofErr w:type="spellEnd"/>
      <w:r w:rsidRPr="00CB35D7">
        <w:rPr>
          <w:rFonts w:ascii="Times New Roman" w:eastAsia="Times New Roman" w:hAnsi="Times New Roman" w:cs="Times New Roman"/>
          <w:sz w:val="24"/>
          <w:szCs w:val="24"/>
        </w:rPr>
        <w:t xml:space="preserve"> et al 2001, </w:t>
      </w:r>
      <w:proofErr w:type="spellStart"/>
      <w:r w:rsidRPr="00CB35D7">
        <w:rPr>
          <w:rFonts w:ascii="Times New Roman" w:eastAsia="Times New Roman" w:hAnsi="Times New Roman" w:cs="Times New Roman"/>
          <w:sz w:val="24"/>
          <w:szCs w:val="24"/>
        </w:rPr>
        <w:t>Stefánsson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Gíslason</w:t>
      </w:r>
      <w:proofErr w:type="spellEnd"/>
      <w:r w:rsidRPr="00CB35D7">
        <w:rPr>
          <w:rFonts w:ascii="Times New Roman" w:eastAsia="Times New Roman" w:hAnsi="Times New Roman" w:cs="Times New Roman"/>
          <w:sz w:val="24"/>
          <w:szCs w:val="24"/>
        </w:rPr>
        <w:t xml:space="preserve"> 2001).</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The concentration of Mg in ground waters in Iceland with pH in excess of </w:t>
      </w:r>
      <w:r w:rsidRPr="00CB35D7">
        <w:rPr>
          <w:rFonts w:ascii="Cambria Math" w:eastAsia="Times New Roman" w:hAnsi="Cambria Math" w:cs="Cambria Math"/>
          <w:sz w:val="24"/>
          <w:szCs w:val="24"/>
        </w:rPr>
        <w:t>∼</w:t>
      </w:r>
      <w:r w:rsidRPr="00CB35D7">
        <w:rPr>
          <w:rFonts w:ascii="Times New Roman" w:eastAsia="Times New Roman" w:hAnsi="Times New Roman" w:cs="Times New Roman"/>
          <w:sz w:val="24"/>
          <w:szCs w:val="24"/>
        </w:rPr>
        <w:t xml:space="preserve">9 is generally very low as it is also in most geothermal waters from springs and </w:t>
      </w:r>
      <w:proofErr w:type="spellStart"/>
      <w:r w:rsidRPr="00CB35D7">
        <w:rPr>
          <w:rFonts w:ascii="Times New Roman" w:eastAsia="Times New Roman" w:hAnsi="Times New Roman" w:cs="Times New Roman"/>
          <w:sz w:val="24"/>
          <w:szCs w:val="24"/>
        </w:rPr>
        <w:t>drillholes</w:t>
      </w:r>
      <w:proofErr w:type="spellEnd"/>
      <w:r w:rsidRPr="00CB35D7">
        <w:rPr>
          <w:rFonts w:ascii="Times New Roman" w:eastAsia="Times New Roman" w:hAnsi="Times New Roman" w:cs="Times New Roman"/>
          <w:sz w:val="24"/>
          <w:szCs w:val="24"/>
        </w:rPr>
        <w:t xml:space="preserve">. Scales of poorly crystalline magnesium silicate have formed in geothermal installations when magnesium-bearing ground water is heated and when high-pH geothermal waters are mixed with Mg-bearing nonthermal waters. Several studies have been carried out to reveal the nature of the magnesium silicate precipitated in </w:t>
      </w:r>
      <w:r w:rsidRPr="00CB35D7">
        <w:rPr>
          <w:rFonts w:ascii="Times New Roman" w:eastAsia="Times New Roman" w:hAnsi="Times New Roman" w:cs="Times New Roman"/>
          <w:sz w:val="24"/>
          <w:szCs w:val="24"/>
        </w:rPr>
        <w:lastRenderedPageBreak/>
        <w:t>geothermal installations (</w:t>
      </w:r>
      <w:proofErr w:type="spellStart"/>
      <w:r w:rsidRPr="00CB35D7">
        <w:rPr>
          <w:rFonts w:ascii="Times New Roman" w:eastAsia="Times New Roman" w:hAnsi="Times New Roman" w:cs="Times New Roman"/>
          <w:sz w:val="24"/>
          <w:szCs w:val="24"/>
        </w:rPr>
        <w:t>Kristmannsdóttir</w:t>
      </w:r>
      <w:proofErr w:type="spellEnd"/>
      <w:r w:rsidRPr="00CB35D7">
        <w:rPr>
          <w:rFonts w:ascii="Times New Roman" w:eastAsia="Times New Roman" w:hAnsi="Times New Roman" w:cs="Times New Roman"/>
          <w:sz w:val="24"/>
          <w:szCs w:val="24"/>
        </w:rPr>
        <w:t xml:space="preserve"> 1980, </w:t>
      </w:r>
      <w:proofErr w:type="spellStart"/>
      <w:r w:rsidRPr="00CB35D7">
        <w:rPr>
          <w:rFonts w:ascii="Times New Roman" w:eastAsia="Times New Roman" w:hAnsi="Times New Roman" w:cs="Times New Roman"/>
          <w:sz w:val="24"/>
          <w:szCs w:val="24"/>
        </w:rPr>
        <w:t>Kristmannsdóttir</w:t>
      </w:r>
      <w:proofErr w:type="spellEnd"/>
      <w:r w:rsidRPr="00CB35D7">
        <w:rPr>
          <w:rFonts w:ascii="Times New Roman" w:eastAsia="Times New Roman" w:hAnsi="Times New Roman" w:cs="Times New Roman"/>
          <w:sz w:val="24"/>
          <w:szCs w:val="24"/>
        </w:rPr>
        <w:t xml:space="preserve"> et al 1999, </w:t>
      </w:r>
      <w:proofErr w:type="spellStart"/>
      <w:r w:rsidRPr="00CB35D7">
        <w:rPr>
          <w:rFonts w:ascii="Times New Roman" w:eastAsia="Times New Roman" w:hAnsi="Times New Roman" w:cs="Times New Roman"/>
          <w:sz w:val="24"/>
          <w:szCs w:val="24"/>
        </w:rPr>
        <w:t>Sverrisdóttir</w:t>
      </w:r>
      <w:proofErr w:type="spellEnd"/>
      <w:r w:rsidRPr="00CB35D7">
        <w:rPr>
          <w:rFonts w:ascii="Times New Roman" w:eastAsia="Times New Roman" w:hAnsi="Times New Roman" w:cs="Times New Roman"/>
          <w:sz w:val="24"/>
          <w:szCs w:val="24"/>
        </w:rPr>
        <w:t xml:space="preserve"> et al 1992), and the conditions under which they form (</w:t>
      </w:r>
      <w:proofErr w:type="spellStart"/>
      <w:r w:rsidRPr="00CB35D7">
        <w:rPr>
          <w:rFonts w:ascii="Times New Roman" w:eastAsia="Times New Roman" w:hAnsi="Times New Roman" w:cs="Times New Roman"/>
          <w:sz w:val="24"/>
          <w:szCs w:val="24"/>
        </w:rPr>
        <w:t>Gunnlaugsson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Einarsson</w:t>
      </w:r>
      <w:proofErr w:type="spellEnd"/>
      <w:r w:rsidRPr="00CB35D7">
        <w:rPr>
          <w:rFonts w:ascii="Times New Roman" w:eastAsia="Times New Roman" w:hAnsi="Times New Roman" w:cs="Times New Roman"/>
          <w:sz w:val="24"/>
          <w:szCs w:val="24"/>
        </w:rPr>
        <w:t xml:space="preserve"> 1989, </w:t>
      </w:r>
      <w:proofErr w:type="spellStart"/>
      <w:r w:rsidRPr="00CB35D7">
        <w:rPr>
          <w:rFonts w:ascii="Times New Roman" w:eastAsia="Times New Roman" w:hAnsi="Times New Roman" w:cs="Times New Roman"/>
          <w:sz w:val="24"/>
          <w:szCs w:val="24"/>
        </w:rPr>
        <w:t>Hauksson</w:t>
      </w:r>
      <w:proofErr w:type="spellEnd"/>
      <w:r w:rsidRPr="00CB35D7">
        <w:rPr>
          <w:rFonts w:ascii="Times New Roman" w:eastAsia="Times New Roman" w:hAnsi="Times New Roman" w:cs="Times New Roman"/>
          <w:sz w:val="24"/>
          <w:szCs w:val="24"/>
        </w:rPr>
        <w:t xml:space="preserve"> et al 1992, </w:t>
      </w:r>
      <w:proofErr w:type="spellStart"/>
      <w:r w:rsidRPr="00CB35D7">
        <w:rPr>
          <w:rFonts w:ascii="Times New Roman" w:eastAsia="Times New Roman" w:hAnsi="Times New Roman" w:cs="Times New Roman"/>
          <w:sz w:val="24"/>
          <w:szCs w:val="24"/>
        </w:rPr>
        <w:t>Hauksson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Thórhallsson</w:t>
      </w:r>
      <w:proofErr w:type="spellEnd"/>
      <w:r w:rsidRPr="00CB35D7">
        <w:rPr>
          <w:rFonts w:ascii="Times New Roman" w:eastAsia="Times New Roman" w:hAnsi="Times New Roman" w:cs="Times New Roman"/>
          <w:sz w:val="24"/>
          <w:szCs w:val="24"/>
        </w:rPr>
        <w:t xml:space="preserve"> 1993). Evaluation of potential magnesium silicate scaling from exploited geothermal waters requires knowledge of the solubility of the magnesium silicate phase involved, and the water saturation state with respect to that mineral.</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The purpose of this study was to obtain a value for the solubility product for the magnesium silicate, which forms scales in geothermal installations and to reveal if precipitation of this phase from ground waters exerts a control on the magnesium concentration in these waters. Experiments were carried out involving precipitation of magnesium silicate from synthetic solutions containing only magnesium and silica. Previous experiments all involved selected natural waters, either a mixture of geothermal and fresh water or heated fresh water (</w:t>
      </w:r>
      <w:proofErr w:type="spellStart"/>
      <w:r w:rsidRPr="00CB35D7">
        <w:rPr>
          <w:rFonts w:ascii="Times New Roman" w:eastAsia="Times New Roman" w:hAnsi="Times New Roman" w:cs="Times New Roman"/>
          <w:sz w:val="24"/>
          <w:szCs w:val="24"/>
        </w:rPr>
        <w:t>Hauksson</w:t>
      </w:r>
      <w:proofErr w:type="spellEnd"/>
      <w:r w:rsidRPr="00CB35D7">
        <w:rPr>
          <w:rFonts w:ascii="Times New Roman" w:eastAsia="Times New Roman" w:hAnsi="Times New Roman" w:cs="Times New Roman"/>
          <w:sz w:val="24"/>
          <w:szCs w:val="24"/>
        </w:rPr>
        <w:t xml:space="preserve"> et al 1992, </w:t>
      </w:r>
      <w:proofErr w:type="spellStart"/>
      <w:r w:rsidRPr="00CB35D7">
        <w:rPr>
          <w:rFonts w:ascii="Times New Roman" w:eastAsia="Times New Roman" w:hAnsi="Times New Roman" w:cs="Times New Roman"/>
          <w:sz w:val="24"/>
          <w:szCs w:val="24"/>
        </w:rPr>
        <w:t>Sverrisdóttir</w:t>
      </w:r>
      <w:proofErr w:type="spellEnd"/>
      <w:r w:rsidRPr="00CB35D7">
        <w:rPr>
          <w:rFonts w:ascii="Times New Roman" w:eastAsia="Times New Roman" w:hAnsi="Times New Roman" w:cs="Times New Roman"/>
          <w:sz w:val="24"/>
          <w:szCs w:val="24"/>
        </w:rPr>
        <w:t xml:space="preserve"> et al 1992; </w:t>
      </w:r>
      <w:proofErr w:type="spellStart"/>
      <w:r w:rsidRPr="00CB35D7">
        <w:rPr>
          <w:rFonts w:ascii="Times New Roman" w:eastAsia="Times New Roman" w:hAnsi="Times New Roman" w:cs="Times New Roman"/>
          <w:sz w:val="24"/>
          <w:szCs w:val="24"/>
        </w:rPr>
        <w:t>Hauksson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Thórhallsson</w:t>
      </w:r>
      <w:proofErr w:type="spellEnd"/>
      <w:r w:rsidRPr="00CB35D7">
        <w:rPr>
          <w:rFonts w:ascii="Times New Roman" w:eastAsia="Times New Roman" w:hAnsi="Times New Roman" w:cs="Times New Roman"/>
          <w:sz w:val="24"/>
          <w:szCs w:val="24"/>
        </w:rPr>
        <w:t>, 1993). The results from these experiments cannot be extended to waters of different composition, because aqueous components other than silica and magnesium could affect the solubility of the precipitated material. Results from the experiments involving synthetic solutions, which contain only magnesium and silica, do not suffer from this snag. Previously published preliminary results on the solubility of the scale-forming magnesium silicate (Gunnarsson et al. (2001) were based on some of the experiments presented here. The preliminary results indicated that the magnesium silicate precipitated had Mg/Si atomic ratio of 4/3. Further precipitation experiments presented here indicate the ratio is closer to 3/2.</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The solubility constants for brucite and selected magnesium silicates with known thermodynamic properties were calculated as a part of the present study. The saturation index in surface and ground waters was evaluated with respect to these minerals and compared with that of the magnesium silicate produced in the present precipitation experiments.</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Section snippets</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Experimental Design</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Magnesium silicate precipitation experiments were carried out in alkaline solutions at temperatures ranging from 39°C to 150°C. Experiments at 39°C, 72°C, 83°C, 89°C, 91°C, 93°C, and 94°C were made at atmospheric pressure in 250 mL polypropylene bottles placed in a temperature-controlled water bath. The temperature variation in the water bath was ±1°C. At the bottom of each bottle was a Teflon-coated magnetic bar to stir the experimental solution. Experiments at 120°C and 150°C were performed</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Results</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The experimental results are shown in Table 1. Decreases in aqueous magnesium and silica concentrations in the course of two of the experiments carried out in polypropylene bottles at 91°C and 93°C are shown in Figure 2. When large amounts of magnesium were injected into the experimental solution, the reaction proceeded to completion in about one hour (Fig. 2A), but when small amounts of magnesium were added the reaction was much slower and one to two days passed before the precipitation</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lastRenderedPageBreak/>
        <w:t>Saturation state of natural waters with respect to selected magnesium silicates and brucite</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The calculated saturation state of natural waters with respect to Mg silicates makes it possible to evaluate whether such silicates have a tendency to dissolve or precipitate when in contact with such waters, and it gives a clue to their precipitation rate. For example, if geothermal waters are generally oversaturated with respect to a certain Mg silicate, it can be deduced that this mineral does not precipitate easily and, as a result, it is unlikely that such a mineral forms Mg silicate</w:t>
      </w:r>
    </w:p>
    <w:p w:rsidR="00CB35D7" w:rsidRPr="00CB35D7" w:rsidRDefault="00CB35D7" w:rsidP="00CB35D7">
      <w:pPr>
        <w:spacing w:before="100" w:beforeAutospacing="1" w:after="100" w:afterAutospacing="1" w:line="240" w:lineRule="auto"/>
        <w:outlineLvl w:val="1"/>
        <w:rPr>
          <w:rFonts w:ascii="Times New Roman" w:eastAsia="Times New Roman" w:hAnsi="Times New Roman" w:cs="Times New Roman"/>
          <w:b/>
          <w:bCs/>
          <w:sz w:val="36"/>
          <w:szCs w:val="36"/>
        </w:rPr>
      </w:pPr>
      <w:r w:rsidRPr="00CB35D7">
        <w:rPr>
          <w:rFonts w:ascii="Times New Roman" w:eastAsia="Times New Roman" w:hAnsi="Times New Roman" w:cs="Times New Roman"/>
          <w:b/>
          <w:bCs/>
          <w:sz w:val="36"/>
          <w:szCs w:val="36"/>
        </w:rPr>
        <w:t>Acknowledgments</w:t>
      </w:r>
    </w:p>
    <w:p w:rsidR="00CB35D7" w:rsidRPr="00CB35D7" w:rsidRDefault="00CB35D7" w:rsidP="00CB35D7">
      <w:pPr>
        <w:spacing w:before="100" w:beforeAutospacing="1" w:after="100" w:afterAutospacing="1" w:line="240" w:lineRule="auto"/>
        <w:rPr>
          <w:rFonts w:ascii="Times New Roman" w:eastAsia="Times New Roman" w:hAnsi="Times New Roman" w:cs="Times New Roman"/>
          <w:sz w:val="24"/>
          <w:szCs w:val="24"/>
        </w:rPr>
      </w:pPr>
      <w:r w:rsidRPr="00CB35D7">
        <w:rPr>
          <w:rFonts w:ascii="Times New Roman" w:eastAsia="Times New Roman" w:hAnsi="Times New Roman" w:cs="Times New Roman"/>
          <w:sz w:val="24"/>
          <w:szCs w:val="24"/>
        </w:rPr>
        <w:t xml:space="preserve">This study has been supported by Reykjavík Energy, </w:t>
      </w:r>
      <w:proofErr w:type="spellStart"/>
      <w:r w:rsidRPr="00CB35D7">
        <w:rPr>
          <w:rFonts w:ascii="Times New Roman" w:eastAsia="Times New Roman" w:hAnsi="Times New Roman" w:cs="Times New Roman"/>
          <w:sz w:val="24"/>
          <w:szCs w:val="24"/>
        </w:rPr>
        <w:t>Sudurnes</w:t>
      </w:r>
      <w:proofErr w:type="spellEnd"/>
      <w:r w:rsidRPr="00CB35D7">
        <w:rPr>
          <w:rFonts w:ascii="Times New Roman" w:eastAsia="Times New Roman" w:hAnsi="Times New Roman" w:cs="Times New Roman"/>
          <w:sz w:val="24"/>
          <w:szCs w:val="24"/>
        </w:rPr>
        <w:t xml:space="preserve"> District Heating Services, and </w:t>
      </w:r>
      <w:proofErr w:type="spellStart"/>
      <w:r w:rsidRPr="00CB35D7">
        <w:rPr>
          <w:rFonts w:ascii="Times New Roman" w:eastAsia="Times New Roman" w:hAnsi="Times New Roman" w:cs="Times New Roman"/>
          <w:sz w:val="24"/>
          <w:szCs w:val="24"/>
        </w:rPr>
        <w:t>Landsvirkjun</w:t>
      </w:r>
      <w:proofErr w:type="spellEnd"/>
      <w:r w:rsidRPr="00CB35D7">
        <w:rPr>
          <w:rFonts w:ascii="Times New Roman" w:eastAsia="Times New Roman" w:hAnsi="Times New Roman" w:cs="Times New Roman"/>
          <w:sz w:val="24"/>
          <w:szCs w:val="24"/>
        </w:rPr>
        <w:t xml:space="preserve">, The National Power Co. of Iceland. </w:t>
      </w:r>
      <w:proofErr w:type="spellStart"/>
      <w:r w:rsidRPr="00CB35D7">
        <w:rPr>
          <w:rFonts w:ascii="Times New Roman" w:eastAsia="Times New Roman" w:hAnsi="Times New Roman" w:cs="Times New Roman"/>
          <w:sz w:val="24"/>
          <w:szCs w:val="24"/>
        </w:rPr>
        <w:t>Sigurdur</w:t>
      </w:r>
      <w:proofErr w:type="spellEnd"/>
      <w:r w:rsidRPr="00CB35D7">
        <w:rPr>
          <w:rFonts w:ascii="Times New Roman" w:eastAsia="Times New Roman" w:hAnsi="Times New Roman" w:cs="Times New Roman"/>
          <w:sz w:val="24"/>
          <w:szCs w:val="24"/>
        </w:rPr>
        <w:t xml:space="preserve"> </w:t>
      </w:r>
      <w:proofErr w:type="spellStart"/>
      <w:r w:rsidRPr="00CB35D7">
        <w:rPr>
          <w:rFonts w:ascii="Times New Roman" w:eastAsia="Times New Roman" w:hAnsi="Times New Roman" w:cs="Times New Roman"/>
          <w:sz w:val="24"/>
          <w:szCs w:val="24"/>
        </w:rPr>
        <w:t>Sveinn</w:t>
      </w:r>
      <w:proofErr w:type="spellEnd"/>
      <w:r w:rsidRPr="00CB35D7">
        <w:rPr>
          <w:rFonts w:ascii="Times New Roman" w:eastAsia="Times New Roman" w:hAnsi="Times New Roman" w:cs="Times New Roman"/>
          <w:sz w:val="24"/>
          <w:szCs w:val="24"/>
        </w:rPr>
        <w:t xml:space="preserve"> </w:t>
      </w:r>
      <w:proofErr w:type="spellStart"/>
      <w:r w:rsidRPr="00CB35D7">
        <w:rPr>
          <w:rFonts w:ascii="Times New Roman" w:eastAsia="Times New Roman" w:hAnsi="Times New Roman" w:cs="Times New Roman"/>
          <w:sz w:val="24"/>
          <w:szCs w:val="24"/>
        </w:rPr>
        <w:t>Jónsson</w:t>
      </w:r>
      <w:proofErr w:type="spellEnd"/>
      <w:r w:rsidRPr="00CB35D7">
        <w:rPr>
          <w:rFonts w:ascii="Times New Roman" w:eastAsia="Times New Roman" w:hAnsi="Times New Roman" w:cs="Times New Roman"/>
          <w:sz w:val="24"/>
          <w:szCs w:val="24"/>
        </w:rPr>
        <w:t xml:space="preserve"> and </w:t>
      </w:r>
      <w:proofErr w:type="spellStart"/>
      <w:r w:rsidRPr="00CB35D7">
        <w:rPr>
          <w:rFonts w:ascii="Times New Roman" w:eastAsia="Times New Roman" w:hAnsi="Times New Roman" w:cs="Times New Roman"/>
          <w:sz w:val="24"/>
          <w:szCs w:val="24"/>
        </w:rPr>
        <w:t>Thráinn</w:t>
      </w:r>
      <w:proofErr w:type="spellEnd"/>
      <w:r w:rsidRPr="00CB35D7">
        <w:rPr>
          <w:rFonts w:ascii="Times New Roman" w:eastAsia="Times New Roman" w:hAnsi="Times New Roman" w:cs="Times New Roman"/>
          <w:sz w:val="24"/>
          <w:szCs w:val="24"/>
        </w:rPr>
        <w:t xml:space="preserve"> </w:t>
      </w:r>
      <w:proofErr w:type="spellStart"/>
      <w:r w:rsidRPr="00CB35D7">
        <w:rPr>
          <w:rFonts w:ascii="Times New Roman" w:eastAsia="Times New Roman" w:hAnsi="Times New Roman" w:cs="Times New Roman"/>
          <w:sz w:val="24"/>
          <w:szCs w:val="24"/>
        </w:rPr>
        <w:t>Fridriksson</w:t>
      </w:r>
      <w:proofErr w:type="spellEnd"/>
      <w:r w:rsidRPr="00CB35D7">
        <w:rPr>
          <w:rFonts w:ascii="Times New Roman" w:eastAsia="Times New Roman" w:hAnsi="Times New Roman" w:cs="Times New Roman"/>
          <w:sz w:val="24"/>
          <w:szCs w:val="24"/>
        </w:rPr>
        <w:t xml:space="preserve"> from Iceland </w:t>
      </w:r>
      <w:proofErr w:type="spellStart"/>
      <w:r w:rsidRPr="00CB35D7">
        <w:rPr>
          <w:rFonts w:ascii="Times New Roman" w:eastAsia="Times New Roman" w:hAnsi="Times New Roman" w:cs="Times New Roman"/>
          <w:sz w:val="24"/>
          <w:szCs w:val="24"/>
        </w:rPr>
        <w:t>GeoSurvey</w:t>
      </w:r>
      <w:proofErr w:type="spellEnd"/>
      <w:r w:rsidRPr="00CB35D7">
        <w:rPr>
          <w:rFonts w:ascii="Times New Roman" w:eastAsia="Times New Roman" w:hAnsi="Times New Roman" w:cs="Times New Roman"/>
          <w:sz w:val="24"/>
          <w:szCs w:val="24"/>
        </w:rPr>
        <w:t xml:space="preserve"> are acknowledged for their assistance in XRD measurements. The Canadian Museum of Nature provided samples 45833 and 54535 and The Smithsonian Institution sample MVJ 84-16-1 from their respective mineral collections. We thank two reviewers for many useful suggestions that have led to</w:t>
      </w:r>
    </w:p>
    <w:p w:rsidR="00B65ED3" w:rsidRDefault="00B65ED3"/>
    <w:sectPr w:rsidR="00B65ED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5D7"/>
    <w:rsid w:val="00B65ED3"/>
    <w:rsid w:val="00CB35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25911"/>
  <w15:chartTrackingRefBased/>
  <w15:docId w15:val="{570CFB40-17D4-47F0-8673-FE231FC07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1558921">
      <w:bodyDiv w:val="1"/>
      <w:marLeft w:val="0"/>
      <w:marRight w:val="0"/>
      <w:marTop w:val="0"/>
      <w:marBottom w:val="0"/>
      <w:divBdr>
        <w:top w:val="none" w:sz="0" w:space="0" w:color="auto"/>
        <w:left w:val="none" w:sz="0" w:space="0" w:color="auto"/>
        <w:bottom w:val="none" w:sz="0" w:space="0" w:color="auto"/>
        <w:right w:val="none" w:sz="0" w:space="0" w:color="auto"/>
      </w:divBdr>
      <w:divsChild>
        <w:div w:id="1635451421">
          <w:marLeft w:val="0"/>
          <w:marRight w:val="0"/>
          <w:marTop w:val="0"/>
          <w:marBottom w:val="0"/>
          <w:divBdr>
            <w:top w:val="none" w:sz="0" w:space="0" w:color="auto"/>
            <w:left w:val="none" w:sz="0" w:space="0" w:color="auto"/>
            <w:bottom w:val="none" w:sz="0" w:space="0" w:color="auto"/>
            <w:right w:val="none" w:sz="0" w:space="0" w:color="auto"/>
          </w:divBdr>
          <w:divsChild>
            <w:div w:id="461270563">
              <w:marLeft w:val="0"/>
              <w:marRight w:val="0"/>
              <w:marTop w:val="0"/>
              <w:marBottom w:val="0"/>
              <w:divBdr>
                <w:top w:val="none" w:sz="0" w:space="0" w:color="auto"/>
                <w:left w:val="none" w:sz="0" w:space="0" w:color="auto"/>
                <w:bottom w:val="none" w:sz="0" w:space="0" w:color="auto"/>
                <w:right w:val="none" w:sz="0" w:space="0" w:color="auto"/>
              </w:divBdr>
              <w:divsChild>
                <w:div w:id="2146963915">
                  <w:marLeft w:val="0"/>
                  <w:marRight w:val="0"/>
                  <w:marTop w:val="0"/>
                  <w:marBottom w:val="0"/>
                  <w:divBdr>
                    <w:top w:val="none" w:sz="0" w:space="0" w:color="auto"/>
                    <w:left w:val="none" w:sz="0" w:space="0" w:color="auto"/>
                    <w:bottom w:val="none" w:sz="0" w:space="0" w:color="auto"/>
                    <w:right w:val="none" w:sz="0" w:space="0" w:color="auto"/>
                  </w:divBdr>
                  <w:divsChild>
                    <w:div w:id="2704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894717">
          <w:marLeft w:val="0"/>
          <w:marRight w:val="0"/>
          <w:marTop w:val="0"/>
          <w:marBottom w:val="0"/>
          <w:divBdr>
            <w:top w:val="none" w:sz="0" w:space="0" w:color="auto"/>
            <w:left w:val="none" w:sz="0" w:space="0" w:color="auto"/>
            <w:bottom w:val="none" w:sz="0" w:space="0" w:color="auto"/>
            <w:right w:val="none" w:sz="0" w:space="0" w:color="auto"/>
          </w:divBdr>
          <w:divsChild>
            <w:div w:id="1965498785">
              <w:marLeft w:val="0"/>
              <w:marRight w:val="0"/>
              <w:marTop w:val="0"/>
              <w:marBottom w:val="0"/>
              <w:divBdr>
                <w:top w:val="none" w:sz="0" w:space="0" w:color="auto"/>
                <w:left w:val="none" w:sz="0" w:space="0" w:color="auto"/>
                <w:bottom w:val="none" w:sz="0" w:space="0" w:color="auto"/>
                <w:right w:val="none" w:sz="0" w:space="0" w:color="auto"/>
              </w:divBdr>
              <w:divsChild>
                <w:div w:id="1962758193">
                  <w:marLeft w:val="0"/>
                  <w:marRight w:val="0"/>
                  <w:marTop w:val="0"/>
                  <w:marBottom w:val="0"/>
                  <w:divBdr>
                    <w:top w:val="none" w:sz="0" w:space="0" w:color="auto"/>
                    <w:left w:val="none" w:sz="0" w:space="0" w:color="auto"/>
                    <w:bottom w:val="none" w:sz="0" w:space="0" w:color="auto"/>
                    <w:right w:val="none" w:sz="0" w:space="0" w:color="auto"/>
                  </w:divBdr>
                  <w:divsChild>
                    <w:div w:id="47704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628133">
          <w:marLeft w:val="0"/>
          <w:marRight w:val="0"/>
          <w:marTop w:val="0"/>
          <w:marBottom w:val="0"/>
          <w:divBdr>
            <w:top w:val="none" w:sz="0" w:space="0" w:color="auto"/>
            <w:left w:val="none" w:sz="0" w:space="0" w:color="auto"/>
            <w:bottom w:val="none" w:sz="0" w:space="0" w:color="auto"/>
            <w:right w:val="none" w:sz="0" w:space="0" w:color="auto"/>
          </w:divBdr>
          <w:divsChild>
            <w:div w:id="1684824146">
              <w:marLeft w:val="0"/>
              <w:marRight w:val="0"/>
              <w:marTop w:val="0"/>
              <w:marBottom w:val="0"/>
              <w:divBdr>
                <w:top w:val="none" w:sz="0" w:space="0" w:color="auto"/>
                <w:left w:val="none" w:sz="0" w:space="0" w:color="auto"/>
                <w:bottom w:val="none" w:sz="0" w:space="0" w:color="auto"/>
                <w:right w:val="none" w:sz="0" w:space="0" w:color="auto"/>
              </w:divBdr>
              <w:divsChild>
                <w:div w:id="1882665753">
                  <w:marLeft w:val="0"/>
                  <w:marRight w:val="0"/>
                  <w:marTop w:val="0"/>
                  <w:marBottom w:val="0"/>
                  <w:divBdr>
                    <w:top w:val="none" w:sz="0" w:space="0" w:color="auto"/>
                    <w:left w:val="none" w:sz="0" w:space="0" w:color="auto"/>
                    <w:bottom w:val="none" w:sz="0" w:space="0" w:color="auto"/>
                    <w:right w:val="none" w:sz="0" w:space="0" w:color="auto"/>
                  </w:divBdr>
                  <w:divsChild>
                    <w:div w:id="150277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849173">
          <w:marLeft w:val="0"/>
          <w:marRight w:val="0"/>
          <w:marTop w:val="0"/>
          <w:marBottom w:val="0"/>
          <w:divBdr>
            <w:top w:val="none" w:sz="0" w:space="0" w:color="auto"/>
            <w:left w:val="none" w:sz="0" w:space="0" w:color="auto"/>
            <w:bottom w:val="none" w:sz="0" w:space="0" w:color="auto"/>
            <w:right w:val="none" w:sz="0" w:space="0" w:color="auto"/>
          </w:divBdr>
          <w:divsChild>
            <w:div w:id="416949892">
              <w:marLeft w:val="0"/>
              <w:marRight w:val="0"/>
              <w:marTop w:val="0"/>
              <w:marBottom w:val="0"/>
              <w:divBdr>
                <w:top w:val="none" w:sz="0" w:space="0" w:color="auto"/>
                <w:left w:val="none" w:sz="0" w:space="0" w:color="auto"/>
                <w:bottom w:val="none" w:sz="0" w:space="0" w:color="auto"/>
                <w:right w:val="none" w:sz="0" w:space="0" w:color="auto"/>
              </w:divBdr>
            </w:div>
          </w:divsChild>
        </w:div>
        <w:div w:id="1992827477">
          <w:marLeft w:val="0"/>
          <w:marRight w:val="0"/>
          <w:marTop w:val="0"/>
          <w:marBottom w:val="0"/>
          <w:divBdr>
            <w:top w:val="none" w:sz="0" w:space="0" w:color="auto"/>
            <w:left w:val="none" w:sz="0" w:space="0" w:color="auto"/>
            <w:bottom w:val="none" w:sz="0" w:space="0" w:color="auto"/>
            <w:right w:val="none" w:sz="0" w:space="0" w:color="auto"/>
          </w:divBdr>
          <w:divsChild>
            <w:div w:id="109085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phase-contro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brucite" TargetMode="External"/><Relationship Id="rId5" Type="http://schemas.openxmlformats.org/officeDocument/2006/relationships/hyperlink" Target="https://www.sciencedirect.com/topics/earth-and-planetary-sciences/antigorite" TargetMode="External"/><Relationship Id="rId4" Type="http://schemas.openxmlformats.org/officeDocument/2006/relationships/hyperlink" Target="https://doi.org/10.1016/j.gca.2005.02.001"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1215</Words>
  <Characters>6930</Characters>
  <Application>Microsoft Office Word</Application>
  <DocSecurity>0</DocSecurity>
  <Lines>57</Lines>
  <Paragraphs>16</Paragraphs>
  <ScaleCrop>false</ScaleCrop>
  <Company/>
  <LinksUpToDate>false</LinksUpToDate>
  <CharactersWithSpaces>8129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2023-11-18T09:30:00Z</dcterms:created>
  <dcterms:modified xsi:type="dcterms:W3CDTF">2023-11-18T09:30:00Z</dcterms:modified>
</cp:coreProperties>
</file>