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45B15" w:rsidRPr="00145B15" w:rsidRDefault="00145B15" w:rsidP="00145B15">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45B15">
        <w:rPr>
          <w:rFonts w:ascii="Times New Roman" w:eastAsia="Times New Roman" w:hAnsi="Times New Roman" w:cs="Times New Roman"/>
          <w:b/>
          <w:bCs/>
          <w:kern w:val="36"/>
          <w:sz w:val="48"/>
          <w:szCs w:val="48"/>
        </w:rPr>
        <w:t>Effects of seed material and solution composition on calcite precipitation</w:t>
      </w:r>
    </w:p>
    <w:p w:rsidR="00145B15" w:rsidRPr="00145B15" w:rsidRDefault="00145B15" w:rsidP="00145B15">
      <w:pPr>
        <w:spacing w:after="0"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Author links open overlay panel</w:t>
      </w:r>
    </w:p>
    <w:p w:rsidR="00145B15" w:rsidRPr="00145B15" w:rsidRDefault="00145B15" w:rsidP="00145B15">
      <w:pPr>
        <w:spacing w:after="0"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 xml:space="preserve">, </w:t>
      </w:r>
    </w:p>
    <w:p w:rsidR="00145B15" w:rsidRPr="00145B15" w:rsidRDefault="00145B15" w:rsidP="00145B15">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45B15">
          <w:rPr>
            <w:rFonts w:ascii="Times New Roman" w:eastAsia="Times New Roman" w:hAnsi="Times New Roman" w:cs="Times New Roman"/>
            <w:color w:val="0000FF"/>
            <w:sz w:val="24"/>
            <w:szCs w:val="24"/>
            <w:u w:val="single"/>
          </w:rPr>
          <w:t>https://doi.org/10.1016/j.gca.2005.06.002</w:t>
        </w:r>
      </w:hyperlink>
      <w:bookmarkStart w:id="0" w:name="_GoBack"/>
      <w:bookmarkEnd w:id="0"/>
      <w:r w:rsidRPr="00145B15">
        <w:rPr>
          <w:rFonts w:ascii="Times New Roman" w:eastAsia="Times New Roman" w:hAnsi="Times New Roman" w:cs="Times New Roman"/>
          <w:sz w:val="24"/>
          <w:szCs w:val="24"/>
        </w:rPr>
        <w:t xml:space="preserve"> </w:t>
      </w:r>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t>Abstract</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 xml:space="preserve">We studied the effects of seed material and solution composition on calcite crystal precipitation using a pH-stat system. The seed materials investigated included quartz, dolomite, two calcites with different particle size and specific surface area, and two dried precipitates from precipitative softening </w:t>
      </w:r>
      <w:hyperlink r:id="rId5" w:tooltip="Learn more about water treatment plants from ScienceDirect's AI-generated Topic Pages" w:history="1">
        <w:r w:rsidRPr="00145B15">
          <w:rPr>
            <w:rFonts w:ascii="Times New Roman" w:eastAsia="Times New Roman" w:hAnsi="Times New Roman" w:cs="Times New Roman"/>
            <w:color w:val="0000FF"/>
            <w:sz w:val="24"/>
            <w:szCs w:val="24"/>
            <w:u w:val="single"/>
          </w:rPr>
          <w:t>water treatment plants</w:t>
        </w:r>
      </w:hyperlink>
      <w:r w:rsidRPr="00145B15">
        <w:rPr>
          <w:rFonts w:ascii="Times New Roman" w:eastAsia="Times New Roman" w:hAnsi="Times New Roman" w:cs="Times New Roman"/>
          <w:sz w:val="24"/>
          <w:szCs w:val="24"/>
        </w:rPr>
        <w:t xml:space="preserve">. Our results indicated that, of the seed materials examined, only calcite had the ability to initiate calcite precipitation in a solution with a degree of </w:t>
      </w:r>
      <w:hyperlink r:id="rId6" w:tooltip="Learn more about supersaturation from ScienceDirect's AI-generated Topic Pages" w:history="1">
        <w:r w:rsidRPr="00145B15">
          <w:rPr>
            <w:rFonts w:ascii="Times New Roman" w:eastAsia="Times New Roman" w:hAnsi="Times New Roman" w:cs="Times New Roman"/>
            <w:color w:val="0000FF"/>
            <w:sz w:val="24"/>
            <w:szCs w:val="24"/>
            <w:u w:val="single"/>
          </w:rPr>
          <w:t>supersaturation</w:t>
        </w:r>
      </w:hyperlink>
      <w:r w:rsidRPr="00145B15">
        <w:rPr>
          <w:rFonts w:ascii="Times New Roman" w:eastAsia="Times New Roman" w:hAnsi="Times New Roman" w:cs="Times New Roman"/>
          <w:sz w:val="24"/>
          <w:szCs w:val="24"/>
        </w:rPr>
        <w:t xml:space="preserve"> of 5.3 over a period of two hours, and that the precipitation rate was proportional to the available surface area of the seed. For different solution compositions with the same degree of supersaturation, the calcite precipitation rate increased with increasing carbonate/calcium ratio, which contradicts the generally accepted empirical rate expression that the degree of supersaturation is the sole factor controlling precipitation kinetics. By applying a surface complexation model, the surface concentrations of two species, &gt;CO</w:t>
      </w:r>
      <w:r w:rsidRPr="00145B15">
        <w:rPr>
          <w:rFonts w:ascii="Times New Roman" w:eastAsia="Times New Roman" w:hAnsi="Times New Roman" w:cs="Times New Roman"/>
          <w:sz w:val="24"/>
          <w:szCs w:val="24"/>
          <w:vertAlign w:val="subscript"/>
        </w:rPr>
        <w:t>3</w:t>
      </w:r>
      <w:r w:rsidRPr="00145B15">
        <w:rPr>
          <w:rFonts w:ascii="Times New Roman" w:eastAsia="Times New Roman" w:hAnsi="Times New Roman" w:cs="Times New Roman"/>
          <w:sz w:val="24"/>
          <w:szCs w:val="24"/>
          <w:vertAlign w:val="superscript"/>
        </w:rPr>
        <w:t>−</w:t>
      </w:r>
      <w:r w:rsidRPr="00145B15">
        <w:rPr>
          <w:rFonts w:ascii="Times New Roman" w:eastAsia="Times New Roman" w:hAnsi="Times New Roman" w:cs="Times New Roman"/>
          <w:sz w:val="24"/>
          <w:szCs w:val="24"/>
        </w:rPr>
        <w:t xml:space="preserve"> and &gt;CaCO</w:t>
      </w:r>
      <w:r w:rsidRPr="00145B15">
        <w:rPr>
          <w:rFonts w:ascii="Times New Roman" w:eastAsia="Times New Roman" w:hAnsi="Times New Roman" w:cs="Times New Roman"/>
          <w:sz w:val="24"/>
          <w:szCs w:val="24"/>
          <w:vertAlign w:val="subscript"/>
        </w:rPr>
        <w:t>3</w:t>
      </w:r>
      <w:r w:rsidRPr="00145B15">
        <w:rPr>
          <w:rFonts w:ascii="Times New Roman" w:eastAsia="Times New Roman" w:hAnsi="Times New Roman" w:cs="Times New Roman"/>
          <w:sz w:val="24"/>
          <w:szCs w:val="24"/>
          <w:vertAlign w:val="superscript"/>
        </w:rPr>
        <w:t>−</w:t>
      </w:r>
      <w:r w:rsidRPr="00145B15">
        <w:rPr>
          <w:rFonts w:ascii="Times New Roman" w:eastAsia="Times New Roman" w:hAnsi="Times New Roman" w:cs="Times New Roman"/>
          <w:sz w:val="24"/>
          <w:szCs w:val="24"/>
        </w:rPr>
        <w:t>, appear to be responsible for catalyzing calcite precipitation.</w:t>
      </w:r>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t>Introduction</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Calcite is ubiquitous in the natural environment, and its precipitation and dissolution are important geochemical processes. The precipitation of calcite in a supersaturated solution can be achieved through nucleation in an early stage and subsequent crystal growth in later stages.</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Nucleation corresponds to the formation of nuclei or critical clusters where crystal growth can occur spontaneously (</w:t>
      </w:r>
      <w:proofErr w:type="spellStart"/>
      <w:r w:rsidRPr="00145B15">
        <w:rPr>
          <w:rFonts w:ascii="Times New Roman" w:eastAsia="Times New Roman" w:hAnsi="Times New Roman" w:cs="Times New Roman"/>
          <w:sz w:val="24"/>
          <w:szCs w:val="24"/>
        </w:rPr>
        <w:t>Stumm</w:t>
      </w:r>
      <w:proofErr w:type="spellEnd"/>
      <w:r w:rsidRPr="00145B15">
        <w:rPr>
          <w:rFonts w:ascii="Times New Roman" w:eastAsia="Times New Roman" w:hAnsi="Times New Roman" w:cs="Times New Roman"/>
          <w:sz w:val="24"/>
          <w:szCs w:val="24"/>
        </w:rPr>
        <w:t xml:space="preserve"> and Morgan, 1996). The structure of these nuclei is not known and is too small to observe directly (Mullin, 2001). Nucleation can be homogeneous in a supersaturated solution without solid substrates or heterogeneous in the presence of seed materials. The degree of supersaturation (Ω) with respect to calcite is defined as </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where (Ca</w:t>
      </w:r>
      <w:r w:rsidRPr="00145B15">
        <w:rPr>
          <w:rFonts w:ascii="Times New Roman" w:eastAsia="Times New Roman" w:hAnsi="Times New Roman" w:cs="Times New Roman"/>
          <w:sz w:val="24"/>
          <w:szCs w:val="24"/>
          <w:vertAlign w:val="superscript"/>
        </w:rPr>
        <w:t>2+</w:t>
      </w:r>
      <w:r w:rsidRPr="00145B15">
        <w:rPr>
          <w:rFonts w:ascii="Times New Roman" w:eastAsia="Times New Roman" w:hAnsi="Times New Roman" w:cs="Times New Roman"/>
          <w:sz w:val="24"/>
          <w:szCs w:val="24"/>
        </w:rPr>
        <w:t>) and (CO</w:t>
      </w:r>
      <w:r w:rsidRPr="00145B15">
        <w:rPr>
          <w:rFonts w:ascii="Times New Roman" w:eastAsia="Times New Roman" w:hAnsi="Times New Roman" w:cs="Times New Roman"/>
          <w:sz w:val="24"/>
          <w:szCs w:val="24"/>
          <w:vertAlign w:val="subscript"/>
        </w:rPr>
        <w:t>3</w:t>
      </w:r>
      <w:r w:rsidRPr="00145B15">
        <w:rPr>
          <w:rFonts w:ascii="Times New Roman" w:eastAsia="Times New Roman" w:hAnsi="Times New Roman" w:cs="Times New Roman"/>
          <w:sz w:val="24"/>
          <w:szCs w:val="24"/>
          <w:vertAlign w:val="superscript"/>
        </w:rPr>
        <w:t>2−</w:t>
      </w:r>
      <w:r w:rsidRPr="00145B15">
        <w:rPr>
          <w:rFonts w:ascii="Times New Roman" w:eastAsia="Times New Roman" w:hAnsi="Times New Roman" w:cs="Times New Roman"/>
          <w:sz w:val="24"/>
          <w:szCs w:val="24"/>
        </w:rPr>
        <w:t xml:space="preserve">) are the activities of calcium and carbonate ions in the solution, respectively, and </w:t>
      </w:r>
      <w:proofErr w:type="spellStart"/>
      <w:r w:rsidRPr="00145B15">
        <w:rPr>
          <w:rFonts w:ascii="Times New Roman" w:eastAsia="Times New Roman" w:hAnsi="Times New Roman" w:cs="Times New Roman"/>
          <w:sz w:val="24"/>
          <w:szCs w:val="24"/>
        </w:rPr>
        <w:t>K</w:t>
      </w:r>
      <w:r w:rsidRPr="00145B15">
        <w:rPr>
          <w:rFonts w:ascii="Times New Roman" w:eastAsia="Times New Roman" w:hAnsi="Times New Roman" w:cs="Times New Roman"/>
          <w:sz w:val="24"/>
          <w:szCs w:val="24"/>
          <w:vertAlign w:val="subscript"/>
        </w:rPr>
        <w:t>sp</w:t>
      </w:r>
      <w:proofErr w:type="spellEnd"/>
      <w:r w:rsidRPr="00145B15">
        <w:rPr>
          <w:rFonts w:ascii="Times New Roman" w:eastAsia="Times New Roman" w:hAnsi="Times New Roman" w:cs="Times New Roman"/>
          <w:sz w:val="24"/>
          <w:szCs w:val="24"/>
        </w:rPr>
        <w:t xml:space="preserve"> is the thermodynamic solubility product of calcite. It is generally agreed that heterogeneous nucleation can be initiated at a lower degree of supersaturation than homogeneous nucleation, and different seed crystals will lower the activation energy barrier by different degrees, depending on the level of molecular recognition between the seed crystal and the precipitating solid phase (</w:t>
      </w:r>
      <w:proofErr w:type="spellStart"/>
      <w:r w:rsidRPr="00145B15">
        <w:rPr>
          <w:rFonts w:ascii="Times New Roman" w:eastAsia="Times New Roman" w:hAnsi="Times New Roman" w:cs="Times New Roman"/>
          <w:sz w:val="24"/>
          <w:szCs w:val="24"/>
        </w:rPr>
        <w:t>Stumm</w:t>
      </w:r>
      <w:proofErr w:type="spellEnd"/>
      <w:r w:rsidRPr="00145B15">
        <w:rPr>
          <w:rFonts w:ascii="Times New Roman" w:eastAsia="Times New Roman" w:hAnsi="Times New Roman" w:cs="Times New Roman"/>
          <w:sz w:val="24"/>
          <w:szCs w:val="24"/>
        </w:rPr>
        <w:t xml:space="preserve"> and Morgan, 1996). Crystal growth corresponds to the development of nuclei into a visible size. It can be achieved through reaction between the nuclei formed by nucleation processes in a supersaturated solution or on seeded crystallites in a metastable supersaturated solution (</w:t>
      </w:r>
      <w:proofErr w:type="spellStart"/>
      <w:r w:rsidRPr="00145B15">
        <w:rPr>
          <w:rFonts w:ascii="Times New Roman" w:eastAsia="Times New Roman" w:hAnsi="Times New Roman" w:cs="Times New Roman"/>
          <w:sz w:val="24"/>
          <w:szCs w:val="24"/>
        </w:rPr>
        <w:t>Nancollas</w:t>
      </w:r>
      <w:proofErr w:type="spellEnd"/>
      <w:r w:rsidRPr="00145B15">
        <w:rPr>
          <w:rFonts w:ascii="Times New Roman" w:eastAsia="Times New Roman" w:hAnsi="Times New Roman" w:cs="Times New Roman"/>
          <w:sz w:val="24"/>
          <w:szCs w:val="24"/>
        </w:rPr>
        <w:t xml:space="preserve"> and Reddy, 1974). It is possible to study crystal growth without interference from homogeneous nucleation in a seeded metastable solution (Nielsen, 1983). Due to the abundance of different types of solids and colloids in natural waters, heterogeneous nucleation and subsequent crystal growth are the predominant processes for calcite formation in rivers, lakes and oceans. </w:t>
      </w:r>
      <w:r w:rsidRPr="00145B15">
        <w:rPr>
          <w:rFonts w:ascii="Times New Roman" w:eastAsia="Times New Roman" w:hAnsi="Times New Roman" w:cs="Times New Roman"/>
          <w:sz w:val="24"/>
          <w:szCs w:val="24"/>
        </w:rPr>
        <w:lastRenderedPageBreak/>
        <w:t>Introduction of seed materials into engineered processes, for example in precipitative water softening, is also a common water treatment practice (</w:t>
      </w:r>
      <w:proofErr w:type="spellStart"/>
      <w:r w:rsidRPr="00145B15">
        <w:rPr>
          <w:rFonts w:ascii="Times New Roman" w:eastAsia="Times New Roman" w:hAnsi="Times New Roman" w:cs="Times New Roman"/>
          <w:sz w:val="24"/>
          <w:szCs w:val="24"/>
        </w:rPr>
        <w:t>Graveland</w:t>
      </w:r>
      <w:proofErr w:type="spellEnd"/>
      <w:r w:rsidRPr="00145B15">
        <w:rPr>
          <w:rFonts w:ascii="Times New Roman" w:eastAsia="Times New Roman" w:hAnsi="Times New Roman" w:cs="Times New Roman"/>
          <w:sz w:val="24"/>
          <w:szCs w:val="24"/>
        </w:rPr>
        <w:t xml:space="preserve"> et al 1983, van der Veen and </w:t>
      </w:r>
      <w:proofErr w:type="spellStart"/>
      <w:r w:rsidRPr="00145B15">
        <w:rPr>
          <w:rFonts w:ascii="Times New Roman" w:eastAsia="Times New Roman" w:hAnsi="Times New Roman" w:cs="Times New Roman"/>
          <w:sz w:val="24"/>
          <w:szCs w:val="24"/>
        </w:rPr>
        <w:t>Graveland</w:t>
      </w:r>
      <w:proofErr w:type="spellEnd"/>
      <w:r w:rsidRPr="00145B15">
        <w:rPr>
          <w:rFonts w:ascii="Times New Roman" w:eastAsia="Times New Roman" w:hAnsi="Times New Roman" w:cs="Times New Roman"/>
          <w:sz w:val="24"/>
          <w:szCs w:val="24"/>
        </w:rPr>
        <w:t xml:space="preserve"> 1988).</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Two models with a different theoretical basis, affinity-based and multiple reaction-based models, are commonly used to describe the mechanisms of mineral precipitation in seeded solutions. Affinity-based models which rely on surface reaction-controlled precipitation have been widely used to model the kinetics of calcite precipitation in seeded solutions (</w:t>
      </w:r>
      <w:proofErr w:type="spellStart"/>
      <w:r w:rsidRPr="00145B15">
        <w:rPr>
          <w:rFonts w:ascii="Times New Roman" w:eastAsia="Times New Roman" w:hAnsi="Times New Roman" w:cs="Times New Roman"/>
          <w:sz w:val="24"/>
          <w:szCs w:val="24"/>
        </w:rPr>
        <w:t>Nancollas</w:t>
      </w:r>
      <w:proofErr w:type="spellEnd"/>
      <w:r w:rsidRPr="00145B15">
        <w:rPr>
          <w:rFonts w:ascii="Times New Roman" w:eastAsia="Times New Roman" w:hAnsi="Times New Roman" w:cs="Times New Roman"/>
          <w:sz w:val="24"/>
          <w:szCs w:val="24"/>
        </w:rPr>
        <w:t xml:space="preserve"> and Reddy 1971, Reddy and </w:t>
      </w:r>
      <w:proofErr w:type="spellStart"/>
      <w:r w:rsidRPr="00145B15">
        <w:rPr>
          <w:rFonts w:ascii="Times New Roman" w:eastAsia="Times New Roman" w:hAnsi="Times New Roman" w:cs="Times New Roman"/>
          <w:sz w:val="24"/>
          <w:szCs w:val="24"/>
        </w:rPr>
        <w:t>Nancollas</w:t>
      </w:r>
      <w:proofErr w:type="spellEnd"/>
      <w:r w:rsidRPr="00145B15">
        <w:rPr>
          <w:rFonts w:ascii="Times New Roman" w:eastAsia="Times New Roman" w:hAnsi="Times New Roman" w:cs="Times New Roman"/>
          <w:sz w:val="24"/>
          <w:szCs w:val="24"/>
        </w:rPr>
        <w:t xml:space="preserve"> 1971, Morse 1983, Inskeep and Bloom 1985, </w:t>
      </w:r>
      <w:proofErr w:type="spellStart"/>
      <w:r w:rsidRPr="00145B15">
        <w:rPr>
          <w:rFonts w:ascii="Times New Roman" w:eastAsia="Times New Roman" w:hAnsi="Times New Roman" w:cs="Times New Roman"/>
          <w:sz w:val="24"/>
          <w:szCs w:val="24"/>
        </w:rPr>
        <w:t>Shiraki</w:t>
      </w:r>
      <w:proofErr w:type="spellEnd"/>
      <w:r w:rsidRPr="00145B15">
        <w:rPr>
          <w:rFonts w:ascii="Times New Roman" w:eastAsia="Times New Roman" w:hAnsi="Times New Roman" w:cs="Times New Roman"/>
          <w:sz w:val="24"/>
          <w:szCs w:val="24"/>
        </w:rPr>
        <w:t xml:space="preserve"> and Brantley 1995). The surface-controlled mechanisms consist of adsorption of lattice ions, spiral growth at screw dislocations, or two-dimensional nucleation on the mineral surface, which correspond, respectively, to a linear, parabolic, or exponential dependence on the degree of supersaturation (Nielsen, 1983). Multiple reaction-based models, on the other hand, express the overall rate law in terms of specific rate equations for all individual reactions leading to the species of interest (Plummer et al., 1978). A more general approach to study the kinetics of calcite precipitation is to fit the precipitation rate to an empirical rate expression of the form shown in Eqn. 2, with Ω as the only variable, and to determine the empirical rate constant (k) and reaction order (n) from a log-log plot (Morse, 1983), </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where R is the rate of calcite precipitation normalized by surface area.</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A limitation of these models, however, is that only species in the solution phase are considered in quantifying the precipitation kinetics of these heterogeneous reactions. Other important reactions at the solid-water interface, such as adsorption of lattice ions and incorporation of adsorbed ions into the mineral lattice, are not considered (Chou et al., 1989), although some investigators have attempted to describe the concentration differences between the calcite surface layer and bulk solution (Plummer et al 1978, House 1981, Inskeep and Bloom 1985). The precipitation of calcite can be diffusion-controlled or surface reaction-controlled depending on the pH value, degree of supersaturation, and hydrodynamic conditions where the precipitation is initiated (</w:t>
      </w:r>
      <w:proofErr w:type="spellStart"/>
      <w:r w:rsidRPr="00145B15">
        <w:rPr>
          <w:rFonts w:ascii="Times New Roman" w:eastAsia="Times New Roman" w:hAnsi="Times New Roman" w:cs="Times New Roman"/>
          <w:sz w:val="24"/>
          <w:szCs w:val="24"/>
        </w:rPr>
        <w:t>Shiraki</w:t>
      </w:r>
      <w:proofErr w:type="spellEnd"/>
      <w:r w:rsidRPr="00145B15">
        <w:rPr>
          <w:rFonts w:ascii="Times New Roman" w:eastAsia="Times New Roman" w:hAnsi="Times New Roman" w:cs="Times New Roman"/>
          <w:sz w:val="24"/>
          <w:szCs w:val="24"/>
        </w:rPr>
        <w:t xml:space="preserve"> and Brantley, 1995). For the case of surface reaction-controlled kinetics, the precipitation of calcite should rationally lead to a correlation between precipitation rate and surface speciation. Thus, a closer examination, using surface speciation and surface complexation theory, might provide greater insight to an understanding of precipitation and dissolution processes of calcite. The objectives of this study were to: 1) investigate the effects of seed material and solution composition on the kinetics of calcite precipitation; 2) determine the mechanism(s) responsible for the precipitation, and 3) quantify the kinetics of precipitation in terms of surface speciation.</w:t>
      </w:r>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t>Section snippets</w:t>
      </w:r>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t>Seed Materials</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The seed crystals investigated in this study included: quartz (Aldrich Chemical Co.), dolomite (Ward’s Natural Science Establishment, Inc.), reagent-grade calcite (Fisher Chemical Co.) and a calcite crystal produced by the Procter and Gamble Co., and dried precipitates from water softening treatment plants in Columbus, OH (SSOH) and Ft. Lauderdale, FL (SSFL). The dolomite seed used in the precipitation experiments was prepared by crushing the saddle-shaped crystals into small particles. The</w:t>
      </w:r>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lastRenderedPageBreak/>
        <w:t>Effects of Seed Materials on Calcite Precipitation</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To test the effects of seed materials on calcite precipitation, we first measured the precipitation rate in the presence of different doses of the seed materials listed in Table 1 under the solution conditions of Ω = 5.3, C</w:t>
      </w:r>
      <w:r w:rsidRPr="00145B15">
        <w:rPr>
          <w:rFonts w:ascii="Times New Roman" w:eastAsia="Times New Roman" w:hAnsi="Times New Roman" w:cs="Times New Roman"/>
          <w:sz w:val="24"/>
          <w:szCs w:val="24"/>
          <w:vertAlign w:val="subscript"/>
        </w:rPr>
        <w:t>T</w:t>
      </w:r>
      <w:r w:rsidRPr="00145B15">
        <w:rPr>
          <w:rFonts w:ascii="Times New Roman" w:eastAsia="Times New Roman" w:hAnsi="Times New Roman" w:cs="Times New Roman"/>
          <w:sz w:val="24"/>
          <w:szCs w:val="24"/>
        </w:rPr>
        <w:t>/Ca</w:t>
      </w:r>
      <w:r w:rsidRPr="00145B15">
        <w:rPr>
          <w:rFonts w:ascii="Times New Roman" w:eastAsia="Times New Roman" w:hAnsi="Times New Roman" w:cs="Times New Roman"/>
          <w:sz w:val="24"/>
          <w:szCs w:val="24"/>
          <w:vertAlign w:val="superscript"/>
        </w:rPr>
        <w:t>2+</w:t>
      </w:r>
      <w:r w:rsidRPr="00145B15">
        <w:rPr>
          <w:rFonts w:ascii="Times New Roman" w:eastAsia="Times New Roman" w:hAnsi="Times New Roman" w:cs="Times New Roman"/>
          <w:sz w:val="24"/>
          <w:szCs w:val="24"/>
        </w:rPr>
        <w:t xml:space="preserve"> = 1, and pH = 7.95 (Table 2). Among the six seed materials tested, reagent-grade calcite, Procter and Gamble calcite, and SSOH, all of which are calcite-based materials, exhibited catalytic properties. The rest of the seeds were observed not to catalyze calcite</w:t>
      </w:r>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t>Conclusions</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Calcite precipitation at low degrees of supersaturation requires the presence of seed material to overcome the activation energy barrier. In this study, only calcite-based seed materials were found to have the ability to induce calcite precipitation in a solution with a degree of supersaturation of 5.3 over a 2-h period of time. Impurities associated with the seed, such as Mg</w:t>
      </w:r>
      <w:r w:rsidRPr="00145B15">
        <w:rPr>
          <w:rFonts w:ascii="Times New Roman" w:eastAsia="Times New Roman" w:hAnsi="Times New Roman" w:cs="Times New Roman"/>
          <w:sz w:val="24"/>
          <w:szCs w:val="24"/>
          <w:vertAlign w:val="superscript"/>
        </w:rPr>
        <w:t>2+</w:t>
      </w:r>
      <w:r w:rsidRPr="00145B15">
        <w:rPr>
          <w:rFonts w:ascii="Times New Roman" w:eastAsia="Times New Roman" w:hAnsi="Times New Roman" w:cs="Times New Roman"/>
          <w:sz w:val="24"/>
          <w:szCs w:val="24"/>
        </w:rPr>
        <w:t xml:space="preserve"> and NOM, can poison the seed and reduce its catalytic ability.</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 xml:space="preserve">The commonly accepted empirical model R = k (Ω − </w:t>
      </w:r>
      <w:proofErr w:type="gramStart"/>
      <w:r w:rsidRPr="00145B15">
        <w:rPr>
          <w:rFonts w:ascii="Times New Roman" w:eastAsia="Times New Roman" w:hAnsi="Times New Roman" w:cs="Times New Roman"/>
          <w:sz w:val="24"/>
          <w:szCs w:val="24"/>
        </w:rPr>
        <w:t>1)</w:t>
      </w:r>
      <w:r w:rsidRPr="00145B15">
        <w:rPr>
          <w:rFonts w:ascii="Times New Roman" w:eastAsia="Times New Roman" w:hAnsi="Times New Roman" w:cs="Times New Roman"/>
          <w:sz w:val="24"/>
          <w:szCs w:val="24"/>
          <w:vertAlign w:val="superscript"/>
        </w:rPr>
        <w:t>n</w:t>
      </w:r>
      <w:proofErr w:type="gramEnd"/>
    </w:p>
    <w:p w:rsidR="00145B15" w:rsidRPr="00145B15" w:rsidRDefault="00145B15" w:rsidP="00145B15">
      <w:pPr>
        <w:spacing w:before="100" w:beforeAutospacing="1" w:after="100" w:afterAutospacing="1" w:line="240" w:lineRule="auto"/>
        <w:outlineLvl w:val="1"/>
        <w:rPr>
          <w:rFonts w:ascii="Times New Roman" w:eastAsia="Times New Roman" w:hAnsi="Times New Roman" w:cs="Times New Roman"/>
          <w:b/>
          <w:bCs/>
          <w:sz w:val="36"/>
          <w:szCs w:val="36"/>
        </w:rPr>
      </w:pPr>
      <w:r w:rsidRPr="00145B15">
        <w:rPr>
          <w:rFonts w:ascii="Times New Roman" w:eastAsia="Times New Roman" w:hAnsi="Times New Roman" w:cs="Times New Roman"/>
          <w:b/>
          <w:bCs/>
          <w:sz w:val="36"/>
          <w:szCs w:val="36"/>
        </w:rPr>
        <w:t>Acknowledgments</w:t>
      </w:r>
    </w:p>
    <w:p w:rsidR="00145B15" w:rsidRPr="00145B15" w:rsidRDefault="00145B15" w:rsidP="00145B15">
      <w:pPr>
        <w:spacing w:before="100" w:beforeAutospacing="1" w:after="100" w:afterAutospacing="1" w:line="240" w:lineRule="auto"/>
        <w:rPr>
          <w:rFonts w:ascii="Times New Roman" w:eastAsia="Times New Roman" w:hAnsi="Times New Roman" w:cs="Times New Roman"/>
          <w:sz w:val="24"/>
          <w:szCs w:val="24"/>
        </w:rPr>
      </w:pPr>
      <w:r w:rsidRPr="00145B15">
        <w:rPr>
          <w:rFonts w:ascii="Times New Roman" w:eastAsia="Times New Roman" w:hAnsi="Times New Roman" w:cs="Times New Roman"/>
          <w:sz w:val="24"/>
          <w:szCs w:val="24"/>
        </w:rPr>
        <w:t>We thank Procter and Gamble for supporting this research and water treatment personnel from Columbus, OH and Ft. Lauderdale, FL for providing the water softening precipitates used in this study. This manuscript has benefited from comments provided by the Associate Editor Carrick Eggleston and three anonymous reviewers.</w:t>
      </w:r>
    </w:p>
    <w:p w:rsidR="00553CB5" w:rsidRDefault="00553CB5"/>
    <w:sectPr w:rsidR="00553CB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5B15"/>
    <w:rsid w:val="00145B15"/>
    <w:rsid w:val="00553C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BD987"/>
  <w15:chartTrackingRefBased/>
  <w15:docId w15:val="{86A6A79A-2E16-4F14-9981-949357A07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2663518">
      <w:bodyDiv w:val="1"/>
      <w:marLeft w:val="0"/>
      <w:marRight w:val="0"/>
      <w:marTop w:val="0"/>
      <w:marBottom w:val="0"/>
      <w:divBdr>
        <w:top w:val="none" w:sz="0" w:space="0" w:color="auto"/>
        <w:left w:val="none" w:sz="0" w:space="0" w:color="auto"/>
        <w:bottom w:val="none" w:sz="0" w:space="0" w:color="auto"/>
        <w:right w:val="none" w:sz="0" w:space="0" w:color="auto"/>
      </w:divBdr>
      <w:divsChild>
        <w:div w:id="2137292769">
          <w:marLeft w:val="0"/>
          <w:marRight w:val="0"/>
          <w:marTop w:val="0"/>
          <w:marBottom w:val="0"/>
          <w:divBdr>
            <w:top w:val="none" w:sz="0" w:space="0" w:color="auto"/>
            <w:left w:val="none" w:sz="0" w:space="0" w:color="auto"/>
            <w:bottom w:val="none" w:sz="0" w:space="0" w:color="auto"/>
            <w:right w:val="none" w:sz="0" w:space="0" w:color="auto"/>
          </w:divBdr>
          <w:divsChild>
            <w:div w:id="440881614">
              <w:marLeft w:val="0"/>
              <w:marRight w:val="0"/>
              <w:marTop w:val="0"/>
              <w:marBottom w:val="0"/>
              <w:divBdr>
                <w:top w:val="none" w:sz="0" w:space="0" w:color="auto"/>
                <w:left w:val="none" w:sz="0" w:space="0" w:color="auto"/>
                <w:bottom w:val="none" w:sz="0" w:space="0" w:color="auto"/>
                <w:right w:val="none" w:sz="0" w:space="0" w:color="auto"/>
              </w:divBdr>
              <w:divsChild>
                <w:div w:id="1114979723">
                  <w:marLeft w:val="0"/>
                  <w:marRight w:val="0"/>
                  <w:marTop w:val="0"/>
                  <w:marBottom w:val="0"/>
                  <w:divBdr>
                    <w:top w:val="none" w:sz="0" w:space="0" w:color="auto"/>
                    <w:left w:val="none" w:sz="0" w:space="0" w:color="auto"/>
                    <w:bottom w:val="none" w:sz="0" w:space="0" w:color="auto"/>
                    <w:right w:val="none" w:sz="0" w:space="0" w:color="auto"/>
                  </w:divBdr>
                  <w:divsChild>
                    <w:div w:id="141643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590551">
          <w:marLeft w:val="0"/>
          <w:marRight w:val="0"/>
          <w:marTop w:val="0"/>
          <w:marBottom w:val="0"/>
          <w:divBdr>
            <w:top w:val="none" w:sz="0" w:space="0" w:color="auto"/>
            <w:left w:val="none" w:sz="0" w:space="0" w:color="auto"/>
            <w:bottom w:val="none" w:sz="0" w:space="0" w:color="auto"/>
            <w:right w:val="none" w:sz="0" w:space="0" w:color="auto"/>
          </w:divBdr>
          <w:divsChild>
            <w:div w:id="495265257">
              <w:marLeft w:val="0"/>
              <w:marRight w:val="0"/>
              <w:marTop w:val="0"/>
              <w:marBottom w:val="0"/>
              <w:divBdr>
                <w:top w:val="none" w:sz="0" w:space="0" w:color="auto"/>
                <w:left w:val="none" w:sz="0" w:space="0" w:color="auto"/>
                <w:bottom w:val="none" w:sz="0" w:space="0" w:color="auto"/>
                <w:right w:val="none" w:sz="0" w:space="0" w:color="auto"/>
              </w:divBdr>
              <w:divsChild>
                <w:div w:id="300578848">
                  <w:marLeft w:val="0"/>
                  <w:marRight w:val="0"/>
                  <w:marTop w:val="0"/>
                  <w:marBottom w:val="0"/>
                  <w:divBdr>
                    <w:top w:val="none" w:sz="0" w:space="0" w:color="auto"/>
                    <w:left w:val="none" w:sz="0" w:space="0" w:color="auto"/>
                    <w:bottom w:val="none" w:sz="0" w:space="0" w:color="auto"/>
                    <w:right w:val="none" w:sz="0" w:space="0" w:color="auto"/>
                  </w:divBdr>
                  <w:divsChild>
                    <w:div w:id="209990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423775">
          <w:marLeft w:val="0"/>
          <w:marRight w:val="0"/>
          <w:marTop w:val="0"/>
          <w:marBottom w:val="0"/>
          <w:divBdr>
            <w:top w:val="none" w:sz="0" w:space="0" w:color="auto"/>
            <w:left w:val="none" w:sz="0" w:space="0" w:color="auto"/>
            <w:bottom w:val="none" w:sz="0" w:space="0" w:color="auto"/>
            <w:right w:val="none" w:sz="0" w:space="0" w:color="auto"/>
          </w:divBdr>
          <w:divsChild>
            <w:div w:id="204369818">
              <w:marLeft w:val="0"/>
              <w:marRight w:val="0"/>
              <w:marTop w:val="0"/>
              <w:marBottom w:val="0"/>
              <w:divBdr>
                <w:top w:val="none" w:sz="0" w:space="0" w:color="auto"/>
                <w:left w:val="none" w:sz="0" w:space="0" w:color="auto"/>
                <w:bottom w:val="none" w:sz="0" w:space="0" w:color="auto"/>
                <w:right w:val="none" w:sz="0" w:space="0" w:color="auto"/>
              </w:divBdr>
            </w:div>
          </w:divsChild>
        </w:div>
        <w:div w:id="1744447798">
          <w:marLeft w:val="0"/>
          <w:marRight w:val="0"/>
          <w:marTop w:val="0"/>
          <w:marBottom w:val="0"/>
          <w:divBdr>
            <w:top w:val="none" w:sz="0" w:space="0" w:color="auto"/>
            <w:left w:val="none" w:sz="0" w:space="0" w:color="auto"/>
            <w:bottom w:val="none" w:sz="0" w:space="0" w:color="auto"/>
            <w:right w:val="none" w:sz="0" w:space="0" w:color="auto"/>
          </w:divBdr>
          <w:divsChild>
            <w:div w:id="974525237">
              <w:marLeft w:val="0"/>
              <w:marRight w:val="0"/>
              <w:marTop w:val="0"/>
              <w:marBottom w:val="0"/>
              <w:divBdr>
                <w:top w:val="none" w:sz="0" w:space="0" w:color="auto"/>
                <w:left w:val="none" w:sz="0" w:space="0" w:color="auto"/>
                <w:bottom w:val="none" w:sz="0" w:space="0" w:color="auto"/>
                <w:right w:val="none" w:sz="0" w:space="0" w:color="auto"/>
              </w:divBdr>
            </w:div>
          </w:divsChild>
        </w:div>
        <w:div w:id="1171917332">
          <w:marLeft w:val="0"/>
          <w:marRight w:val="0"/>
          <w:marTop w:val="0"/>
          <w:marBottom w:val="0"/>
          <w:divBdr>
            <w:top w:val="none" w:sz="0" w:space="0" w:color="auto"/>
            <w:left w:val="none" w:sz="0" w:space="0" w:color="auto"/>
            <w:bottom w:val="none" w:sz="0" w:space="0" w:color="auto"/>
            <w:right w:val="none" w:sz="0" w:space="0" w:color="auto"/>
          </w:divBdr>
          <w:divsChild>
            <w:div w:id="214515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upersaturation" TargetMode="External"/><Relationship Id="rId5" Type="http://schemas.openxmlformats.org/officeDocument/2006/relationships/hyperlink" Target="https://www.sciencedirect.com/topics/earth-and-planetary-sciences/water-treatment-plant" TargetMode="External"/><Relationship Id="rId4" Type="http://schemas.openxmlformats.org/officeDocument/2006/relationships/hyperlink" Target="https://doi.org/10.1016/j.gca.2005.06.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1284</Words>
  <Characters>7321</Characters>
  <Application>Microsoft Office Word</Application>
  <DocSecurity>0</DocSecurity>
  <Lines>61</Lines>
  <Paragraphs>17</Paragraphs>
  <ScaleCrop>false</ScaleCrop>
  <Company/>
  <LinksUpToDate>false</LinksUpToDate>
  <CharactersWithSpaces>8588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2023-11-18T00:52:00Z</dcterms:created>
  <dcterms:modified xsi:type="dcterms:W3CDTF">2023-11-18T00:53:00Z</dcterms:modified>
</cp:coreProperties>
</file>