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6128B" w:rsidRPr="0096128B" w:rsidRDefault="0096128B" w:rsidP="0096128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6128B">
        <w:rPr>
          <w:rFonts w:ascii="Times New Roman" w:eastAsia="Times New Roman" w:hAnsi="Times New Roman" w:cs="Times New Roman"/>
          <w:b/>
          <w:bCs/>
          <w:kern w:val="36"/>
          <w:sz w:val="48"/>
          <w:szCs w:val="48"/>
        </w:rPr>
        <w:t>The effect of thiosulfate-oxidizing bacteria on the stability of the gold-thiosulfate complex</w:t>
      </w:r>
    </w:p>
    <w:p w:rsidR="0096128B" w:rsidRPr="0096128B" w:rsidRDefault="0096128B" w:rsidP="0096128B">
      <w:pPr>
        <w:spacing w:after="0"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Author links open overlay panel</w:t>
      </w:r>
    </w:p>
    <w:p w:rsidR="0096128B" w:rsidRPr="0096128B" w:rsidRDefault="0096128B" w:rsidP="0096128B">
      <w:pPr>
        <w:spacing w:after="0"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 </w:t>
      </w:r>
    </w:p>
    <w:p w:rsidR="0096128B" w:rsidRPr="0096128B" w:rsidRDefault="0096128B" w:rsidP="0096128B">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96128B">
          <w:rPr>
            <w:rFonts w:ascii="Times New Roman" w:eastAsia="Times New Roman" w:hAnsi="Times New Roman" w:cs="Times New Roman"/>
            <w:color w:val="0000FF"/>
            <w:sz w:val="24"/>
            <w:szCs w:val="24"/>
            <w:u w:val="single"/>
          </w:rPr>
          <w:t>https://doi.org/10.1016/j.gca.2005.03.012</w:t>
        </w:r>
      </w:hyperlink>
      <w:bookmarkStart w:id="0" w:name="_GoBack"/>
      <w:bookmarkEnd w:id="0"/>
      <w:r w:rsidRPr="0096128B">
        <w:rPr>
          <w:rFonts w:ascii="Times New Roman" w:eastAsia="Times New Roman" w:hAnsi="Times New Roman" w:cs="Times New Roman"/>
          <w:sz w:val="24"/>
          <w:szCs w:val="24"/>
        </w:rPr>
        <w:t xml:space="preserve"> </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Abstract</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An </w:t>
      </w:r>
      <w:proofErr w:type="spellStart"/>
      <w:r w:rsidRPr="0096128B">
        <w:rPr>
          <w:rFonts w:ascii="Times New Roman" w:eastAsia="Times New Roman" w:hAnsi="Times New Roman" w:cs="Times New Roman"/>
          <w:i/>
          <w:iCs/>
          <w:sz w:val="24"/>
          <w:szCs w:val="24"/>
        </w:rPr>
        <w:t>Acidithiobacillus</w:t>
      </w:r>
      <w:proofErr w:type="spellEnd"/>
      <w:r w:rsidRPr="0096128B">
        <w:rPr>
          <w:rFonts w:ascii="Times New Roman" w:eastAsia="Times New Roman" w:hAnsi="Times New Roman" w:cs="Times New Roman"/>
          <w:i/>
          <w:iCs/>
          <w:sz w:val="24"/>
          <w:szCs w:val="24"/>
        </w:rPr>
        <w:t xml:space="preserve"> </w:t>
      </w:r>
      <w:proofErr w:type="spellStart"/>
      <w:r w:rsidRPr="0096128B">
        <w:rPr>
          <w:rFonts w:ascii="Times New Roman" w:eastAsia="Times New Roman" w:hAnsi="Times New Roman" w:cs="Times New Roman"/>
          <w:i/>
          <w:iCs/>
          <w:sz w:val="24"/>
          <w:szCs w:val="24"/>
        </w:rPr>
        <w:t>thiooxidans</w:t>
      </w:r>
      <w:proofErr w:type="spellEnd"/>
      <w:r w:rsidRPr="0096128B">
        <w:rPr>
          <w:rFonts w:ascii="Times New Roman" w:eastAsia="Times New Roman" w:hAnsi="Times New Roman" w:cs="Times New Roman"/>
          <w:sz w:val="24"/>
          <w:szCs w:val="24"/>
        </w:rPr>
        <w:t xml:space="preserve"> spp., isolated from the Driefontein Consolidated Gold Mine, Witwatersrand Basin, Republic of South Africa was able to precipitate gold from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in the presence of up to 0.26 mM gold. In chemical control experiments and with the presence of dead bacteria, gold was not precipitated under similar experimental conditions and duration. During growth, the pH of the culture medium decreased from pH 5.4 to 1.9, while the Eh increased from 0.3 to between 0.5 to 0.6 V within a period of 75 days. In the active (live) bacterial culture systems, acid production enhanced </w:t>
      </w:r>
      <w:hyperlink r:id="rId6" w:tooltip="Learn more about thiosulfate from ScienceDirect's AI-generated Topic Pages" w:history="1">
        <w:r w:rsidRPr="0096128B">
          <w:rPr>
            <w:rFonts w:ascii="Times New Roman" w:eastAsia="Times New Roman" w:hAnsi="Times New Roman" w:cs="Times New Roman"/>
            <w:color w:val="0000FF"/>
            <w:sz w:val="24"/>
            <w:szCs w:val="24"/>
            <w:u w:val="single"/>
          </w:rPr>
          <w:t>thiosulfate</w:t>
        </w:r>
      </w:hyperlink>
      <w:r w:rsidRPr="0096128B">
        <w:rPr>
          <w:rFonts w:ascii="Times New Roman" w:eastAsia="Times New Roman" w:hAnsi="Times New Roman" w:cs="Times New Roman"/>
          <w:sz w:val="24"/>
          <w:szCs w:val="24"/>
        </w:rPr>
        <w:t xml:space="preserve"> disproportionation, after which the elemental sulfur and any other intermediate sulfur species were oxidized completely to sulfate. The gold,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was stable in the bacterial systems until </w:t>
      </w:r>
      <w:hyperlink r:id="rId7" w:tooltip="Learn more about sulfur oxidation from ScienceDirect's AI-generated Topic Pages" w:history="1">
        <w:r w:rsidRPr="0096128B">
          <w:rPr>
            <w:rFonts w:ascii="Times New Roman" w:eastAsia="Times New Roman" w:hAnsi="Times New Roman" w:cs="Times New Roman"/>
            <w:color w:val="0000FF"/>
            <w:sz w:val="24"/>
            <w:szCs w:val="24"/>
            <w:u w:val="single"/>
          </w:rPr>
          <w:t>sulfur oxidation</w:t>
        </w:r>
      </w:hyperlink>
      <w:r w:rsidRPr="0096128B">
        <w:rPr>
          <w:rFonts w:ascii="Times New Roman" w:eastAsia="Times New Roman" w:hAnsi="Times New Roman" w:cs="Times New Roman"/>
          <w:sz w:val="24"/>
          <w:szCs w:val="24"/>
        </w:rPr>
        <w:t xml:space="preserve"> was complete; then the bacteria precipitated gold from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The bacterial systems (0.02–0.26 mM gold) precipitated 87 to 100% of the gold under diurnal light exposure, while only 11 to 69% of the gold was precipitated in the dark. The presence of gold (≥0.08 mM) reduced bacterial growth, disrupted cell division causing cell elongation, and was ultimately toxic to this bacterium, killing the cultures. The gold was precipitated inside the bacterial cells as fine-grained colloids ranging between 5 and 10 nm in diameter and in the bulk fluid phase as crystalline micrometer-scale gold. Observations using </w:t>
      </w:r>
      <w:hyperlink r:id="rId8" w:tooltip="Learn more about transmission electron microscopy from ScienceDirect's AI-generated Topic Pages" w:history="1">
        <w:r w:rsidRPr="0096128B">
          <w:rPr>
            <w:rFonts w:ascii="Times New Roman" w:eastAsia="Times New Roman" w:hAnsi="Times New Roman" w:cs="Times New Roman"/>
            <w:color w:val="0000FF"/>
            <w:sz w:val="24"/>
            <w:szCs w:val="24"/>
            <w:u w:val="single"/>
          </w:rPr>
          <w:t>transmission electron microscopy</w:t>
        </w:r>
      </w:hyperlink>
      <w:r w:rsidRPr="0096128B">
        <w:rPr>
          <w:rFonts w:ascii="Times New Roman" w:eastAsia="Times New Roman" w:hAnsi="Times New Roman" w:cs="Times New Roman"/>
          <w:sz w:val="24"/>
          <w:szCs w:val="24"/>
        </w:rPr>
        <w:t xml:space="preserve"> revealed that the gold was deposited throughout the cell; however, it was concentrated in the cell envelope, especially along the cytoplasmic membrane, suggesting that gold precipitation was likely enhanced via electron transport processes associated with energy generation. Seven months after population growth had stopped, the gold had formed coiled or wire gold, irregular and rounded structures with an approximate size ranging from 0.5 to 5 </w:t>
      </w:r>
      <w:proofErr w:type="spellStart"/>
      <w:r w:rsidRPr="0096128B">
        <w:rPr>
          <w:rFonts w:ascii="Times New Roman" w:eastAsia="Times New Roman" w:hAnsi="Times New Roman" w:cs="Times New Roman"/>
          <w:sz w:val="24"/>
          <w:szCs w:val="24"/>
        </w:rPr>
        <w:t>μm</w:t>
      </w:r>
      <w:proofErr w:type="spellEnd"/>
      <w:r w:rsidRPr="0096128B">
        <w:rPr>
          <w:rFonts w:ascii="Times New Roman" w:eastAsia="Times New Roman" w:hAnsi="Times New Roman" w:cs="Times New Roman"/>
          <w:sz w:val="24"/>
          <w:szCs w:val="24"/>
        </w:rPr>
        <w:t>, and crystalline octahedral gold.</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Introduction</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The mobility of gold is of tremendous interest because of economic importance and because the origin of alluvial gold, gold nuggets, and particulate gold in weathered horizons is still incompletely understood. Three models have been established to explain the formation of gold nuggets (Boyle, 1979): the detrital origin, chemical accretion, and a combination of both detrital processes and chemical accretion. One problem with these models is that they cannot explain why gold in supergene and placer environments is larger than the potential source rocks (e.g., Wilson 1984, Watterson 1992, Mossman et al 1999). A second problem with these models is that they cannot explain the wide range of secondary gold morphologies associated with gold nuggets, such as wire, </w:t>
      </w:r>
      <w:proofErr w:type="spellStart"/>
      <w:r w:rsidRPr="0096128B">
        <w:rPr>
          <w:rFonts w:ascii="Times New Roman" w:eastAsia="Times New Roman" w:hAnsi="Times New Roman" w:cs="Times New Roman"/>
          <w:sz w:val="24"/>
          <w:szCs w:val="24"/>
        </w:rPr>
        <w:t>dentritic</w:t>
      </w:r>
      <w:proofErr w:type="spellEnd"/>
      <w:r w:rsidRPr="0096128B">
        <w:rPr>
          <w:rFonts w:ascii="Times New Roman" w:eastAsia="Times New Roman" w:hAnsi="Times New Roman" w:cs="Times New Roman"/>
          <w:sz w:val="24"/>
          <w:szCs w:val="24"/>
        </w:rPr>
        <w:t xml:space="preserve">, octahedral, and porous or sponge gold that have been observed in natural environments (e.g., </w:t>
      </w:r>
      <w:proofErr w:type="spellStart"/>
      <w:r w:rsidRPr="0096128B">
        <w:rPr>
          <w:rFonts w:ascii="Times New Roman" w:eastAsia="Times New Roman" w:hAnsi="Times New Roman" w:cs="Times New Roman"/>
          <w:sz w:val="24"/>
          <w:szCs w:val="24"/>
        </w:rPr>
        <w:t>Kampf</w:t>
      </w:r>
      <w:proofErr w:type="spellEnd"/>
      <w:r w:rsidRPr="0096128B">
        <w:rPr>
          <w:rFonts w:ascii="Times New Roman" w:eastAsia="Times New Roman" w:hAnsi="Times New Roman" w:cs="Times New Roman"/>
          <w:sz w:val="24"/>
          <w:szCs w:val="24"/>
        </w:rPr>
        <w:t xml:space="preserve"> and Keller 1982, </w:t>
      </w:r>
      <w:proofErr w:type="spellStart"/>
      <w:r w:rsidRPr="0096128B">
        <w:rPr>
          <w:rFonts w:ascii="Times New Roman" w:eastAsia="Times New Roman" w:hAnsi="Times New Roman" w:cs="Times New Roman"/>
          <w:sz w:val="24"/>
          <w:szCs w:val="24"/>
        </w:rPr>
        <w:t>Leicht</w:t>
      </w:r>
      <w:proofErr w:type="spellEnd"/>
      <w:r w:rsidRPr="0096128B">
        <w:rPr>
          <w:rFonts w:ascii="Times New Roman" w:eastAsia="Times New Roman" w:hAnsi="Times New Roman" w:cs="Times New Roman"/>
          <w:sz w:val="24"/>
          <w:szCs w:val="24"/>
        </w:rPr>
        <w:t xml:space="preserve"> 1982, Lieber 1982, Wilson 1984, Watterson 1992). While studies to elucidate the mechanisms and processes involved in creating the features of gold nuggets extend over decades, the mechanisms of gold nugget formation are still inconclusive.</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lastRenderedPageBreak/>
        <w:t>The bioaccumulation of gold by bacteria in the natural environment, from Australia, Venezuela, and Alaska, has been described (Bischoff et al 1992, Watterson 1992, Bischoff 1994, Bischoff 1997) based on morphology or shape of gold nuggets. However, the morphology alone cannot be used as adequate evidence of bacteria involvement in gold formation (Watterson, 1994). Several laboratory experiments have been conducted using AuCl</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and AuCl</w:t>
      </w:r>
      <w:r w:rsidRPr="0096128B">
        <w:rPr>
          <w:rFonts w:ascii="Times New Roman" w:eastAsia="Times New Roman" w:hAnsi="Times New Roman" w:cs="Times New Roman"/>
          <w:sz w:val="24"/>
          <w:szCs w:val="24"/>
          <w:vertAlign w:val="subscript"/>
        </w:rPr>
        <w:t>4</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to understand the gold interactions with bacteria (e.g., Southam and Beveridge 1994, Southam and Beveridge 1996, </w:t>
      </w:r>
      <w:proofErr w:type="spellStart"/>
      <w:r w:rsidRPr="0096128B">
        <w:rPr>
          <w:rFonts w:ascii="Times New Roman" w:eastAsia="Times New Roman" w:hAnsi="Times New Roman" w:cs="Times New Roman"/>
          <w:sz w:val="24"/>
          <w:szCs w:val="24"/>
        </w:rPr>
        <w:t>Kashefi</w:t>
      </w:r>
      <w:proofErr w:type="spellEnd"/>
      <w:r w:rsidRPr="0096128B">
        <w:rPr>
          <w:rFonts w:ascii="Times New Roman" w:eastAsia="Times New Roman" w:hAnsi="Times New Roman" w:cs="Times New Roman"/>
          <w:sz w:val="24"/>
          <w:szCs w:val="24"/>
        </w:rPr>
        <w:t xml:space="preserve"> et al 2001, Karthikeyan and Beveridge 2002, Nakajima 2003). However, the formation of octahedral gold commonly associated with gold nuggets was only observed by Southam and Beveridge 1994, Southam and Beveridge 1996) using </w:t>
      </w:r>
      <w:r w:rsidRPr="0096128B">
        <w:rPr>
          <w:rFonts w:ascii="Times New Roman" w:eastAsia="Times New Roman" w:hAnsi="Times New Roman" w:cs="Times New Roman"/>
          <w:i/>
          <w:iCs/>
          <w:sz w:val="24"/>
          <w:szCs w:val="24"/>
        </w:rPr>
        <w:t>Bacillus subtilis 168</w:t>
      </w:r>
      <w:r w:rsidRPr="0096128B">
        <w:rPr>
          <w:rFonts w:ascii="Times New Roman" w:eastAsia="Times New Roman" w:hAnsi="Times New Roman" w:cs="Times New Roman"/>
          <w:sz w:val="24"/>
          <w:szCs w:val="24"/>
        </w:rPr>
        <w:t>. This octahedral gold was formed through indirect bacteria involvement. Initially, organic acids were released from dead bacteria, then formed complexes with gold in solutions, and finally transformed to crystalline octahedral gold. These studies clearly support the involvement of bacteria in the formation of gold nuggets.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In supergene weathering environments, gold can occur as chloride (AuCl</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or AuCl</w:t>
      </w:r>
      <w:r w:rsidRPr="0096128B">
        <w:rPr>
          <w:rFonts w:ascii="Times New Roman" w:eastAsia="Times New Roman" w:hAnsi="Times New Roman" w:cs="Times New Roman"/>
          <w:sz w:val="24"/>
          <w:szCs w:val="24"/>
          <w:vertAlign w:val="subscript"/>
        </w:rPr>
        <w:t>4</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or thiosulfate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complexes (Mann 1984, Webster 1986, Benedetti and </w:t>
      </w:r>
      <w:proofErr w:type="spellStart"/>
      <w:r w:rsidRPr="0096128B">
        <w:rPr>
          <w:rFonts w:ascii="Times New Roman" w:eastAsia="Times New Roman" w:hAnsi="Times New Roman" w:cs="Times New Roman"/>
          <w:sz w:val="24"/>
          <w:szCs w:val="24"/>
        </w:rPr>
        <w:t>Boulegue</w:t>
      </w:r>
      <w:proofErr w:type="spellEnd"/>
      <w:r w:rsidRPr="0096128B">
        <w:rPr>
          <w:rFonts w:ascii="Times New Roman" w:eastAsia="Times New Roman" w:hAnsi="Times New Roman" w:cs="Times New Roman"/>
          <w:sz w:val="24"/>
          <w:szCs w:val="24"/>
        </w:rPr>
        <w:t xml:space="preserve"> 1991). Gold may be mobilized as AuCl</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or AuCl</w:t>
      </w:r>
      <w:r w:rsidRPr="0096128B">
        <w:rPr>
          <w:rFonts w:ascii="Times New Roman" w:eastAsia="Times New Roman" w:hAnsi="Times New Roman" w:cs="Times New Roman"/>
          <w:sz w:val="24"/>
          <w:szCs w:val="24"/>
          <w:vertAlign w:val="subscript"/>
        </w:rPr>
        <w:t>4</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where high chloride concentrations exist, and these complexes are stable under acidic and </w:t>
      </w:r>
      <w:proofErr w:type="spellStart"/>
      <w:r w:rsidRPr="0096128B">
        <w:rPr>
          <w:rFonts w:ascii="Times New Roman" w:eastAsia="Times New Roman" w:hAnsi="Times New Roman" w:cs="Times New Roman"/>
          <w:sz w:val="24"/>
          <w:szCs w:val="24"/>
        </w:rPr>
        <w:t>oxic</w:t>
      </w:r>
      <w:proofErr w:type="spellEnd"/>
      <w:r w:rsidRPr="0096128B">
        <w:rPr>
          <w:rFonts w:ascii="Times New Roman" w:eastAsia="Times New Roman" w:hAnsi="Times New Roman" w:cs="Times New Roman"/>
          <w:sz w:val="24"/>
          <w:szCs w:val="24"/>
        </w:rPr>
        <w:t xml:space="preserve"> conditions (Ran et al., 2002). Under moderately oxidizing to reducing conditions, gold is transported as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(Webster, 1986). Hereafter, for simplicity, </w:t>
      </w:r>
      <w:r w:rsidRPr="0096128B">
        <w:rPr>
          <w:rFonts w:ascii="Times New Roman" w:eastAsia="Times New Roman" w:hAnsi="Times New Roman" w:cs="Times New Roman"/>
          <w:i/>
          <w:iCs/>
          <w:sz w:val="24"/>
          <w:szCs w:val="24"/>
        </w:rPr>
        <w:t>gold</w:t>
      </w:r>
      <w:r w:rsidRPr="0096128B">
        <w:rPr>
          <w:rFonts w:ascii="Times New Roman" w:eastAsia="Times New Roman" w:hAnsi="Times New Roman" w:cs="Times New Roman"/>
          <w:sz w:val="24"/>
          <w:szCs w:val="24"/>
        </w:rPr>
        <w:t xml:space="preserve"> is used to represent all forms of gold, that is, solution, solids, and complexes; specific compounds are written in chemical formula. The formation of gold with tetrathionate (S</w:t>
      </w:r>
      <w:r w:rsidRPr="0096128B">
        <w:rPr>
          <w:rFonts w:ascii="Times New Roman" w:eastAsia="Times New Roman" w:hAnsi="Times New Roman" w:cs="Times New Roman"/>
          <w:sz w:val="24"/>
          <w:szCs w:val="24"/>
          <w:vertAlign w:val="subscript"/>
        </w:rPr>
        <w:t>4</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6</w:t>
      </w:r>
      <w:r w:rsidRPr="0096128B">
        <w:rPr>
          <w:rFonts w:ascii="Times New Roman" w:eastAsia="Times New Roman" w:hAnsi="Times New Roman" w:cs="Times New Roman"/>
          <w:sz w:val="24"/>
          <w:szCs w:val="24"/>
          <w:vertAlign w:val="superscript"/>
        </w:rPr>
        <w:t>2−</w:t>
      </w:r>
      <w:r w:rsidRPr="0096128B">
        <w:rPr>
          <w:rFonts w:ascii="Times New Roman" w:eastAsia="Times New Roman" w:hAnsi="Times New Roman" w:cs="Times New Roman"/>
          <w:sz w:val="24"/>
          <w:szCs w:val="24"/>
        </w:rPr>
        <w:t>), sulfate (SO</w:t>
      </w:r>
      <w:r w:rsidRPr="0096128B">
        <w:rPr>
          <w:rFonts w:ascii="Times New Roman" w:eastAsia="Times New Roman" w:hAnsi="Times New Roman" w:cs="Times New Roman"/>
          <w:sz w:val="24"/>
          <w:szCs w:val="24"/>
          <w:vertAlign w:val="subscript"/>
        </w:rPr>
        <w:t>4</w:t>
      </w:r>
      <w:r w:rsidRPr="0096128B">
        <w:rPr>
          <w:rFonts w:ascii="Times New Roman" w:eastAsia="Times New Roman" w:hAnsi="Times New Roman" w:cs="Times New Roman"/>
          <w:sz w:val="24"/>
          <w:szCs w:val="24"/>
          <w:vertAlign w:val="superscript"/>
        </w:rPr>
        <w:t>2−</w:t>
      </w:r>
      <w:r w:rsidRPr="0096128B">
        <w:rPr>
          <w:rFonts w:ascii="Times New Roman" w:eastAsia="Times New Roman" w:hAnsi="Times New Roman" w:cs="Times New Roman"/>
          <w:sz w:val="24"/>
          <w:szCs w:val="24"/>
        </w:rPr>
        <w:t>), or sulfite (SO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vertAlign w:val="superscript"/>
        </w:rPr>
        <w:t>2−</w:t>
      </w:r>
      <w:r w:rsidRPr="0096128B">
        <w:rPr>
          <w:rFonts w:ascii="Times New Roman" w:eastAsia="Times New Roman" w:hAnsi="Times New Roman" w:cs="Times New Roman"/>
          <w:sz w:val="24"/>
          <w:szCs w:val="24"/>
        </w:rPr>
        <w:t>) has not been observed in natural environments, although gold may be complex by sulfite based on thermodynamic calculations (</w:t>
      </w:r>
      <w:proofErr w:type="spellStart"/>
      <w:r w:rsidRPr="0096128B">
        <w:rPr>
          <w:rFonts w:ascii="Times New Roman" w:eastAsia="Times New Roman" w:hAnsi="Times New Roman" w:cs="Times New Roman"/>
          <w:sz w:val="24"/>
          <w:szCs w:val="24"/>
        </w:rPr>
        <w:t>Pitul’Ko</w:t>
      </w:r>
      <w:proofErr w:type="spellEnd"/>
      <w:r w:rsidRPr="0096128B">
        <w:rPr>
          <w:rFonts w:ascii="Times New Roman" w:eastAsia="Times New Roman" w:hAnsi="Times New Roman" w:cs="Times New Roman"/>
          <w:sz w:val="24"/>
          <w:szCs w:val="24"/>
        </w:rPr>
        <w:t xml:space="preserve"> 1976, </w:t>
      </w:r>
      <w:proofErr w:type="spellStart"/>
      <w:r w:rsidRPr="0096128B">
        <w:rPr>
          <w:rFonts w:ascii="Times New Roman" w:eastAsia="Times New Roman" w:hAnsi="Times New Roman" w:cs="Times New Roman"/>
          <w:sz w:val="24"/>
          <w:szCs w:val="24"/>
        </w:rPr>
        <w:t>Plyusnin</w:t>
      </w:r>
      <w:proofErr w:type="spellEnd"/>
      <w:r w:rsidRPr="0096128B">
        <w:rPr>
          <w:rFonts w:ascii="Times New Roman" w:eastAsia="Times New Roman" w:hAnsi="Times New Roman" w:cs="Times New Roman"/>
          <w:sz w:val="24"/>
          <w:szCs w:val="24"/>
        </w:rPr>
        <w:t xml:space="preserve"> et al 1981, Webster 1984). While the occurrence of AuCl</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or AuCl</w:t>
      </w:r>
      <w:r w:rsidRPr="0096128B">
        <w:rPr>
          <w:rFonts w:ascii="Times New Roman" w:eastAsia="Times New Roman" w:hAnsi="Times New Roman" w:cs="Times New Roman"/>
          <w:sz w:val="24"/>
          <w:szCs w:val="24"/>
          <w:vertAlign w:val="subscript"/>
        </w:rPr>
        <w:t>4</w:t>
      </w:r>
      <w:r w:rsidRPr="0096128B">
        <w:rPr>
          <w:rFonts w:ascii="Times New Roman" w:eastAsia="Times New Roman" w:hAnsi="Times New Roman" w:cs="Times New Roman"/>
          <w:sz w:val="24"/>
          <w:szCs w:val="24"/>
          <w:vertAlign w:val="superscript"/>
        </w:rPr>
        <w:t>−</w:t>
      </w:r>
      <w:r w:rsidRPr="0096128B">
        <w:rPr>
          <w:rFonts w:ascii="Times New Roman" w:eastAsia="Times New Roman" w:hAnsi="Times New Roman" w:cs="Times New Roman"/>
          <w:sz w:val="24"/>
          <w:szCs w:val="24"/>
        </w:rPr>
        <w:t xml:space="preserve"> is relatively rare,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has been observed in supergene enrichment environments, for example, </w:t>
      </w:r>
      <w:proofErr w:type="spellStart"/>
      <w:r w:rsidRPr="0096128B">
        <w:rPr>
          <w:rFonts w:ascii="Times New Roman" w:eastAsia="Times New Roman" w:hAnsi="Times New Roman" w:cs="Times New Roman"/>
          <w:sz w:val="24"/>
          <w:szCs w:val="24"/>
        </w:rPr>
        <w:t>Wau</w:t>
      </w:r>
      <w:proofErr w:type="spellEnd"/>
      <w:r w:rsidRPr="0096128B">
        <w:rPr>
          <w:rFonts w:ascii="Times New Roman" w:eastAsia="Times New Roman" w:hAnsi="Times New Roman" w:cs="Times New Roman"/>
          <w:sz w:val="24"/>
          <w:szCs w:val="24"/>
        </w:rPr>
        <w:t xml:space="preserve"> </w:t>
      </w:r>
      <w:proofErr w:type="spellStart"/>
      <w:r w:rsidRPr="0096128B">
        <w:rPr>
          <w:rFonts w:ascii="Times New Roman" w:eastAsia="Times New Roman" w:hAnsi="Times New Roman" w:cs="Times New Roman"/>
          <w:sz w:val="24"/>
          <w:szCs w:val="24"/>
        </w:rPr>
        <w:t>Wau</w:t>
      </w:r>
      <w:proofErr w:type="spellEnd"/>
      <w:r w:rsidRPr="0096128B">
        <w:rPr>
          <w:rFonts w:ascii="Times New Roman" w:eastAsia="Times New Roman" w:hAnsi="Times New Roman" w:cs="Times New Roman"/>
          <w:sz w:val="24"/>
          <w:szCs w:val="24"/>
        </w:rPr>
        <w:t xml:space="preserve"> gold field, Papua New Guinea and the Ashanti Mine, Ghana (Bowell et al 1993, </w:t>
      </w:r>
      <w:proofErr w:type="spellStart"/>
      <w:r w:rsidRPr="0096128B">
        <w:rPr>
          <w:rFonts w:ascii="Times New Roman" w:eastAsia="Times New Roman" w:hAnsi="Times New Roman" w:cs="Times New Roman"/>
          <w:sz w:val="24"/>
          <w:szCs w:val="24"/>
        </w:rPr>
        <w:t>Aylmore</w:t>
      </w:r>
      <w:proofErr w:type="spellEnd"/>
      <w:r w:rsidRPr="0096128B">
        <w:rPr>
          <w:rFonts w:ascii="Times New Roman" w:eastAsia="Times New Roman" w:hAnsi="Times New Roman" w:cs="Times New Roman"/>
          <w:sz w:val="24"/>
          <w:szCs w:val="24"/>
        </w:rPr>
        <w:t xml:space="preserve"> and Muir 2001).</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The formation of gold from the interaction of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with bacteria has not been investigated. Therefore, the goals of this study were to examine the ability of thiosulfate-oxidizing bacteria to utilize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as a source of energy and to understand the mechanisms and processes during gold formation. Thiosulfate-oxidizing bacteria, </w:t>
      </w:r>
      <w:proofErr w:type="spellStart"/>
      <w:r w:rsidRPr="0096128B">
        <w:rPr>
          <w:rFonts w:ascii="Times New Roman" w:eastAsia="Times New Roman" w:hAnsi="Times New Roman" w:cs="Times New Roman"/>
          <w:i/>
          <w:iCs/>
          <w:sz w:val="24"/>
          <w:szCs w:val="24"/>
        </w:rPr>
        <w:t>Acidithiobacillus</w:t>
      </w:r>
      <w:proofErr w:type="spellEnd"/>
      <w:r w:rsidRPr="0096128B">
        <w:rPr>
          <w:rFonts w:ascii="Times New Roman" w:eastAsia="Times New Roman" w:hAnsi="Times New Roman" w:cs="Times New Roman"/>
          <w:i/>
          <w:iCs/>
          <w:sz w:val="24"/>
          <w:szCs w:val="24"/>
        </w:rPr>
        <w:t xml:space="preserve"> </w:t>
      </w:r>
      <w:proofErr w:type="spellStart"/>
      <w:r w:rsidRPr="0096128B">
        <w:rPr>
          <w:rFonts w:ascii="Times New Roman" w:eastAsia="Times New Roman" w:hAnsi="Times New Roman" w:cs="Times New Roman"/>
          <w:i/>
          <w:iCs/>
          <w:sz w:val="24"/>
          <w:szCs w:val="24"/>
        </w:rPr>
        <w:t>thiooxidans</w:t>
      </w:r>
      <w:proofErr w:type="spellEnd"/>
      <w:r w:rsidRPr="0096128B">
        <w:rPr>
          <w:rFonts w:ascii="Times New Roman" w:eastAsia="Times New Roman" w:hAnsi="Times New Roman" w:cs="Times New Roman"/>
          <w:sz w:val="24"/>
          <w:szCs w:val="24"/>
        </w:rPr>
        <w:t>, were chosen in this study because these bacteria are commonly found in mining areas.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proofErr w:type="spellStart"/>
      <w:r w:rsidRPr="0096128B">
        <w:rPr>
          <w:rFonts w:ascii="Times New Roman" w:eastAsia="Times New Roman" w:hAnsi="Times New Roman" w:cs="Times New Roman"/>
          <w:i/>
          <w:iCs/>
          <w:sz w:val="24"/>
          <w:szCs w:val="24"/>
        </w:rPr>
        <w:t>Acidithiobacillus</w:t>
      </w:r>
      <w:proofErr w:type="spellEnd"/>
      <w:r w:rsidRPr="0096128B">
        <w:rPr>
          <w:rFonts w:ascii="Times New Roman" w:eastAsia="Times New Roman" w:hAnsi="Times New Roman" w:cs="Times New Roman"/>
          <w:i/>
          <w:iCs/>
          <w:sz w:val="24"/>
          <w:szCs w:val="24"/>
        </w:rPr>
        <w:t xml:space="preserve"> </w:t>
      </w:r>
      <w:proofErr w:type="spellStart"/>
      <w:r w:rsidRPr="0096128B">
        <w:rPr>
          <w:rFonts w:ascii="Times New Roman" w:eastAsia="Times New Roman" w:hAnsi="Times New Roman" w:cs="Times New Roman"/>
          <w:i/>
          <w:iCs/>
          <w:sz w:val="24"/>
          <w:szCs w:val="24"/>
        </w:rPr>
        <w:t>thiooxidans</w:t>
      </w:r>
      <w:proofErr w:type="spellEnd"/>
      <w:r w:rsidRPr="0096128B">
        <w:rPr>
          <w:rFonts w:ascii="Times New Roman" w:eastAsia="Times New Roman" w:hAnsi="Times New Roman" w:cs="Times New Roman"/>
          <w:sz w:val="24"/>
          <w:szCs w:val="24"/>
        </w:rPr>
        <w:t xml:space="preserve"> is able to utilize thiosulfate as an energy source and forms sulfate as a by-product metabolism. Schematic diagrams describing possible step-by-step mechanisms are presented in Figure 1, and two possible overall pathways (Suzuki, 1998) are described as follows: </w:t>
      </w:r>
    </w:p>
    <w:p w:rsidR="0096128B" w:rsidRPr="0096128B" w:rsidRDefault="0096128B" w:rsidP="0096128B">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1</w:t>
      </w:r>
    </w:p>
    <w:p w:rsidR="0096128B" w:rsidRPr="0096128B" w:rsidRDefault="0096128B" w:rsidP="0096128B">
      <w:pPr>
        <w:spacing w:before="100" w:beforeAutospacing="1" w:after="100" w:afterAutospacing="1" w:line="240" w:lineRule="auto"/>
        <w:ind w:left="720"/>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Mechanism with thiosulfate cleavage (see Fig. 1A).</w:t>
      </w:r>
    </w:p>
    <w:p w:rsidR="0096128B" w:rsidRPr="0096128B" w:rsidRDefault="0096128B" w:rsidP="0096128B">
      <w:pPr>
        <w:spacing w:after="0"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Thiosulfate-cleaving enzyme, S transferase: </w:t>
      </w:r>
    </w:p>
    <w:p w:rsidR="0096128B" w:rsidRPr="0096128B" w:rsidRDefault="0096128B" w:rsidP="0096128B">
      <w:pPr>
        <w:spacing w:after="0"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Sulfur-oxidizing enzyme: Sulfite oxidase and electron transfer system: Reaction 1 + reaction 2 + 2 × reaction 3: </w:t>
      </w:r>
    </w:p>
    <w:p w:rsidR="0096128B" w:rsidRPr="0096128B" w:rsidRDefault="0096128B" w:rsidP="0096128B">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2</w:t>
      </w:r>
    </w:p>
    <w:p w:rsidR="0096128B" w:rsidRPr="0096128B" w:rsidRDefault="0096128B" w:rsidP="0096128B">
      <w:pPr>
        <w:spacing w:before="100" w:beforeAutospacing="1" w:after="100" w:afterAutospacing="1" w:line="240" w:lineRule="auto"/>
        <w:ind w:left="720"/>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Mechanism forming tetrathionate (see Fig. 1B).</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Thiosulfate-oxidizing enzyme and electron transfer system: </w:t>
      </w:r>
    </w:p>
    <w:p w:rsidR="0096128B" w:rsidRPr="0096128B" w:rsidRDefault="0096128B" w:rsidP="0096128B">
      <w:pPr>
        <w:spacing w:after="0"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lastRenderedPageBreak/>
        <w:t xml:space="preserve">Tetrathionate hydrolase: </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Sulfur-oxidizing enzyme, reaction 2</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Reaction 5 + reaction 6 + reaction 2: </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Sulfite oxidase and electron transfer system, reaction 3.</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Reaction 5 + reaction 6 + reaction 2 + reaction 3 = reaction 4.</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Section snippets</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Materials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Synthetic 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vertAlign w:val="superscript"/>
        </w:rPr>
        <w:t>3−</w:t>
      </w:r>
      <w:r w:rsidRPr="0096128B">
        <w:rPr>
          <w:rFonts w:ascii="Times New Roman" w:eastAsia="Times New Roman" w:hAnsi="Times New Roman" w:cs="Times New Roman"/>
          <w:sz w:val="24"/>
          <w:szCs w:val="24"/>
        </w:rPr>
        <w:t xml:space="preserve"> used in this study was purchased from Alfa </w:t>
      </w:r>
      <w:proofErr w:type="spellStart"/>
      <w:r w:rsidRPr="0096128B">
        <w:rPr>
          <w:rFonts w:ascii="Times New Roman" w:eastAsia="Times New Roman" w:hAnsi="Times New Roman" w:cs="Times New Roman"/>
          <w:sz w:val="24"/>
          <w:szCs w:val="24"/>
        </w:rPr>
        <w:t>Aesar</w:t>
      </w:r>
      <w:proofErr w:type="spellEnd"/>
      <w:r w:rsidRPr="0096128B">
        <w:rPr>
          <w:rFonts w:ascii="Times New Roman" w:eastAsia="Times New Roman" w:hAnsi="Times New Roman" w:cs="Times New Roman"/>
          <w:sz w:val="24"/>
          <w:szCs w:val="24"/>
        </w:rPr>
        <w:t xml:space="preserve"> </w:t>
      </w:r>
      <w:proofErr w:type="gramStart"/>
      <w:r w:rsidRPr="0096128B">
        <w:rPr>
          <w:rFonts w:ascii="Times New Roman" w:eastAsia="Times New Roman" w:hAnsi="Times New Roman" w:cs="Times New Roman"/>
          <w:sz w:val="24"/>
          <w:szCs w:val="24"/>
        </w:rPr>
        <w:t>Co.(</w:t>
      </w:r>
      <w:proofErr w:type="gramEnd"/>
      <w:r w:rsidRPr="0096128B">
        <w:rPr>
          <w:rFonts w:ascii="Times New Roman" w:eastAsia="Times New Roman" w:hAnsi="Times New Roman" w:cs="Times New Roman"/>
          <w:sz w:val="24"/>
          <w:szCs w:val="24"/>
        </w:rPr>
        <w:t>Ward Hill, MA) in the form of Na</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Au(S</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O</w:t>
      </w:r>
      <w:r w:rsidRPr="0096128B">
        <w:rPr>
          <w:rFonts w:ascii="Times New Roman" w:eastAsia="Times New Roman" w:hAnsi="Times New Roman" w:cs="Times New Roman"/>
          <w:sz w:val="24"/>
          <w:szCs w:val="24"/>
          <w:vertAlign w:val="subscript"/>
        </w:rPr>
        <w:t>3</w:t>
      </w:r>
      <w:r w:rsidRPr="0096128B">
        <w:rPr>
          <w:rFonts w:ascii="Times New Roman" w:eastAsia="Times New Roman" w:hAnsi="Times New Roman" w:cs="Times New Roman"/>
          <w:sz w:val="24"/>
          <w:szCs w:val="24"/>
        </w:rPr>
        <w:t>)</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 · 2H</w:t>
      </w:r>
      <w:r w:rsidRPr="0096128B">
        <w:rPr>
          <w:rFonts w:ascii="Times New Roman" w:eastAsia="Times New Roman" w:hAnsi="Times New Roman" w:cs="Times New Roman"/>
          <w:sz w:val="24"/>
          <w:szCs w:val="24"/>
          <w:vertAlign w:val="subscript"/>
        </w:rPr>
        <w:t>2</w:t>
      </w:r>
      <w:r w:rsidRPr="0096128B">
        <w:rPr>
          <w:rFonts w:ascii="Times New Roman" w:eastAsia="Times New Roman" w:hAnsi="Times New Roman" w:cs="Times New Roman"/>
          <w:sz w:val="24"/>
          <w:szCs w:val="24"/>
        </w:rPr>
        <w:t xml:space="preserve">O. Gold was filter-sterilized using a 0.45 </w:t>
      </w:r>
      <w:proofErr w:type="spellStart"/>
      <w:r w:rsidRPr="0096128B">
        <w:rPr>
          <w:rFonts w:ascii="Times New Roman" w:eastAsia="Times New Roman" w:hAnsi="Times New Roman" w:cs="Times New Roman"/>
          <w:sz w:val="24"/>
          <w:szCs w:val="24"/>
        </w:rPr>
        <w:t>μm</w:t>
      </w:r>
      <w:proofErr w:type="spellEnd"/>
      <w:r w:rsidRPr="0096128B">
        <w:rPr>
          <w:rFonts w:ascii="Times New Roman" w:eastAsia="Times New Roman" w:hAnsi="Times New Roman" w:cs="Times New Roman"/>
          <w:sz w:val="24"/>
          <w:szCs w:val="24"/>
        </w:rPr>
        <w:t xml:space="preserve"> membrane filtration before being added to the growth media in both bacterial and abiotic experiments.</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Bacterial Enrichment and Isolation</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Thiosulfate-oxidizing bacteria were enriched and isolated from water samples collected from the Driefontein Consolidated Gold Mine, Witwatersrand Basin, South Africa. The bacteria were initially cultured at room temperature (RT;</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Bacterial Experiments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The results of the bacterial experiments are compiled in Table 1, Table 2, Table 3. In the type 1 bacteria experiments, gold was added to the stationary phase cultures as analogues to the natural environment in which </w:t>
      </w:r>
      <w:r w:rsidRPr="0096128B">
        <w:rPr>
          <w:rFonts w:ascii="Times New Roman" w:eastAsia="Times New Roman" w:hAnsi="Times New Roman" w:cs="Times New Roman"/>
          <w:i/>
          <w:iCs/>
          <w:sz w:val="24"/>
          <w:szCs w:val="24"/>
        </w:rPr>
        <w:t xml:space="preserve">A. </w:t>
      </w:r>
      <w:proofErr w:type="spellStart"/>
      <w:r w:rsidRPr="0096128B">
        <w:rPr>
          <w:rFonts w:ascii="Times New Roman" w:eastAsia="Times New Roman" w:hAnsi="Times New Roman" w:cs="Times New Roman"/>
          <w:i/>
          <w:iCs/>
          <w:sz w:val="24"/>
          <w:szCs w:val="24"/>
        </w:rPr>
        <w:t>thiooxidans</w:t>
      </w:r>
      <w:proofErr w:type="spellEnd"/>
      <w:r w:rsidRPr="0096128B">
        <w:rPr>
          <w:rFonts w:ascii="Times New Roman" w:eastAsia="Times New Roman" w:hAnsi="Times New Roman" w:cs="Times New Roman"/>
          <w:sz w:val="24"/>
          <w:szCs w:val="24"/>
        </w:rPr>
        <w:t xml:space="preserve"> receives an influx of gold. In the type 2 bacterial experiments, the cultures were grown in the growth medium containing a range of gold concentrations from 0 to 0.24 </w:t>
      </w:r>
      <w:proofErr w:type="spellStart"/>
      <w:r w:rsidRPr="0096128B">
        <w:rPr>
          <w:rFonts w:ascii="Times New Roman" w:eastAsia="Times New Roman" w:hAnsi="Times New Roman" w:cs="Times New Roman"/>
          <w:sz w:val="24"/>
          <w:szCs w:val="24"/>
        </w:rPr>
        <w:t>mM.</w:t>
      </w:r>
      <w:proofErr w:type="spellEnd"/>
      <w:r w:rsidRPr="0096128B">
        <w:rPr>
          <w:rFonts w:ascii="Times New Roman" w:eastAsia="Times New Roman" w:hAnsi="Times New Roman" w:cs="Times New Roman"/>
          <w:sz w:val="24"/>
          <w:szCs w:val="24"/>
        </w:rPr>
        <w:t xml:space="preserve"> In the type 3 bacterial experiments, the gold was added to dead, autoclaved cultures.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t xml:space="preserve">In the type </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Comparison of Bacterial Experimental Systems and Abiotic Experimental Systems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i/>
          <w:iCs/>
          <w:sz w:val="24"/>
          <w:szCs w:val="24"/>
        </w:rPr>
        <w:t xml:space="preserve">A. </w:t>
      </w:r>
      <w:proofErr w:type="spellStart"/>
      <w:r w:rsidRPr="0096128B">
        <w:rPr>
          <w:rFonts w:ascii="Times New Roman" w:eastAsia="Times New Roman" w:hAnsi="Times New Roman" w:cs="Times New Roman"/>
          <w:i/>
          <w:iCs/>
          <w:sz w:val="24"/>
          <w:szCs w:val="24"/>
        </w:rPr>
        <w:t>thiooxidans</w:t>
      </w:r>
      <w:proofErr w:type="spellEnd"/>
      <w:r w:rsidRPr="0096128B">
        <w:rPr>
          <w:rFonts w:ascii="Times New Roman" w:eastAsia="Times New Roman" w:hAnsi="Times New Roman" w:cs="Times New Roman"/>
          <w:sz w:val="24"/>
          <w:szCs w:val="24"/>
        </w:rPr>
        <w:t xml:space="preserve"> was able to grow in the presence of up to 0.24 mM gold and precipitated gold from these solutions (Table 1, Table 2, Table 3 and Fig. 2, Fig. 3), while under abiotic systems at pH 5.7 and 1.9 and in the presence of dead bacteria, the precipitation of gold from the solutions was not observed under similar conditions and duration (Table 1, Table 2, Table 3 and Fig. 4). This suggests that only active (live) bacteria were involved in gold precipitation processes, and these processes</w:t>
      </w:r>
    </w:p>
    <w:p w:rsidR="0096128B" w:rsidRPr="0096128B" w:rsidRDefault="0096128B" w:rsidP="0096128B">
      <w:pPr>
        <w:spacing w:before="100" w:beforeAutospacing="1" w:after="100" w:afterAutospacing="1" w:line="240" w:lineRule="auto"/>
        <w:outlineLvl w:val="1"/>
        <w:rPr>
          <w:rFonts w:ascii="Times New Roman" w:eastAsia="Times New Roman" w:hAnsi="Times New Roman" w:cs="Times New Roman"/>
          <w:b/>
          <w:bCs/>
          <w:sz w:val="36"/>
          <w:szCs w:val="36"/>
        </w:rPr>
      </w:pPr>
      <w:r w:rsidRPr="0096128B">
        <w:rPr>
          <w:rFonts w:ascii="Times New Roman" w:eastAsia="Times New Roman" w:hAnsi="Times New Roman" w:cs="Times New Roman"/>
          <w:b/>
          <w:bCs/>
          <w:sz w:val="36"/>
          <w:szCs w:val="36"/>
        </w:rPr>
        <w:t>Acknowledgments</w:t>
      </w:r>
    </w:p>
    <w:p w:rsidR="0096128B" w:rsidRPr="0096128B" w:rsidRDefault="0096128B" w:rsidP="0096128B">
      <w:pPr>
        <w:spacing w:before="100" w:beforeAutospacing="1" w:after="100" w:afterAutospacing="1" w:line="240" w:lineRule="auto"/>
        <w:rPr>
          <w:rFonts w:ascii="Times New Roman" w:eastAsia="Times New Roman" w:hAnsi="Times New Roman" w:cs="Times New Roman"/>
          <w:sz w:val="24"/>
          <w:szCs w:val="24"/>
        </w:rPr>
      </w:pPr>
      <w:r w:rsidRPr="0096128B">
        <w:rPr>
          <w:rFonts w:ascii="Times New Roman" w:eastAsia="Times New Roman" w:hAnsi="Times New Roman" w:cs="Times New Roman"/>
          <w:sz w:val="24"/>
          <w:szCs w:val="24"/>
        </w:rPr>
        <w:lastRenderedPageBreak/>
        <w:t xml:space="preserve">The authors thank </w:t>
      </w:r>
      <w:proofErr w:type="spellStart"/>
      <w:r w:rsidRPr="0096128B">
        <w:rPr>
          <w:rFonts w:ascii="Times New Roman" w:eastAsia="Times New Roman" w:hAnsi="Times New Roman" w:cs="Times New Roman"/>
          <w:sz w:val="24"/>
          <w:szCs w:val="24"/>
        </w:rPr>
        <w:t>Dawie</w:t>
      </w:r>
      <w:proofErr w:type="spellEnd"/>
      <w:r w:rsidRPr="0096128B">
        <w:rPr>
          <w:rFonts w:ascii="Times New Roman" w:eastAsia="Times New Roman" w:hAnsi="Times New Roman" w:cs="Times New Roman"/>
          <w:sz w:val="24"/>
          <w:szCs w:val="24"/>
        </w:rPr>
        <w:t xml:space="preserve"> Nel for providing access to the Driefontein Consolidated Gold Mine, South Africa to collect the samples of oxidized ore and three anonymous reviewers for their valuable comments. We thank Dr. J. Amend (the Associate editor) for handling this manuscript. This research was supported by the National Science Foundation </w:t>
      </w:r>
      <w:proofErr w:type="spellStart"/>
      <w:r w:rsidRPr="0096128B">
        <w:rPr>
          <w:rFonts w:ascii="Times New Roman" w:eastAsia="Times New Roman" w:hAnsi="Times New Roman" w:cs="Times New Roman"/>
          <w:sz w:val="24"/>
          <w:szCs w:val="24"/>
        </w:rPr>
        <w:t>LExEn</w:t>
      </w:r>
      <w:proofErr w:type="spellEnd"/>
      <w:r w:rsidRPr="0096128B">
        <w:rPr>
          <w:rFonts w:ascii="Times New Roman" w:eastAsia="Times New Roman" w:hAnsi="Times New Roman" w:cs="Times New Roman"/>
          <w:sz w:val="24"/>
          <w:szCs w:val="24"/>
        </w:rPr>
        <w:t xml:space="preserve"> Program (EAR-9714214).</w:t>
      </w:r>
    </w:p>
    <w:p w:rsidR="00416521" w:rsidRDefault="00416521"/>
    <w:sectPr w:rsidR="00416521">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950FEE"/>
    <w:multiLevelType w:val="multilevel"/>
    <w:tmpl w:val="8D7AF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7493A67"/>
    <w:multiLevelType w:val="multilevel"/>
    <w:tmpl w:val="63D69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28B"/>
    <w:rsid w:val="00416521"/>
    <w:rsid w:val="009612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7BA16"/>
  <w15:chartTrackingRefBased/>
  <w15:docId w15:val="{278558AD-7B61-4556-94B2-8B344FA0E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1300785">
      <w:bodyDiv w:val="1"/>
      <w:marLeft w:val="0"/>
      <w:marRight w:val="0"/>
      <w:marTop w:val="0"/>
      <w:marBottom w:val="0"/>
      <w:divBdr>
        <w:top w:val="none" w:sz="0" w:space="0" w:color="auto"/>
        <w:left w:val="none" w:sz="0" w:space="0" w:color="auto"/>
        <w:bottom w:val="none" w:sz="0" w:space="0" w:color="auto"/>
        <w:right w:val="none" w:sz="0" w:space="0" w:color="auto"/>
      </w:divBdr>
      <w:divsChild>
        <w:div w:id="1814521233">
          <w:marLeft w:val="0"/>
          <w:marRight w:val="0"/>
          <w:marTop w:val="0"/>
          <w:marBottom w:val="0"/>
          <w:divBdr>
            <w:top w:val="none" w:sz="0" w:space="0" w:color="auto"/>
            <w:left w:val="none" w:sz="0" w:space="0" w:color="auto"/>
            <w:bottom w:val="none" w:sz="0" w:space="0" w:color="auto"/>
            <w:right w:val="none" w:sz="0" w:space="0" w:color="auto"/>
          </w:divBdr>
          <w:divsChild>
            <w:div w:id="570194929">
              <w:marLeft w:val="0"/>
              <w:marRight w:val="0"/>
              <w:marTop w:val="0"/>
              <w:marBottom w:val="0"/>
              <w:divBdr>
                <w:top w:val="none" w:sz="0" w:space="0" w:color="auto"/>
                <w:left w:val="none" w:sz="0" w:space="0" w:color="auto"/>
                <w:bottom w:val="none" w:sz="0" w:space="0" w:color="auto"/>
                <w:right w:val="none" w:sz="0" w:space="0" w:color="auto"/>
              </w:divBdr>
              <w:divsChild>
                <w:div w:id="185754375">
                  <w:marLeft w:val="0"/>
                  <w:marRight w:val="0"/>
                  <w:marTop w:val="0"/>
                  <w:marBottom w:val="0"/>
                  <w:divBdr>
                    <w:top w:val="none" w:sz="0" w:space="0" w:color="auto"/>
                    <w:left w:val="none" w:sz="0" w:space="0" w:color="auto"/>
                    <w:bottom w:val="none" w:sz="0" w:space="0" w:color="auto"/>
                    <w:right w:val="none" w:sz="0" w:space="0" w:color="auto"/>
                  </w:divBdr>
                  <w:divsChild>
                    <w:div w:id="32802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710926">
          <w:marLeft w:val="0"/>
          <w:marRight w:val="0"/>
          <w:marTop w:val="0"/>
          <w:marBottom w:val="0"/>
          <w:divBdr>
            <w:top w:val="none" w:sz="0" w:space="0" w:color="auto"/>
            <w:left w:val="none" w:sz="0" w:space="0" w:color="auto"/>
            <w:bottom w:val="none" w:sz="0" w:space="0" w:color="auto"/>
            <w:right w:val="none" w:sz="0" w:space="0" w:color="auto"/>
          </w:divBdr>
          <w:divsChild>
            <w:div w:id="1364598471">
              <w:marLeft w:val="0"/>
              <w:marRight w:val="0"/>
              <w:marTop w:val="0"/>
              <w:marBottom w:val="0"/>
              <w:divBdr>
                <w:top w:val="none" w:sz="0" w:space="0" w:color="auto"/>
                <w:left w:val="none" w:sz="0" w:space="0" w:color="auto"/>
                <w:bottom w:val="none" w:sz="0" w:space="0" w:color="auto"/>
                <w:right w:val="none" w:sz="0" w:space="0" w:color="auto"/>
              </w:divBdr>
              <w:divsChild>
                <w:div w:id="1206331954">
                  <w:marLeft w:val="0"/>
                  <w:marRight w:val="0"/>
                  <w:marTop w:val="0"/>
                  <w:marBottom w:val="0"/>
                  <w:divBdr>
                    <w:top w:val="none" w:sz="0" w:space="0" w:color="auto"/>
                    <w:left w:val="none" w:sz="0" w:space="0" w:color="auto"/>
                    <w:bottom w:val="none" w:sz="0" w:space="0" w:color="auto"/>
                    <w:right w:val="none" w:sz="0" w:space="0" w:color="auto"/>
                  </w:divBdr>
                  <w:divsChild>
                    <w:div w:id="278993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407253">
          <w:marLeft w:val="0"/>
          <w:marRight w:val="0"/>
          <w:marTop w:val="0"/>
          <w:marBottom w:val="0"/>
          <w:divBdr>
            <w:top w:val="none" w:sz="0" w:space="0" w:color="auto"/>
            <w:left w:val="none" w:sz="0" w:space="0" w:color="auto"/>
            <w:bottom w:val="none" w:sz="0" w:space="0" w:color="auto"/>
            <w:right w:val="none" w:sz="0" w:space="0" w:color="auto"/>
          </w:divBdr>
          <w:divsChild>
            <w:div w:id="2110392443">
              <w:marLeft w:val="0"/>
              <w:marRight w:val="0"/>
              <w:marTop w:val="0"/>
              <w:marBottom w:val="0"/>
              <w:divBdr>
                <w:top w:val="none" w:sz="0" w:space="0" w:color="auto"/>
                <w:left w:val="none" w:sz="0" w:space="0" w:color="auto"/>
                <w:bottom w:val="none" w:sz="0" w:space="0" w:color="auto"/>
                <w:right w:val="none" w:sz="0" w:space="0" w:color="auto"/>
              </w:divBdr>
            </w:div>
          </w:divsChild>
        </w:div>
        <w:div w:id="169831368">
          <w:marLeft w:val="0"/>
          <w:marRight w:val="0"/>
          <w:marTop w:val="0"/>
          <w:marBottom w:val="0"/>
          <w:divBdr>
            <w:top w:val="none" w:sz="0" w:space="0" w:color="auto"/>
            <w:left w:val="none" w:sz="0" w:space="0" w:color="auto"/>
            <w:bottom w:val="none" w:sz="0" w:space="0" w:color="auto"/>
            <w:right w:val="none" w:sz="0" w:space="0" w:color="auto"/>
          </w:divBdr>
          <w:divsChild>
            <w:div w:id="408431486">
              <w:marLeft w:val="0"/>
              <w:marRight w:val="0"/>
              <w:marTop w:val="0"/>
              <w:marBottom w:val="0"/>
              <w:divBdr>
                <w:top w:val="none" w:sz="0" w:space="0" w:color="auto"/>
                <w:left w:val="none" w:sz="0" w:space="0" w:color="auto"/>
                <w:bottom w:val="none" w:sz="0" w:space="0" w:color="auto"/>
                <w:right w:val="none" w:sz="0" w:space="0" w:color="auto"/>
              </w:divBdr>
            </w:div>
          </w:divsChild>
        </w:div>
        <w:div w:id="1748721201">
          <w:marLeft w:val="0"/>
          <w:marRight w:val="0"/>
          <w:marTop w:val="0"/>
          <w:marBottom w:val="0"/>
          <w:divBdr>
            <w:top w:val="none" w:sz="0" w:space="0" w:color="auto"/>
            <w:left w:val="none" w:sz="0" w:space="0" w:color="auto"/>
            <w:bottom w:val="none" w:sz="0" w:space="0" w:color="auto"/>
            <w:right w:val="none" w:sz="0" w:space="0" w:color="auto"/>
          </w:divBdr>
          <w:divsChild>
            <w:div w:id="32852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transmission-electron-microscopy"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sulphur-oxid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thiosulfate" TargetMode="External"/><Relationship Id="rId5" Type="http://schemas.openxmlformats.org/officeDocument/2006/relationships/hyperlink" Target="https://doi.org/10.1016/j.gca.2005.03.012"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1433</Words>
  <Characters>8170</Characters>
  <Application>Microsoft Office Word</Application>
  <DocSecurity>0</DocSecurity>
  <Lines>68</Lines>
  <Paragraphs>19</Paragraphs>
  <ScaleCrop>false</ScaleCrop>
  <Company/>
  <LinksUpToDate>false</LinksUpToDate>
  <CharactersWithSpaces>9584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2023-11-18T04:21:00Z</dcterms:created>
  <dcterms:modified xsi:type="dcterms:W3CDTF">2023-11-18T04:22:00Z</dcterms:modified>
</cp:coreProperties>
</file>